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6D6E" w14:textId="25E6DD04" w:rsidR="00CF5071" w:rsidRDefault="00EB6989" w:rsidP="00F87250">
      <w:pPr>
        <w:pStyle w:val="Heading3"/>
      </w:pPr>
      <w:r>
        <w:t>Appendix</w:t>
      </w:r>
    </w:p>
    <w:p w14:paraId="6AD9DFB5" w14:textId="67BA4419" w:rsidR="009A32BB" w:rsidRDefault="008C5EE6" w:rsidP="009A32BB">
      <w:r>
        <w:t>Vaccination difference in differences assumptions and sensiti</w:t>
      </w:r>
      <w:r w:rsidR="00F76439">
        <w:t>vity analyses</w:t>
      </w:r>
    </w:p>
    <w:p w14:paraId="470C0105" w14:textId="77777777" w:rsidR="008931B4" w:rsidRDefault="008931B4" w:rsidP="008931B4"/>
    <w:p w14:paraId="1A62B294" w14:textId="181E1F84" w:rsidR="00F76439" w:rsidRDefault="008931B4" w:rsidP="008931B4">
      <w:r>
        <w:t xml:space="preserve">We conducted </w:t>
      </w:r>
      <w:proofErr w:type="gramStart"/>
      <w:r>
        <w:t>a number of</w:t>
      </w:r>
      <w:proofErr w:type="gramEnd"/>
      <w:r>
        <w:t xml:space="preserve"> sensitivity analyses to validate the robustness of key results to assumptions of the main analysis. </w:t>
      </w:r>
      <w:r w:rsidR="00EB6989">
        <w:t>Appendix</w:t>
      </w:r>
      <w:r w:rsidR="00F05A6D">
        <w:t xml:space="preserve"> Figure </w:t>
      </w:r>
      <w:r w:rsidR="00EB6989">
        <w:t>S</w:t>
      </w:r>
      <w:r w:rsidR="00F05A6D">
        <w:t xml:space="preserve">1 below shows vaccinations administered by VEM quartile </w:t>
      </w:r>
      <w:r w:rsidR="00F71C2D">
        <w:t>in the first half of 2021, clearly demonstrating the parallel trends assumption in the pre-policy period necessary for difference in differences analysis is met.</w:t>
      </w:r>
      <w:r w:rsidR="00592A2F">
        <w:t xml:space="preserve"> The first assumption tested in sensitivity analyses was that</w:t>
      </w:r>
      <w:r w:rsidR="00F76439">
        <w:t xml:space="preserve"> </w:t>
      </w:r>
      <w:r w:rsidR="00232600">
        <w:t>the population of unvaccinated individuals remained similar across VEM quartiles even as individuals became vaccinated. V</w:t>
      </w:r>
      <w:r w:rsidR="00F76439">
        <w:t>accination rates may be expected to decline over time due to depletion of the population of unvaccinated individuals</w:t>
      </w:r>
      <w:r w:rsidR="00CD4BDC">
        <w:t xml:space="preserve">, which </w:t>
      </w:r>
      <w:r w:rsidR="00F76439">
        <w:t xml:space="preserve">could bias </w:t>
      </w:r>
      <w:proofErr w:type="spellStart"/>
      <w:r w:rsidR="00F76439">
        <w:t>DiD</w:t>
      </w:r>
      <w:proofErr w:type="spellEnd"/>
      <w:r w:rsidR="00F76439">
        <w:t xml:space="preserve"> results, particularly if there were differential vaccination rates across VEM areas. To account for this, an additional model was fitted with a main term for the proportion of the population unvaccinated. Second, non-VEM Q1 ZIP codes may not serve as a valid comparison group for VEM Q1 ZIP codes since they differ by VEM score and the VEM constituent indicators. To assuage concerns with this potential for non-exchangeability, the same </w:t>
      </w:r>
      <w:proofErr w:type="spellStart"/>
      <w:r w:rsidR="00F76439">
        <w:t>DiD</w:t>
      </w:r>
      <w:proofErr w:type="spellEnd"/>
      <w:r w:rsidR="00F76439">
        <w:t xml:space="preserve"> model was rerun, but restricted to ZIP codes that fall in the second or third octile of all VEM scores (upper half of VEM Q1 or lower half of VEM Q2, respectively). This analysis sacrifices sample size for a potentially less-biased comparison group, </w:t>
      </w:r>
      <w:proofErr w:type="gramStart"/>
      <w:r w:rsidR="00F76439">
        <w:t>assuming that</w:t>
      </w:r>
      <w:proofErr w:type="gramEnd"/>
      <w:r w:rsidR="00F76439">
        <w:t xml:space="preserve"> ZIP codes falling on either side of the 25th percentile cutoff used to define VEM quartiles are more similar. In this analysis, octile 3 ZIP codes that did not receive the equity allocation serve as the control for octile 2 ZIP codes that did receive the equity allocation. </w:t>
      </w:r>
      <w:r>
        <w:t>Third</w:t>
      </w:r>
      <w:r w:rsidR="00F76439">
        <w:t xml:space="preserve">, a negative controls analysis was conducted by refitting the </w:t>
      </w:r>
      <w:proofErr w:type="spellStart"/>
      <w:r w:rsidR="00F76439">
        <w:t>DiD</w:t>
      </w:r>
      <w:proofErr w:type="spellEnd"/>
      <w:r w:rsidR="00F76439">
        <w:t xml:space="preserve"> </w:t>
      </w:r>
      <w:proofErr w:type="gramStart"/>
      <w:r w:rsidR="00F76439">
        <w:t>model</w:t>
      </w:r>
      <w:proofErr w:type="gramEnd"/>
      <w:r w:rsidR="00F76439">
        <w:t xml:space="preserve"> for all pairwise combinations of VEM quartiles, with the lower VEM quartile in each instance serving as the intervention group. This analysis sought to test for the presence of unmeasured confounders that could bias </w:t>
      </w:r>
      <w:proofErr w:type="spellStart"/>
      <w:r w:rsidR="00F76439">
        <w:t>DiD</w:t>
      </w:r>
      <w:proofErr w:type="spellEnd"/>
      <w:r w:rsidR="00F76439">
        <w:t xml:space="preserve"> results and would be identified by significant </w:t>
      </w:r>
      <w:proofErr w:type="spellStart"/>
      <w:r w:rsidR="00F76439">
        <w:t>DiD</w:t>
      </w:r>
      <w:proofErr w:type="spellEnd"/>
      <w:r w:rsidR="00F76439">
        <w:t xml:space="preserve"> estimates among non-VEM Q1 ZIP codes. </w:t>
      </w:r>
      <w:bookmarkStart w:id="0" w:name="_cofed1ysig7r" w:colFirst="0" w:colLast="0"/>
      <w:bookmarkEnd w:id="0"/>
      <w:r w:rsidR="004B12D9">
        <w:t>Finally, the negative controls sensitivity analysis was conducted with symmetric two</w:t>
      </w:r>
      <w:r w:rsidR="00F05A6D">
        <w:t>- and eight-</w:t>
      </w:r>
      <w:r w:rsidR="004B12D9">
        <w:t xml:space="preserve">week before/after policy </w:t>
      </w:r>
      <w:r w:rsidR="00F05A6D">
        <w:t>implementation analysis periods (in addition to the symmetric four-week period of the main analysis) to ensure that results were not dependent on the time frame of analysis before and after policy implementation (</w:t>
      </w:r>
      <w:r w:rsidR="00EB6989">
        <w:t>Appendix</w:t>
      </w:r>
      <w:r w:rsidR="00F05A6D">
        <w:t xml:space="preserve"> Table </w:t>
      </w:r>
      <w:r w:rsidR="00EB6989">
        <w:t>S</w:t>
      </w:r>
      <w:r w:rsidR="00F05A6D">
        <w:t>1).</w:t>
      </w:r>
    </w:p>
    <w:p w14:paraId="6FD35B4E" w14:textId="77777777" w:rsidR="00F76439" w:rsidRPr="009A32BB" w:rsidRDefault="00F76439" w:rsidP="009A32BB"/>
    <w:p w14:paraId="1C9CA20C" w14:textId="4EAB713E" w:rsidR="000C2980" w:rsidRDefault="000C2980" w:rsidP="00DF2250">
      <w:pPr>
        <w:jc w:val="center"/>
        <w:rPr>
          <w:b/>
          <w:bCs/>
          <w:sz w:val="20"/>
          <w:szCs w:val="20"/>
        </w:rPr>
      </w:pPr>
      <w:r>
        <w:rPr>
          <w:b/>
          <w:bCs/>
          <w:noProof/>
          <w:sz w:val="20"/>
          <w:szCs w:val="20"/>
        </w:rPr>
        <w:lastRenderedPageBreak/>
        <w:drawing>
          <wp:inline distT="0" distB="0" distL="0" distR="0" wp14:anchorId="38DA63EF" wp14:editId="5A2DFF4F">
            <wp:extent cx="504825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549" cy="3365699"/>
                    </a:xfrm>
                    <a:prstGeom prst="rect">
                      <a:avLst/>
                    </a:prstGeom>
                    <a:noFill/>
                    <a:ln>
                      <a:noFill/>
                    </a:ln>
                  </pic:spPr>
                </pic:pic>
              </a:graphicData>
            </a:graphic>
          </wp:inline>
        </w:drawing>
      </w:r>
    </w:p>
    <w:p w14:paraId="6512E597" w14:textId="1C47D9F2" w:rsidR="000C2980" w:rsidRPr="003D3176" w:rsidRDefault="000C2980" w:rsidP="000C2980">
      <w:pPr>
        <w:pStyle w:val="BodyText"/>
        <w:rPr>
          <w:sz w:val="20"/>
          <w:szCs w:val="20"/>
        </w:rPr>
      </w:pPr>
      <w:r>
        <w:rPr>
          <w:b/>
          <w:bCs/>
          <w:sz w:val="20"/>
          <w:szCs w:val="20"/>
        </w:rPr>
        <w:t>Supplementary Figure 1</w:t>
      </w:r>
      <w:r w:rsidRPr="00BB07F0">
        <w:rPr>
          <w:b/>
          <w:bCs/>
          <w:sz w:val="20"/>
          <w:szCs w:val="20"/>
        </w:rPr>
        <w:t xml:space="preserve">: </w:t>
      </w:r>
      <w:r>
        <w:rPr>
          <w:b/>
          <w:bCs/>
          <w:sz w:val="20"/>
          <w:szCs w:val="20"/>
        </w:rPr>
        <w:t>Vaccin</w:t>
      </w:r>
      <w:r w:rsidR="004C11D8">
        <w:rPr>
          <w:b/>
          <w:bCs/>
          <w:sz w:val="20"/>
          <w:szCs w:val="20"/>
        </w:rPr>
        <w:t>es administered through time stratified by VEM quartile around the policy period</w:t>
      </w:r>
      <w:r>
        <w:rPr>
          <w:b/>
          <w:bCs/>
          <w:sz w:val="20"/>
          <w:szCs w:val="20"/>
        </w:rPr>
        <w:t xml:space="preserve">. </w:t>
      </w:r>
      <w:r w:rsidR="009A32BB">
        <w:rPr>
          <w:sz w:val="20"/>
          <w:szCs w:val="20"/>
        </w:rPr>
        <w:t>Th</w:t>
      </w:r>
      <w:r w:rsidR="008A1134">
        <w:rPr>
          <w:sz w:val="20"/>
          <w:szCs w:val="20"/>
        </w:rPr>
        <w:t xml:space="preserve">e vertical dashed line indicates the date of policy implementation. In the pre-policy period, consistent trends in vaccines administered between VEM quartiles can be observed, validating the parallel trends assumption that is essential to implementation of the difference in differences analysis. In the immediate post-policy period, </w:t>
      </w:r>
      <w:r w:rsidR="000947A2">
        <w:rPr>
          <w:sz w:val="20"/>
          <w:szCs w:val="20"/>
        </w:rPr>
        <w:t>the effect of the policy is also evident in the</w:t>
      </w:r>
      <w:r w:rsidR="008A1134">
        <w:rPr>
          <w:sz w:val="20"/>
          <w:szCs w:val="20"/>
        </w:rPr>
        <w:t xml:space="preserve"> slight </w:t>
      </w:r>
      <w:r w:rsidR="006D3F6C">
        <w:rPr>
          <w:sz w:val="20"/>
          <w:szCs w:val="20"/>
        </w:rPr>
        <w:t>pause in the trend of increasing vaccinations administered in VEM quartiles 2</w:t>
      </w:r>
      <w:r w:rsidR="000947A2">
        <w:rPr>
          <w:sz w:val="20"/>
          <w:szCs w:val="20"/>
        </w:rPr>
        <w:t xml:space="preserve"> (light blue)</w:t>
      </w:r>
      <w:r w:rsidR="006D3F6C">
        <w:rPr>
          <w:sz w:val="20"/>
          <w:szCs w:val="20"/>
        </w:rPr>
        <w:t>, 3</w:t>
      </w:r>
      <w:r w:rsidR="000947A2">
        <w:rPr>
          <w:sz w:val="20"/>
          <w:szCs w:val="20"/>
        </w:rPr>
        <w:t xml:space="preserve"> (light green)</w:t>
      </w:r>
      <w:r w:rsidR="006D3F6C">
        <w:rPr>
          <w:sz w:val="20"/>
          <w:szCs w:val="20"/>
        </w:rPr>
        <w:t>, and 4</w:t>
      </w:r>
      <w:r w:rsidR="000947A2">
        <w:rPr>
          <w:sz w:val="20"/>
          <w:szCs w:val="20"/>
        </w:rPr>
        <w:t xml:space="preserve"> (dark green)</w:t>
      </w:r>
      <w:r w:rsidR="006D3F6C">
        <w:rPr>
          <w:sz w:val="20"/>
          <w:szCs w:val="20"/>
        </w:rPr>
        <w:t xml:space="preserve"> </w:t>
      </w:r>
      <w:r w:rsidR="000947A2">
        <w:rPr>
          <w:sz w:val="20"/>
          <w:szCs w:val="20"/>
        </w:rPr>
        <w:t>along with the greater increase in vaccines administered in VEM quartile 1(dark blue).</w:t>
      </w:r>
    </w:p>
    <w:p w14:paraId="2224490B" w14:textId="77777777" w:rsidR="000C2980" w:rsidRDefault="000C2980" w:rsidP="000F235C">
      <w:pPr>
        <w:rPr>
          <w:b/>
          <w:bCs/>
          <w:sz w:val="20"/>
          <w:szCs w:val="20"/>
        </w:rPr>
      </w:pPr>
    </w:p>
    <w:p w14:paraId="00000056" w14:textId="458F116F" w:rsidR="000506CF" w:rsidRDefault="0098278E" w:rsidP="000F235C">
      <w:pPr>
        <w:rPr>
          <w:sz w:val="20"/>
          <w:szCs w:val="20"/>
        </w:rPr>
      </w:pPr>
      <w:r w:rsidRPr="00CF5071">
        <w:rPr>
          <w:b/>
          <w:bCs/>
          <w:sz w:val="20"/>
          <w:szCs w:val="20"/>
        </w:rPr>
        <w:t>Table S</w:t>
      </w:r>
      <w:r w:rsidR="0047165F">
        <w:rPr>
          <w:b/>
          <w:bCs/>
          <w:sz w:val="20"/>
          <w:szCs w:val="20"/>
        </w:rPr>
        <w:t>1</w:t>
      </w:r>
      <w:r w:rsidRPr="00CF5071">
        <w:rPr>
          <w:b/>
          <w:bCs/>
          <w:sz w:val="20"/>
          <w:szCs w:val="20"/>
        </w:rPr>
        <w:t>:</w:t>
      </w:r>
      <w:r w:rsidRPr="00CF5071">
        <w:rPr>
          <w:sz w:val="20"/>
          <w:szCs w:val="20"/>
        </w:rPr>
        <w:t xml:space="preserve"> </w:t>
      </w:r>
      <w:r w:rsidR="7421C428" w:rsidRPr="3A9D3843">
        <w:rPr>
          <w:sz w:val="20"/>
          <w:szCs w:val="20"/>
        </w:rPr>
        <w:t>Vaccination rate difference-in-differences estimates from negative controls sensitivity analysis for all pairwise combinations of vaccine equity metric (VEM) quartiles during the after-policy period</w:t>
      </w:r>
      <w:r w:rsidR="00CE7902">
        <w:rPr>
          <w:sz w:val="20"/>
          <w:szCs w:val="20"/>
        </w:rPr>
        <w:t xml:space="preserve"> and when considering different pre/post policy time periods (main results are based on 4 weeks pr</w:t>
      </w:r>
      <w:r w:rsidR="00A414DF">
        <w:rPr>
          <w:sz w:val="20"/>
          <w:szCs w:val="20"/>
        </w:rPr>
        <w:t>e/post).</w:t>
      </w:r>
    </w:p>
    <w:p w14:paraId="02827C06" w14:textId="77777777" w:rsidR="00C66730" w:rsidRPr="00CF5071" w:rsidRDefault="00C66730">
      <w:pPr>
        <w:rPr>
          <w:sz w:val="20"/>
          <w:szCs w:val="20"/>
        </w:rPr>
      </w:pPr>
    </w:p>
    <w:tbl>
      <w:tblPr>
        <w:tblStyle w:val="Table"/>
        <w:tblW w:w="5132" w:type="pct"/>
        <w:tblLayout w:type="fixed"/>
        <w:tblLook w:val="0020" w:firstRow="1" w:lastRow="0" w:firstColumn="0" w:lastColumn="0" w:noHBand="0" w:noVBand="0"/>
        <w:tblCaption w:val="Difference in differences estimates for negative controls sensitivity analysis comparing all combinations of VEM quartiles and using different pre/post policy periods."/>
      </w:tblPr>
      <w:tblGrid>
        <w:gridCol w:w="1055"/>
        <w:gridCol w:w="1136"/>
        <w:gridCol w:w="2609"/>
        <w:gridCol w:w="2448"/>
        <w:gridCol w:w="2359"/>
      </w:tblGrid>
      <w:tr w:rsidR="0050021B" w14:paraId="5DFDF8B6" w14:textId="77777777" w:rsidTr="00161224">
        <w:trPr>
          <w:cnfStyle w:val="100000000000" w:firstRow="1" w:lastRow="0" w:firstColumn="0" w:lastColumn="0" w:oddVBand="0" w:evenVBand="0" w:oddHBand="0" w:evenHBand="0" w:firstRowFirstColumn="0" w:firstRowLastColumn="0" w:lastRowFirstColumn="0" w:lastRowLastColumn="0"/>
          <w:tblHeader/>
        </w:trPr>
        <w:tc>
          <w:tcPr>
            <w:tcW w:w="549" w:type="pct"/>
            <w:tcBorders>
              <w:bottom w:val="single" w:sz="4" w:space="0" w:color="BFBFBF" w:themeColor="background1" w:themeShade="BF"/>
            </w:tcBorders>
          </w:tcPr>
          <w:p w14:paraId="63574737" w14:textId="77777777" w:rsidR="0050021B" w:rsidRDefault="0050021B" w:rsidP="0044113B">
            <w:pPr>
              <w:pStyle w:val="Compact"/>
              <w:jc w:val="right"/>
            </w:pPr>
            <w:r>
              <w:t>Ref Quartile</w:t>
            </w:r>
          </w:p>
        </w:tc>
        <w:tc>
          <w:tcPr>
            <w:tcW w:w="591" w:type="pct"/>
            <w:tcBorders>
              <w:bottom w:val="single" w:sz="4" w:space="0" w:color="BFBFBF" w:themeColor="background1" w:themeShade="BF"/>
            </w:tcBorders>
          </w:tcPr>
          <w:p w14:paraId="2653EFD2" w14:textId="77777777" w:rsidR="0050021B" w:rsidRDefault="0050021B" w:rsidP="0044113B">
            <w:pPr>
              <w:pStyle w:val="Compact"/>
            </w:pPr>
            <w:r>
              <w:t>Pre/Post Period</w:t>
            </w:r>
          </w:p>
        </w:tc>
        <w:tc>
          <w:tcPr>
            <w:tcW w:w="1358" w:type="pct"/>
            <w:tcBorders>
              <w:bottom w:val="single" w:sz="4" w:space="0" w:color="BFBFBF" w:themeColor="background1" w:themeShade="BF"/>
            </w:tcBorders>
          </w:tcPr>
          <w:p w14:paraId="7D241D8F" w14:textId="77777777" w:rsidR="0050021B" w:rsidRDefault="0050021B" w:rsidP="0044113B">
            <w:pPr>
              <w:pStyle w:val="Compact"/>
            </w:pPr>
            <w:r>
              <w:t>VEM Q1</w:t>
            </w:r>
          </w:p>
        </w:tc>
        <w:tc>
          <w:tcPr>
            <w:tcW w:w="1274" w:type="pct"/>
            <w:tcBorders>
              <w:bottom w:val="single" w:sz="4" w:space="0" w:color="BFBFBF" w:themeColor="background1" w:themeShade="BF"/>
            </w:tcBorders>
          </w:tcPr>
          <w:p w14:paraId="6D8EE1B8" w14:textId="77777777" w:rsidR="0050021B" w:rsidRDefault="0050021B" w:rsidP="0044113B">
            <w:pPr>
              <w:pStyle w:val="Compact"/>
            </w:pPr>
            <w:r>
              <w:t>VEM Q2</w:t>
            </w:r>
          </w:p>
        </w:tc>
        <w:tc>
          <w:tcPr>
            <w:tcW w:w="1228" w:type="pct"/>
            <w:tcBorders>
              <w:bottom w:val="single" w:sz="4" w:space="0" w:color="BFBFBF" w:themeColor="background1" w:themeShade="BF"/>
            </w:tcBorders>
          </w:tcPr>
          <w:p w14:paraId="1D7649E8" w14:textId="77777777" w:rsidR="0050021B" w:rsidRDefault="0050021B" w:rsidP="0044113B">
            <w:pPr>
              <w:pStyle w:val="Compact"/>
            </w:pPr>
            <w:r>
              <w:t>VEM Q3</w:t>
            </w:r>
          </w:p>
        </w:tc>
      </w:tr>
      <w:tr w:rsidR="0050021B" w14:paraId="2CB41F0E" w14:textId="77777777" w:rsidTr="00161224">
        <w:tc>
          <w:tcPr>
            <w:tcW w:w="549" w:type="pct"/>
            <w:tcBorders>
              <w:top w:val="single" w:sz="4" w:space="0" w:color="BFBFBF" w:themeColor="background1" w:themeShade="BF"/>
            </w:tcBorders>
          </w:tcPr>
          <w:p w14:paraId="733B3721"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41BEE519" w14:textId="77777777" w:rsidR="0050021B" w:rsidRDefault="0050021B" w:rsidP="0044113B">
            <w:pPr>
              <w:pStyle w:val="Compact"/>
            </w:pPr>
            <w:r>
              <w:t>8 weeks</w:t>
            </w:r>
          </w:p>
        </w:tc>
        <w:tc>
          <w:tcPr>
            <w:tcW w:w="1358" w:type="pct"/>
            <w:tcBorders>
              <w:top w:val="single" w:sz="4" w:space="0" w:color="BFBFBF" w:themeColor="background1" w:themeShade="BF"/>
            </w:tcBorders>
          </w:tcPr>
          <w:p w14:paraId="5367D084" w14:textId="77777777" w:rsidR="0050021B" w:rsidRPr="0050021B" w:rsidRDefault="0050021B" w:rsidP="0044113B">
            <w:pPr>
              <w:pStyle w:val="Compact"/>
              <w:rPr>
                <w:sz w:val="22"/>
                <w:szCs w:val="22"/>
              </w:rPr>
            </w:pPr>
            <w:r w:rsidRPr="0050021B">
              <w:rPr>
                <w:sz w:val="22"/>
                <w:szCs w:val="22"/>
              </w:rPr>
              <w:t>26.7% (19.4% - 34.4%)</w:t>
            </w:r>
          </w:p>
        </w:tc>
        <w:tc>
          <w:tcPr>
            <w:tcW w:w="1274" w:type="pct"/>
            <w:tcBorders>
              <w:top w:val="single" w:sz="4" w:space="0" w:color="BFBFBF" w:themeColor="background1" w:themeShade="BF"/>
            </w:tcBorders>
          </w:tcPr>
          <w:p w14:paraId="50B72906"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1DADB98D" w14:textId="77777777" w:rsidR="0050021B" w:rsidRPr="0050021B" w:rsidRDefault="0050021B" w:rsidP="0044113B">
            <w:pPr>
              <w:pStyle w:val="Compact"/>
              <w:rPr>
                <w:sz w:val="22"/>
                <w:szCs w:val="22"/>
              </w:rPr>
            </w:pPr>
          </w:p>
        </w:tc>
      </w:tr>
      <w:tr w:rsidR="0050021B" w14:paraId="056256C0" w14:textId="77777777" w:rsidTr="00161224">
        <w:tc>
          <w:tcPr>
            <w:tcW w:w="549" w:type="pct"/>
          </w:tcPr>
          <w:p w14:paraId="151824D8" w14:textId="77777777" w:rsidR="0050021B" w:rsidRDefault="0050021B" w:rsidP="0044113B">
            <w:pPr>
              <w:pStyle w:val="Compact"/>
              <w:jc w:val="right"/>
            </w:pPr>
            <w:r>
              <w:t>3</w:t>
            </w:r>
          </w:p>
        </w:tc>
        <w:tc>
          <w:tcPr>
            <w:tcW w:w="591" w:type="pct"/>
          </w:tcPr>
          <w:p w14:paraId="5A4A3441" w14:textId="77777777" w:rsidR="0050021B" w:rsidRDefault="0050021B" w:rsidP="0044113B">
            <w:pPr>
              <w:pStyle w:val="Compact"/>
            </w:pPr>
            <w:r>
              <w:t>8 weeks</w:t>
            </w:r>
          </w:p>
        </w:tc>
        <w:tc>
          <w:tcPr>
            <w:tcW w:w="1358" w:type="pct"/>
          </w:tcPr>
          <w:p w14:paraId="6BC38DE2" w14:textId="77777777" w:rsidR="0050021B" w:rsidRPr="0050021B" w:rsidRDefault="0050021B" w:rsidP="0044113B">
            <w:pPr>
              <w:pStyle w:val="Compact"/>
              <w:rPr>
                <w:sz w:val="22"/>
                <w:szCs w:val="22"/>
              </w:rPr>
            </w:pPr>
            <w:r w:rsidRPr="0050021B">
              <w:rPr>
                <w:sz w:val="22"/>
                <w:szCs w:val="22"/>
              </w:rPr>
              <w:t>40.5% (32.5% - 48.9%)</w:t>
            </w:r>
          </w:p>
        </w:tc>
        <w:tc>
          <w:tcPr>
            <w:tcW w:w="1274" w:type="pct"/>
          </w:tcPr>
          <w:p w14:paraId="48270300" w14:textId="77777777" w:rsidR="0050021B" w:rsidRPr="0050021B" w:rsidRDefault="0050021B" w:rsidP="0044113B">
            <w:pPr>
              <w:pStyle w:val="Compact"/>
              <w:rPr>
                <w:sz w:val="22"/>
                <w:szCs w:val="22"/>
              </w:rPr>
            </w:pPr>
            <w:r w:rsidRPr="0050021B">
              <w:rPr>
                <w:sz w:val="22"/>
                <w:szCs w:val="22"/>
              </w:rPr>
              <w:t>10.9% (5.2% - 16.9%)</w:t>
            </w:r>
          </w:p>
        </w:tc>
        <w:tc>
          <w:tcPr>
            <w:tcW w:w="1228" w:type="pct"/>
          </w:tcPr>
          <w:p w14:paraId="1BAAE00F" w14:textId="77777777" w:rsidR="0050021B" w:rsidRPr="0050021B" w:rsidRDefault="0050021B" w:rsidP="0044113B">
            <w:pPr>
              <w:pStyle w:val="Compact"/>
              <w:rPr>
                <w:sz w:val="22"/>
                <w:szCs w:val="22"/>
              </w:rPr>
            </w:pPr>
          </w:p>
        </w:tc>
      </w:tr>
      <w:tr w:rsidR="0050021B" w14:paraId="0C10F959" w14:textId="77777777" w:rsidTr="00161224">
        <w:tc>
          <w:tcPr>
            <w:tcW w:w="549" w:type="pct"/>
            <w:tcBorders>
              <w:bottom w:val="single" w:sz="4" w:space="0" w:color="BFBFBF" w:themeColor="background1" w:themeShade="BF"/>
            </w:tcBorders>
          </w:tcPr>
          <w:p w14:paraId="28A6B92D" w14:textId="77777777" w:rsidR="0050021B" w:rsidRDefault="0050021B" w:rsidP="0044113B">
            <w:pPr>
              <w:pStyle w:val="Compact"/>
              <w:jc w:val="right"/>
            </w:pPr>
            <w:r>
              <w:t>4</w:t>
            </w:r>
          </w:p>
        </w:tc>
        <w:tc>
          <w:tcPr>
            <w:tcW w:w="591" w:type="pct"/>
            <w:tcBorders>
              <w:bottom w:val="single" w:sz="4" w:space="0" w:color="BFBFBF" w:themeColor="background1" w:themeShade="BF"/>
            </w:tcBorders>
          </w:tcPr>
          <w:p w14:paraId="1F1ABA62" w14:textId="77777777" w:rsidR="0050021B" w:rsidRDefault="0050021B" w:rsidP="0044113B">
            <w:pPr>
              <w:pStyle w:val="Compact"/>
            </w:pPr>
            <w:r>
              <w:t>8 weeks</w:t>
            </w:r>
          </w:p>
        </w:tc>
        <w:tc>
          <w:tcPr>
            <w:tcW w:w="1358" w:type="pct"/>
            <w:tcBorders>
              <w:bottom w:val="single" w:sz="4" w:space="0" w:color="BFBFBF" w:themeColor="background1" w:themeShade="BF"/>
            </w:tcBorders>
          </w:tcPr>
          <w:p w14:paraId="5F6CFC92" w14:textId="77777777" w:rsidR="0050021B" w:rsidRPr="0050021B" w:rsidRDefault="0050021B" w:rsidP="0044113B">
            <w:pPr>
              <w:pStyle w:val="Compact"/>
              <w:rPr>
                <w:sz w:val="22"/>
                <w:szCs w:val="22"/>
              </w:rPr>
            </w:pPr>
            <w:r w:rsidRPr="0050021B">
              <w:rPr>
                <w:sz w:val="22"/>
                <w:szCs w:val="22"/>
              </w:rPr>
              <w:t>36.6% (29.3% - 44.4%)</w:t>
            </w:r>
          </w:p>
        </w:tc>
        <w:tc>
          <w:tcPr>
            <w:tcW w:w="1274" w:type="pct"/>
            <w:tcBorders>
              <w:bottom w:val="single" w:sz="4" w:space="0" w:color="BFBFBF" w:themeColor="background1" w:themeShade="BF"/>
            </w:tcBorders>
          </w:tcPr>
          <w:p w14:paraId="73224501" w14:textId="77777777" w:rsidR="0050021B" w:rsidRPr="0050021B" w:rsidRDefault="0050021B" w:rsidP="0044113B">
            <w:pPr>
              <w:pStyle w:val="Compact"/>
              <w:rPr>
                <w:sz w:val="22"/>
                <w:szCs w:val="22"/>
              </w:rPr>
            </w:pPr>
            <w:r w:rsidRPr="0050021B">
              <w:rPr>
                <w:sz w:val="22"/>
                <w:szCs w:val="22"/>
              </w:rPr>
              <w:t>7.9% (2.6% - 13.4%)</w:t>
            </w:r>
          </w:p>
        </w:tc>
        <w:tc>
          <w:tcPr>
            <w:tcW w:w="1228" w:type="pct"/>
            <w:tcBorders>
              <w:bottom w:val="single" w:sz="4" w:space="0" w:color="BFBFBF" w:themeColor="background1" w:themeShade="BF"/>
            </w:tcBorders>
          </w:tcPr>
          <w:p w14:paraId="04BE1AA6" w14:textId="77777777" w:rsidR="0050021B" w:rsidRPr="0050021B" w:rsidRDefault="0050021B" w:rsidP="0044113B">
            <w:pPr>
              <w:pStyle w:val="Compact"/>
              <w:rPr>
                <w:sz w:val="22"/>
                <w:szCs w:val="22"/>
              </w:rPr>
            </w:pPr>
            <w:r w:rsidRPr="0050021B">
              <w:rPr>
                <w:sz w:val="22"/>
                <w:szCs w:val="22"/>
              </w:rPr>
              <w:t>-2.8% (-7.3% - 2.1%)</w:t>
            </w:r>
          </w:p>
        </w:tc>
      </w:tr>
      <w:tr w:rsidR="0050021B" w14:paraId="7E137B91" w14:textId="77777777" w:rsidTr="00161224">
        <w:tc>
          <w:tcPr>
            <w:tcW w:w="549" w:type="pct"/>
            <w:tcBorders>
              <w:top w:val="single" w:sz="4" w:space="0" w:color="BFBFBF" w:themeColor="background1" w:themeShade="BF"/>
            </w:tcBorders>
          </w:tcPr>
          <w:p w14:paraId="023A70CD"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1706150F" w14:textId="77777777" w:rsidR="0050021B" w:rsidRDefault="0050021B" w:rsidP="0044113B">
            <w:pPr>
              <w:pStyle w:val="Compact"/>
            </w:pPr>
            <w:r>
              <w:t>4 weeks</w:t>
            </w:r>
          </w:p>
        </w:tc>
        <w:tc>
          <w:tcPr>
            <w:tcW w:w="1358" w:type="pct"/>
            <w:tcBorders>
              <w:top w:val="single" w:sz="4" w:space="0" w:color="BFBFBF" w:themeColor="background1" w:themeShade="BF"/>
            </w:tcBorders>
          </w:tcPr>
          <w:p w14:paraId="5F6296D9" w14:textId="77777777" w:rsidR="0050021B" w:rsidRPr="0050021B" w:rsidRDefault="0050021B" w:rsidP="0044113B">
            <w:pPr>
              <w:pStyle w:val="Compact"/>
              <w:rPr>
                <w:sz w:val="22"/>
                <w:szCs w:val="22"/>
              </w:rPr>
            </w:pPr>
            <w:r w:rsidRPr="0050021B">
              <w:rPr>
                <w:sz w:val="22"/>
                <w:szCs w:val="22"/>
              </w:rPr>
              <w:t>20.7% (13.8% - 27.9%)</w:t>
            </w:r>
          </w:p>
        </w:tc>
        <w:tc>
          <w:tcPr>
            <w:tcW w:w="1274" w:type="pct"/>
            <w:tcBorders>
              <w:top w:val="single" w:sz="4" w:space="0" w:color="BFBFBF" w:themeColor="background1" w:themeShade="BF"/>
            </w:tcBorders>
          </w:tcPr>
          <w:p w14:paraId="6441EEBA"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507044FD" w14:textId="77777777" w:rsidR="0050021B" w:rsidRPr="0050021B" w:rsidRDefault="0050021B" w:rsidP="0044113B">
            <w:pPr>
              <w:pStyle w:val="Compact"/>
              <w:rPr>
                <w:sz w:val="22"/>
                <w:szCs w:val="22"/>
              </w:rPr>
            </w:pPr>
          </w:p>
        </w:tc>
      </w:tr>
      <w:tr w:rsidR="0050021B" w14:paraId="0F88D965" w14:textId="77777777" w:rsidTr="00161224">
        <w:tc>
          <w:tcPr>
            <w:tcW w:w="549" w:type="pct"/>
          </w:tcPr>
          <w:p w14:paraId="4C786BD3" w14:textId="77777777" w:rsidR="0050021B" w:rsidRDefault="0050021B" w:rsidP="0044113B">
            <w:pPr>
              <w:pStyle w:val="Compact"/>
              <w:jc w:val="right"/>
            </w:pPr>
            <w:r>
              <w:t>3</w:t>
            </w:r>
          </w:p>
        </w:tc>
        <w:tc>
          <w:tcPr>
            <w:tcW w:w="591" w:type="pct"/>
          </w:tcPr>
          <w:p w14:paraId="42CD6B1F" w14:textId="77777777" w:rsidR="0050021B" w:rsidRDefault="0050021B" w:rsidP="0044113B">
            <w:pPr>
              <w:pStyle w:val="Compact"/>
            </w:pPr>
            <w:r>
              <w:t>4 weeks</w:t>
            </w:r>
          </w:p>
        </w:tc>
        <w:tc>
          <w:tcPr>
            <w:tcW w:w="1358" w:type="pct"/>
          </w:tcPr>
          <w:p w14:paraId="5D936C8F" w14:textId="77777777" w:rsidR="0050021B" w:rsidRPr="0050021B" w:rsidRDefault="0050021B" w:rsidP="0044113B">
            <w:pPr>
              <w:pStyle w:val="Compact"/>
              <w:rPr>
                <w:sz w:val="22"/>
                <w:szCs w:val="22"/>
              </w:rPr>
            </w:pPr>
            <w:r w:rsidRPr="0050021B">
              <w:rPr>
                <w:sz w:val="22"/>
                <w:szCs w:val="22"/>
              </w:rPr>
              <w:t>30.3% (23% - 38.1%)</w:t>
            </w:r>
          </w:p>
        </w:tc>
        <w:tc>
          <w:tcPr>
            <w:tcW w:w="1274" w:type="pct"/>
          </w:tcPr>
          <w:p w14:paraId="7BB8A427" w14:textId="77777777" w:rsidR="0050021B" w:rsidRPr="0050021B" w:rsidRDefault="0050021B" w:rsidP="0044113B">
            <w:pPr>
              <w:pStyle w:val="Compact"/>
              <w:rPr>
                <w:sz w:val="22"/>
                <w:szCs w:val="22"/>
              </w:rPr>
            </w:pPr>
            <w:r w:rsidRPr="0050021B">
              <w:rPr>
                <w:sz w:val="22"/>
                <w:szCs w:val="22"/>
              </w:rPr>
              <w:t>8% (2.4% - 13.8%)</w:t>
            </w:r>
          </w:p>
        </w:tc>
        <w:tc>
          <w:tcPr>
            <w:tcW w:w="1228" w:type="pct"/>
          </w:tcPr>
          <w:p w14:paraId="757E762F" w14:textId="77777777" w:rsidR="0050021B" w:rsidRPr="0050021B" w:rsidRDefault="0050021B" w:rsidP="0044113B">
            <w:pPr>
              <w:pStyle w:val="Compact"/>
              <w:rPr>
                <w:sz w:val="22"/>
                <w:szCs w:val="22"/>
              </w:rPr>
            </w:pPr>
          </w:p>
        </w:tc>
      </w:tr>
      <w:tr w:rsidR="0050021B" w14:paraId="0ED5A258" w14:textId="77777777" w:rsidTr="00161224">
        <w:tc>
          <w:tcPr>
            <w:tcW w:w="549" w:type="pct"/>
            <w:tcBorders>
              <w:bottom w:val="single" w:sz="4" w:space="0" w:color="BFBFBF" w:themeColor="background1" w:themeShade="BF"/>
            </w:tcBorders>
          </w:tcPr>
          <w:p w14:paraId="1008B5F6" w14:textId="77777777" w:rsidR="0050021B" w:rsidRDefault="0050021B" w:rsidP="0044113B">
            <w:pPr>
              <w:pStyle w:val="Compact"/>
              <w:jc w:val="right"/>
            </w:pPr>
            <w:r>
              <w:t>4</w:t>
            </w:r>
          </w:p>
        </w:tc>
        <w:tc>
          <w:tcPr>
            <w:tcW w:w="591" w:type="pct"/>
            <w:tcBorders>
              <w:bottom w:val="single" w:sz="4" w:space="0" w:color="BFBFBF" w:themeColor="background1" w:themeShade="BF"/>
            </w:tcBorders>
          </w:tcPr>
          <w:p w14:paraId="39394FAC" w14:textId="77777777" w:rsidR="0050021B" w:rsidRDefault="0050021B" w:rsidP="0044113B">
            <w:pPr>
              <w:pStyle w:val="Compact"/>
            </w:pPr>
            <w:r>
              <w:t>4 weeks</w:t>
            </w:r>
          </w:p>
        </w:tc>
        <w:tc>
          <w:tcPr>
            <w:tcW w:w="1358" w:type="pct"/>
            <w:tcBorders>
              <w:bottom w:val="single" w:sz="4" w:space="0" w:color="BFBFBF" w:themeColor="background1" w:themeShade="BF"/>
            </w:tcBorders>
          </w:tcPr>
          <w:p w14:paraId="66B240E4" w14:textId="77777777" w:rsidR="0050021B" w:rsidRPr="0050021B" w:rsidRDefault="0050021B" w:rsidP="0044113B">
            <w:pPr>
              <w:pStyle w:val="Compact"/>
              <w:rPr>
                <w:sz w:val="22"/>
                <w:szCs w:val="22"/>
              </w:rPr>
            </w:pPr>
            <w:r w:rsidRPr="0050021B">
              <w:rPr>
                <w:sz w:val="22"/>
                <w:szCs w:val="22"/>
              </w:rPr>
              <w:t>33% (26.2% - 40.3%)</w:t>
            </w:r>
          </w:p>
        </w:tc>
        <w:tc>
          <w:tcPr>
            <w:tcW w:w="1274" w:type="pct"/>
            <w:tcBorders>
              <w:bottom w:val="single" w:sz="4" w:space="0" w:color="BFBFBF" w:themeColor="background1" w:themeShade="BF"/>
            </w:tcBorders>
          </w:tcPr>
          <w:p w14:paraId="5F7048A3" w14:textId="77777777" w:rsidR="0050021B" w:rsidRPr="0050021B" w:rsidRDefault="0050021B" w:rsidP="0044113B">
            <w:pPr>
              <w:pStyle w:val="Compact"/>
              <w:rPr>
                <w:sz w:val="22"/>
                <w:szCs w:val="22"/>
              </w:rPr>
            </w:pPr>
            <w:r w:rsidRPr="0050021B">
              <w:rPr>
                <w:sz w:val="22"/>
                <w:szCs w:val="22"/>
              </w:rPr>
              <w:t>10.3% (5% - 15.7%)</w:t>
            </w:r>
          </w:p>
        </w:tc>
        <w:tc>
          <w:tcPr>
            <w:tcW w:w="1228" w:type="pct"/>
            <w:tcBorders>
              <w:bottom w:val="single" w:sz="4" w:space="0" w:color="BFBFBF" w:themeColor="background1" w:themeShade="BF"/>
            </w:tcBorders>
          </w:tcPr>
          <w:p w14:paraId="719F7EF0" w14:textId="77777777" w:rsidR="0050021B" w:rsidRPr="0050021B" w:rsidRDefault="0050021B" w:rsidP="0044113B">
            <w:pPr>
              <w:pStyle w:val="Compact"/>
              <w:rPr>
                <w:sz w:val="22"/>
                <w:szCs w:val="22"/>
              </w:rPr>
            </w:pPr>
            <w:r w:rsidRPr="0050021B">
              <w:rPr>
                <w:sz w:val="22"/>
                <w:szCs w:val="22"/>
              </w:rPr>
              <w:t>2.1% (-2.7% - 7.1%)</w:t>
            </w:r>
          </w:p>
        </w:tc>
      </w:tr>
      <w:tr w:rsidR="0050021B" w14:paraId="5E115510" w14:textId="77777777" w:rsidTr="00161224">
        <w:tc>
          <w:tcPr>
            <w:tcW w:w="549" w:type="pct"/>
            <w:tcBorders>
              <w:top w:val="single" w:sz="4" w:space="0" w:color="BFBFBF" w:themeColor="background1" w:themeShade="BF"/>
            </w:tcBorders>
          </w:tcPr>
          <w:p w14:paraId="34C1C5D6"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08CF819B" w14:textId="77777777" w:rsidR="0050021B" w:rsidRDefault="0050021B" w:rsidP="0044113B">
            <w:pPr>
              <w:pStyle w:val="Compact"/>
            </w:pPr>
            <w:r>
              <w:t>2 weeks</w:t>
            </w:r>
          </w:p>
        </w:tc>
        <w:tc>
          <w:tcPr>
            <w:tcW w:w="1358" w:type="pct"/>
            <w:tcBorders>
              <w:top w:val="single" w:sz="4" w:space="0" w:color="BFBFBF" w:themeColor="background1" w:themeShade="BF"/>
            </w:tcBorders>
          </w:tcPr>
          <w:p w14:paraId="1BABC923" w14:textId="77777777" w:rsidR="0050021B" w:rsidRPr="0050021B" w:rsidRDefault="0050021B" w:rsidP="0044113B">
            <w:pPr>
              <w:pStyle w:val="Compact"/>
              <w:rPr>
                <w:sz w:val="22"/>
                <w:szCs w:val="22"/>
              </w:rPr>
            </w:pPr>
            <w:r w:rsidRPr="0050021B">
              <w:rPr>
                <w:sz w:val="22"/>
                <w:szCs w:val="22"/>
              </w:rPr>
              <w:t>11.9% (5.4% - 18.8%)</w:t>
            </w:r>
          </w:p>
        </w:tc>
        <w:tc>
          <w:tcPr>
            <w:tcW w:w="1274" w:type="pct"/>
            <w:tcBorders>
              <w:top w:val="single" w:sz="4" w:space="0" w:color="BFBFBF" w:themeColor="background1" w:themeShade="BF"/>
            </w:tcBorders>
          </w:tcPr>
          <w:p w14:paraId="2850158A"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23571019" w14:textId="77777777" w:rsidR="0050021B" w:rsidRPr="0050021B" w:rsidRDefault="0050021B" w:rsidP="0044113B">
            <w:pPr>
              <w:pStyle w:val="Compact"/>
              <w:rPr>
                <w:sz w:val="22"/>
                <w:szCs w:val="22"/>
              </w:rPr>
            </w:pPr>
          </w:p>
        </w:tc>
      </w:tr>
      <w:tr w:rsidR="0050021B" w14:paraId="2AE71E5D" w14:textId="77777777" w:rsidTr="00161224">
        <w:tc>
          <w:tcPr>
            <w:tcW w:w="549" w:type="pct"/>
          </w:tcPr>
          <w:p w14:paraId="59F939AD" w14:textId="77777777" w:rsidR="0050021B" w:rsidRDefault="0050021B" w:rsidP="0044113B">
            <w:pPr>
              <w:pStyle w:val="Compact"/>
              <w:jc w:val="right"/>
            </w:pPr>
            <w:r>
              <w:t>3</w:t>
            </w:r>
          </w:p>
        </w:tc>
        <w:tc>
          <w:tcPr>
            <w:tcW w:w="591" w:type="pct"/>
          </w:tcPr>
          <w:p w14:paraId="49268D25" w14:textId="77777777" w:rsidR="0050021B" w:rsidRDefault="0050021B" w:rsidP="0044113B">
            <w:pPr>
              <w:pStyle w:val="Compact"/>
            </w:pPr>
            <w:r>
              <w:t>2 weeks</w:t>
            </w:r>
          </w:p>
        </w:tc>
        <w:tc>
          <w:tcPr>
            <w:tcW w:w="1358" w:type="pct"/>
          </w:tcPr>
          <w:p w14:paraId="6701A279" w14:textId="77777777" w:rsidR="0050021B" w:rsidRPr="0050021B" w:rsidRDefault="0050021B" w:rsidP="0044113B">
            <w:pPr>
              <w:pStyle w:val="Compact"/>
              <w:rPr>
                <w:sz w:val="22"/>
                <w:szCs w:val="22"/>
              </w:rPr>
            </w:pPr>
            <w:r w:rsidRPr="0050021B">
              <w:rPr>
                <w:sz w:val="22"/>
                <w:szCs w:val="22"/>
              </w:rPr>
              <w:t>19.7% (12.6% - 27.1%)</w:t>
            </w:r>
          </w:p>
        </w:tc>
        <w:tc>
          <w:tcPr>
            <w:tcW w:w="1274" w:type="pct"/>
          </w:tcPr>
          <w:p w14:paraId="44C2FA96" w14:textId="77777777" w:rsidR="0050021B" w:rsidRPr="0050021B" w:rsidRDefault="0050021B" w:rsidP="0044113B">
            <w:pPr>
              <w:pStyle w:val="Compact"/>
              <w:rPr>
                <w:sz w:val="22"/>
                <w:szCs w:val="22"/>
              </w:rPr>
            </w:pPr>
            <w:r w:rsidRPr="0050021B">
              <w:rPr>
                <w:sz w:val="22"/>
                <w:szCs w:val="22"/>
              </w:rPr>
              <w:t>6.9% (1.3% - 12.9%)</w:t>
            </w:r>
          </w:p>
        </w:tc>
        <w:tc>
          <w:tcPr>
            <w:tcW w:w="1228" w:type="pct"/>
          </w:tcPr>
          <w:p w14:paraId="07142549" w14:textId="77777777" w:rsidR="0050021B" w:rsidRPr="0050021B" w:rsidRDefault="0050021B" w:rsidP="0044113B">
            <w:pPr>
              <w:pStyle w:val="Compact"/>
              <w:rPr>
                <w:sz w:val="22"/>
                <w:szCs w:val="22"/>
              </w:rPr>
            </w:pPr>
          </w:p>
        </w:tc>
      </w:tr>
      <w:tr w:rsidR="0050021B" w14:paraId="59A8B8DC" w14:textId="77777777" w:rsidTr="00161224">
        <w:tc>
          <w:tcPr>
            <w:tcW w:w="549" w:type="pct"/>
          </w:tcPr>
          <w:p w14:paraId="7F849C24" w14:textId="77777777" w:rsidR="0050021B" w:rsidRDefault="0050021B" w:rsidP="0044113B">
            <w:pPr>
              <w:pStyle w:val="Compact"/>
              <w:jc w:val="right"/>
            </w:pPr>
            <w:r>
              <w:t>4</w:t>
            </w:r>
          </w:p>
        </w:tc>
        <w:tc>
          <w:tcPr>
            <w:tcW w:w="591" w:type="pct"/>
          </w:tcPr>
          <w:p w14:paraId="1D67006D" w14:textId="77777777" w:rsidR="0050021B" w:rsidRDefault="0050021B" w:rsidP="0044113B">
            <w:pPr>
              <w:pStyle w:val="Compact"/>
            </w:pPr>
            <w:r>
              <w:t>2 weeks</w:t>
            </w:r>
          </w:p>
        </w:tc>
        <w:tc>
          <w:tcPr>
            <w:tcW w:w="1358" w:type="pct"/>
          </w:tcPr>
          <w:p w14:paraId="13880614" w14:textId="77777777" w:rsidR="0050021B" w:rsidRPr="0050021B" w:rsidRDefault="0050021B" w:rsidP="0044113B">
            <w:pPr>
              <w:pStyle w:val="Compact"/>
              <w:rPr>
                <w:sz w:val="22"/>
                <w:szCs w:val="22"/>
              </w:rPr>
            </w:pPr>
            <w:r w:rsidRPr="0050021B">
              <w:rPr>
                <w:sz w:val="22"/>
                <w:szCs w:val="22"/>
              </w:rPr>
              <w:t>24.9% (18.2% - 32%)</w:t>
            </w:r>
          </w:p>
        </w:tc>
        <w:tc>
          <w:tcPr>
            <w:tcW w:w="1274" w:type="pct"/>
          </w:tcPr>
          <w:p w14:paraId="645DF4BF" w14:textId="77777777" w:rsidR="0050021B" w:rsidRPr="0050021B" w:rsidRDefault="0050021B" w:rsidP="0044113B">
            <w:pPr>
              <w:pStyle w:val="Compact"/>
              <w:rPr>
                <w:sz w:val="22"/>
                <w:szCs w:val="22"/>
              </w:rPr>
            </w:pPr>
            <w:r w:rsidRPr="0050021B">
              <w:rPr>
                <w:sz w:val="22"/>
                <w:szCs w:val="22"/>
              </w:rPr>
              <w:t>11.6% (6.2% - 17.4%)</w:t>
            </w:r>
          </w:p>
        </w:tc>
        <w:tc>
          <w:tcPr>
            <w:tcW w:w="1228" w:type="pct"/>
          </w:tcPr>
          <w:p w14:paraId="0383282B" w14:textId="77777777" w:rsidR="0050021B" w:rsidRPr="0050021B" w:rsidRDefault="0050021B" w:rsidP="0044113B">
            <w:pPr>
              <w:pStyle w:val="Compact"/>
              <w:rPr>
                <w:sz w:val="22"/>
                <w:szCs w:val="22"/>
              </w:rPr>
            </w:pPr>
            <w:r w:rsidRPr="0050021B">
              <w:rPr>
                <w:sz w:val="22"/>
                <w:szCs w:val="22"/>
              </w:rPr>
              <w:t>4.4% (-0.7% - 9.8%)</w:t>
            </w:r>
          </w:p>
        </w:tc>
      </w:tr>
    </w:tbl>
    <w:p w14:paraId="00000059" w14:textId="6C31804E" w:rsidR="000506CF" w:rsidRDefault="000506CF" w:rsidP="00C66730">
      <w:bookmarkStart w:id="1" w:name="_vli27wbu8lxd" w:colFirst="0" w:colLast="0"/>
      <w:bookmarkEnd w:id="1"/>
    </w:p>
    <w:p w14:paraId="78BC3949" w14:textId="75B271F1" w:rsidR="00A32C6B" w:rsidRDefault="00090E05" w:rsidP="009167D8">
      <w:pPr>
        <w:pStyle w:val="Heading4"/>
      </w:pPr>
      <w:r w:rsidRPr="00466F8B">
        <w:lastRenderedPageBreak/>
        <w:t xml:space="preserve">Model selection for </w:t>
      </w:r>
      <w:r w:rsidR="00466F8B" w:rsidRPr="00466F8B">
        <w:t xml:space="preserve">counterfactual estimates of </w:t>
      </w:r>
      <w:r w:rsidRPr="00466F8B">
        <w:t xml:space="preserve">COVID-19 outcomes </w:t>
      </w:r>
    </w:p>
    <w:p w14:paraId="2C291BBC" w14:textId="60F01C07" w:rsidR="00B30E2B" w:rsidRDefault="008A6657" w:rsidP="00090E05">
      <w:r>
        <w:t xml:space="preserve">To prevent overfitting and avoid reliance on a single parametric model, several candidate Poisson GLMs were fitted with COVID-19 cases, hospitalizations, and deaths as outcomes. </w:t>
      </w:r>
      <w:r w:rsidR="00B30E2B" w:rsidRPr="00B30E2B">
        <w:t xml:space="preserve">We </w:t>
      </w:r>
      <w:r w:rsidR="00E35AE6">
        <w:t xml:space="preserve">assessed the performance of candidate GLMs </w:t>
      </w:r>
      <w:r w:rsidR="00532E76">
        <w:t>o</w:t>
      </w:r>
      <w:r w:rsidR="00E35AE6">
        <w:t xml:space="preserve">n their out-of-sample estimation of COVID-19 cases, hospitalizations, and </w:t>
      </w:r>
      <w:r w:rsidR="009167D8">
        <w:t>deaths</w:t>
      </w:r>
      <w:r w:rsidR="00532E76">
        <w:t xml:space="preserve"> following the equity allocation. Candidate models </w:t>
      </w:r>
      <w:r w:rsidR="00E06340">
        <w:t>shared a</w:t>
      </w:r>
      <w:r w:rsidR="00E32E54">
        <w:t xml:space="preserve"> base form: </w:t>
      </w:r>
    </w:p>
    <w:p w14:paraId="3AEF7D07" w14:textId="77777777" w:rsidR="00D960DB" w:rsidRDefault="00D960DB" w:rsidP="00090E05"/>
    <w:p w14:paraId="0637E072" w14:textId="4C35B419" w:rsidR="00661ED1" w:rsidRPr="005B204F" w:rsidRDefault="00EB6989" w:rsidP="00090E05">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e>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m:rPr>
                  <m:sty m:val="bi"/>
                </m:rPr>
                <w:rPr>
                  <w:rFonts w:ascii="Cambria Math" w:hAnsi="Cambria Math"/>
                </w:rPr>
                <m:t>+</m:t>
              </m:r>
              <m:r>
                <m:rPr>
                  <m:sty m:val="bi"/>
                </m:rPr>
                <w:rPr>
                  <w:rFonts w:ascii="Cambria Math" w:hAnsi="Cambria Math"/>
                </w:rPr>
                <m:t>σ</m:t>
              </m:r>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t</m:t>
                  </m:r>
                </m:sub>
              </m:sSub>
            </m:e>
          </m:func>
        </m:oMath>
      </m:oMathPara>
    </w:p>
    <w:p w14:paraId="138AED82" w14:textId="77777777" w:rsidR="005B204F" w:rsidRPr="000A2434" w:rsidRDefault="005B204F" w:rsidP="00090E05"/>
    <w:p w14:paraId="011E9677" w14:textId="2E9E72E2" w:rsidR="000A2434" w:rsidRPr="005B204F" w:rsidRDefault="00EB6989" w:rsidP="00090E05">
      <m:oMathPara>
        <m:oMath>
          <m:sSub>
            <m:sSubPr>
              <m:ctrlPr>
                <w:rPr>
                  <w:rFonts w:ascii="Cambria Math" w:hAnsi="Cambria Math"/>
                  <w:i/>
                </w:rPr>
              </m:ctrlPr>
            </m:sSubPr>
            <m:e>
              <m:r>
                <m:rPr>
                  <m:sty m:val="p"/>
                </m:rPr>
                <w:rPr>
                  <w:rFonts w:ascii="Cambria Math" w:hAnsi="Cambria Math"/>
                </w:rPr>
                <m:t>E</m:t>
              </m:r>
              <m:r>
                <w:rPr>
                  <w:rFonts w:ascii="Cambria Math" w:hAnsi="Cambria Math"/>
                </w:rPr>
                <m:t>(</m:t>
              </m:r>
              <m:r>
                <w:rPr>
                  <w:rFonts w:ascii="Cambria Math" w:hAnsi="Cambria Math"/>
                </w:rPr>
                <m:t>y</m:t>
              </m:r>
            </m:e>
            <m:sub>
              <m:r>
                <w:rPr>
                  <w:rFonts w:ascii="Cambria Math" w:hAnsi="Cambria Math"/>
                </w:rPr>
                <m:t>it</m:t>
              </m:r>
            </m:sub>
          </m:sSub>
          <m:r>
            <w:rPr>
              <w:rFonts w:ascii="Cambria Math" w:hAnsi="Cambria Math"/>
            </w:rPr>
            <m:t>)~</m:t>
          </m:r>
          <m:r>
            <w:rPr>
              <w:rFonts w:ascii="Cambria Math" w:hAnsi="Cambria Math"/>
            </w:rPr>
            <m:t>Poi</m:t>
          </m:r>
          <m:r>
            <w:rPr>
              <w:rFonts w:ascii="Cambria Math" w:hAnsi="Cambria Math"/>
            </w:rPr>
            <m:t>sson</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oMath>
      </m:oMathPara>
    </w:p>
    <w:p w14:paraId="56B56A36" w14:textId="77777777" w:rsidR="00D960DB" w:rsidRDefault="00D960DB" w:rsidP="007948D7"/>
    <w:p w14:paraId="4CC19397" w14:textId="01CDAA43" w:rsidR="007A2EB1" w:rsidRDefault="00C82637" w:rsidP="007948D7">
      <w:r>
        <w:t>where</w:t>
      </w:r>
      <w:r w:rsidRPr="00C82637">
        <w:t xml:space="preserve"> county</w:t>
      </w:r>
      <w:r>
        <w:t xml:space="preserve"> </w:t>
      </w:r>
      <w:r w:rsidRPr="00C82637">
        <w:t xml:space="preserve">and VEM quartile </w:t>
      </w:r>
      <w:r>
        <w:t xml:space="preserve">main effects </w:t>
      </w:r>
      <w:r w:rsidRPr="00C82637">
        <w:t>are included to, respectively, adjust for county-level differences in transmission and mitigation efforts</w:t>
      </w:r>
      <w:r>
        <w:t xml:space="preserve"> </w:t>
      </w:r>
      <w:r w:rsidRPr="00C82637">
        <w:t xml:space="preserve">and inherent differences between VEM Q1 and </w:t>
      </w:r>
      <w:r w:rsidR="00DB3694">
        <w:t>non-Q1</w:t>
      </w:r>
      <w:r w:rsidRPr="00C82637">
        <w:t xml:space="preserve"> </w:t>
      </w:r>
      <w:r w:rsidR="047C1777" w:rsidRPr="00C82637">
        <w:t>ZIP</w:t>
      </w:r>
      <w:r w:rsidRPr="00C82637">
        <w:t xml:space="preserve"> codes independent of the intervention.</w:t>
      </w:r>
      <w:r w:rsidR="00C251B8">
        <w:t xml:space="preserve"> The intervention variable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it</m:t>
            </m:r>
          </m:sub>
        </m:sSub>
      </m:oMath>
      <w:r w:rsidR="675ACC7C">
        <w:t xml:space="preserve"> </w:t>
      </w:r>
      <w:r w:rsidR="00C251B8">
        <w:t>is binary</w:t>
      </w:r>
      <w:r w:rsidR="0096734D">
        <w:t xml:space="preserve">, with </w:t>
      </w:r>
      <w:r w:rsidR="047C1777">
        <w:t>ZIP</w:t>
      </w:r>
      <w:r w:rsidR="0096734D">
        <w:t xml:space="preserve">-weeks observations taking place in VEM Q1 </w:t>
      </w:r>
      <w:r w:rsidR="10C61517">
        <w:t>ZIP</w:t>
      </w:r>
      <w:r w:rsidR="0096734D">
        <w:t xml:space="preserve"> codes after the equity allocation rece</w:t>
      </w:r>
      <w:r w:rsidR="009C3C67">
        <w:t>i</w:t>
      </w:r>
      <w:r w:rsidR="0096734D">
        <w:t xml:space="preserve">ving a 1 and all other observations set to 0. </w:t>
      </w:r>
      <w:r w:rsidR="009C3C67">
        <w:t xml:space="preserve">The final </w:t>
      </w:r>
      <w:r w:rsidR="00E641F1">
        <w:t xml:space="preserve">term represents a cubic spline basis with </w:t>
      </w:r>
      <m:oMath>
        <m:r>
          <w:rPr>
            <w:rFonts w:ascii="Cambria Math" w:hAnsi="Cambria Math"/>
          </w:rPr>
          <m:t>σ</m:t>
        </m:r>
      </m:oMath>
      <w:r w:rsidR="7CDDABAB">
        <w:t xml:space="preserve"> </w:t>
      </w:r>
      <w:r w:rsidR="00DD542A">
        <w:t xml:space="preserve">terms estimated to account for non-linear fluctuations in COVID-19 outcomes over the observation </w:t>
      </w:r>
      <w:r w:rsidR="00BB4470">
        <w:t>period.</w:t>
      </w:r>
      <w:r w:rsidR="00A83549">
        <w:t xml:space="preserve"> Additional main effects of cumulative case</w:t>
      </w:r>
      <w:r w:rsidR="00CE2545">
        <w:t>s per 100,00</w:t>
      </w:r>
      <w:r w:rsidR="001B675F">
        <w:t>0</w:t>
      </w:r>
      <w:r w:rsidR="000F1E6E">
        <w:t xml:space="preserve"> at the </w:t>
      </w:r>
      <w:r w:rsidR="10C61517">
        <w:t>ZIP</w:t>
      </w:r>
      <w:r w:rsidR="000F1E6E">
        <w:t>-week level</w:t>
      </w:r>
      <w:r w:rsidR="0027578D">
        <w:t xml:space="preserve"> </w:t>
      </w:r>
      <w:r w:rsidR="00514330">
        <w:t>(</w:t>
      </w:r>
      <w:r w:rsidR="0027578D">
        <w:t>cumcasep100k)</w:t>
      </w:r>
      <w:r w:rsidR="00A83549">
        <w:t>, cumulative vaccinat</w:t>
      </w:r>
      <w:r w:rsidR="00CE2545">
        <w:t>ions per 100,000</w:t>
      </w:r>
      <w:r w:rsidR="000F1E6E">
        <w:t xml:space="preserve"> at the </w:t>
      </w:r>
      <w:r w:rsidR="50D179F9">
        <w:t>ZIP</w:t>
      </w:r>
      <w:r w:rsidR="000F1E6E">
        <w:t>-week level</w:t>
      </w:r>
      <w:r w:rsidR="0027578D">
        <w:t xml:space="preserve"> (cumvaxp100k)</w:t>
      </w:r>
      <w:r w:rsidR="00CE2545">
        <w:t>, test rates</w:t>
      </w:r>
      <w:r w:rsidR="00564812">
        <w:t xml:space="preserve"> at </w:t>
      </w:r>
      <w:r w:rsidR="7B34FF9E">
        <w:t>t</w:t>
      </w:r>
      <w:r w:rsidR="00564812">
        <w:t>h</w:t>
      </w:r>
      <w:r w:rsidR="7B34FF9E">
        <w:t>e</w:t>
      </w:r>
      <w:r w:rsidR="00564812">
        <w:t xml:space="preserve"> </w:t>
      </w:r>
      <w:r w:rsidR="50D179F9">
        <w:t>ZIP</w:t>
      </w:r>
      <w:r w:rsidR="00564812">
        <w:t>-week level</w:t>
      </w:r>
      <w:r w:rsidR="0027578D">
        <w:t xml:space="preserve"> (testp100k)</w:t>
      </w:r>
      <w:r w:rsidR="00CE2545">
        <w:t xml:space="preserve">, percent of the population over </w:t>
      </w:r>
      <w:r w:rsidR="00FC0BF7">
        <w:t>age 50</w:t>
      </w:r>
      <w:r w:rsidR="00564812">
        <w:t xml:space="preserve"> at the </w:t>
      </w:r>
      <w:r w:rsidR="6FA690BE">
        <w:t>ZIP</w:t>
      </w:r>
      <w:r w:rsidR="00564812">
        <w:t xml:space="preserve"> level</w:t>
      </w:r>
      <w:r w:rsidR="0027578D">
        <w:t xml:space="preserve"> (per50up)</w:t>
      </w:r>
      <w:r w:rsidR="00FC0BF7">
        <w:t>, and interaction terms</w:t>
      </w:r>
      <w:r w:rsidR="00277F7A">
        <w:t xml:space="preserve"> between the intervention and the spline, county, and VEM terms</w:t>
      </w:r>
      <w:r w:rsidR="00F25E57">
        <w:t xml:space="preserve"> (</w:t>
      </w:r>
      <w:proofErr w:type="spellStart"/>
      <w:r w:rsidR="00F25E57">
        <w:t>int:spline</w:t>
      </w:r>
      <w:proofErr w:type="spellEnd"/>
      <w:r w:rsidR="00F25E57">
        <w:t xml:space="preserve">, </w:t>
      </w:r>
      <w:proofErr w:type="spellStart"/>
      <w:r w:rsidR="00F25E57">
        <w:t>int:</w:t>
      </w:r>
      <w:r w:rsidR="00277F7A">
        <w:t>county</w:t>
      </w:r>
      <w:proofErr w:type="spellEnd"/>
      <w:r w:rsidR="00F25E57">
        <w:t xml:space="preserve">, and </w:t>
      </w:r>
      <w:proofErr w:type="spellStart"/>
      <w:r w:rsidR="00F25E57">
        <w:t>int:</w:t>
      </w:r>
      <w:r w:rsidR="00277F7A">
        <w:t>VEM</w:t>
      </w:r>
      <w:proofErr w:type="spellEnd"/>
      <w:r w:rsidR="00F25E57">
        <w:t>)</w:t>
      </w:r>
      <w:r w:rsidR="00FC0BF7">
        <w:t xml:space="preserve"> were tested across all 108 possible combinations </w:t>
      </w:r>
      <w:r w:rsidR="00BD16C7">
        <w:t>and assessed using 10 iterations of 10-fold cross validation (Table S2</w:t>
      </w:r>
      <w:r w:rsidR="00D6285B">
        <w:t>-4</w:t>
      </w:r>
      <w:r w:rsidR="00BD16C7">
        <w:t>)</w:t>
      </w:r>
      <w:r w:rsidR="006830F5">
        <w:t>.</w:t>
      </w:r>
      <w:r w:rsidR="00EB6CE8">
        <w:t xml:space="preserve"> The square root of the MSE gives a</w:t>
      </w:r>
      <w:r w:rsidR="00347E43">
        <w:t xml:space="preserve">n </w:t>
      </w:r>
      <w:r w:rsidR="00EB6CE8">
        <w:t>interpretable measure of model fit: the average error in outcomes estimated per ZIP-week observation. ZIP codes in counties with less than 100K population—together just 2.4% of California’s population—were excluded in this model evaluation step to avoid errors in the cross-validation procedure caused by counties containing insufficient ZIP codes to allocate to both training and validation sets.</w:t>
      </w:r>
      <w:r w:rsidR="00FE2A91">
        <w:t xml:space="preserve"> </w:t>
      </w:r>
      <w:r w:rsidR="0076475C">
        <w:t xml:space="preserve">In addition to the main results generated from 10,000 non-parametric bootstrapped samples </w:t>
      </w:r>
      <w:r w:rsidR="0093639F">
        <w:t xml:space="preserve">of the best performing model, </w:t>
      </w:r>
      <w:r w:rsidR="00FE2A91">
        <w:t>counterfactual estimates from the next best performing (in terms of low MSE) models were generated and used to estimate VEM Q1 outcomes averted to ensure that results were not unique to the best performing model. For these estimates, only 100 bootstrapped samples per model were performed due to limited computational resources.</w:t>
      </w:r>
    </w:p>
    <w:p w14:paraId="71974F27" w14:textId="77777777" w:rsidR="007A2EB1" w:rsidRDefault="007A2EB1" w:rsidP="007948D7"/>
    <w:p w14:paraId="32043DF2" w14:textId="720569EB" w:rsidR="00466F8B" w:rsidRPr="000D5141" w:rsidRDefault="00466F8B" w:rsidP="00466F8B">
      <w:pPr>
        <w:pStyle w:val="Heading4"/>
      </w:pPr>
      <w:r w:rsidRPr="000D5141">
        <w:t xml:space="preserve">Policy impact on COVID-19 </w:t>
      </w:r>
      <w:r w:rsidR="00D2604D">
        <w:t>hospitalizations and deaths</w:t>
      </w:r>
    </w:p>
    <w:p w14:paraId="67C94806" w14:textId="5737749C" w:rsidR="00466F8B" w:rsidRPr="0047165F" w:rsidRDefault="00466F8B" w:rsidP="00466F8B">
      <w:pPr>
        <w:ind w:firstLine="720"/>
      </w:pPr>
      <w:r w:rsidRPr="001F09EF">
        <w:t xml:space="preserve">The best performing hospitalizations model was </w:t>
      </w:r>
      <w:proofErr w:type="gramStart"/>
      <w:r w:rsidRPr="001F09EF">
        <w:t>similar</w:t>
      </w:r>
      <w:r w:rsidR="002B5D83">
        <w:t xml:space="preserve"> to</w:t>
      </w:r>
      <w:proofErr w:type="gramEnd"/>
      <w:r w:rsidR="002B5D83">
        <w:t xml:space="preserve"> the best cases mode in that it included </w:t>
      </w:r>
      <w:r w:rsidR="002B5D83" w:rsidRPr="001F09EF">
        <w:t xml:space="preserve">post-intervention spline term </w:t>
      </w:r>
      <w:r w:rsidR="002B5D83">
        <w:t>and</w:t>
      </w:r>
      <w:r w:rsidR="002B5D83" w:rsidRPr="001F09EF">
        <w:t xml:space="preserve"> the cumulative vaccination rate</w:t>
      </w:r>
      <w:r w:rsidRPr="001F09EF">
        <w:t xml:space="preserve">, but </w:t>
      </w:r>
      <w:r w:rsidR="002B5D83">
        <w:t xml:space="preserve">it </w:t>
      </w:r>
      <w:r w:rsidRPr="001F09EF">
        <w:t>additionally contained terms for the testing rate and the proportion of the population over 50</w:t>
      </w:r>
      <w:r>
        <w:t xml:space="preserve"> years old (</w:t>
      </w:r>
      <w:r w:rsidR="00EB6989">
        <w:t>Appendix</w:t>
      </w:r>
      <w:r>
        <w:t xml:space="preserve"> Table 3)</w:t>
      </w:r>
      <w:r w:rsidRPr="001F09EF">
        <w:t xml:space="preserve">. The best performing </w:t>
      </w:r>
      <w:r>
        <w:t>death</w:t>
      </w:r>
      <w:r w:rsidRPr="001F09EF">
        <w:t>s model contained an intervention by county interaction as well as the cumulative vaccination rate and proportion of the population over 50 (</w:t>
      </w:r>
      <w:r w:rsidR="00EB6989">
        <w:t>Appendix</w:t>
      </w:r>
      <w:r w:rsidRPr="001F09EF">
        <w:t xml:space="preserve"> Table </w:t>
      </w:r>
      <w:r>
        <w:t>4</w:t>
      </w:r>
      <w:r w:rsidRPr="001F09EF">
        <w:t>).</w:t>
      </w:r>
      <w:r w:rsidRPr="0024065D">
        <w:t xml:space="preserve"> </w:t>
      </w:r>
      <w:r w:rsidRPr="005C70CD">
        <w:t>Out-of-sample error from these models was relatively low, translating to approximately 2 hospitalizations and less than 1 mortality per ZIP-week observation</w:t>
      </w:r>
      <w:r>
        <w:t xml:space="preserve">. For all </w:t>
      </w:r>
      <w:r>
        <w:lastRenderedPageBreak/>
        <w:t xml:space="preserve">outcomes, the best performing </w:t>
      </w:r>
      <w:r w:rsidRPr="4A777307">
        <w:t>model</w:t>
      </w:r>
      <w:r>
        <w:t xml:space="preserve"> closely reproduced observed outcomes (</w:t>
      </w:r>
      <w:r w:rsidR="00EB6989">
        <w:t>Appendix</w:t>
      </w:r>
      <w:r>
        <w:t xml:space="preserve"> Figures 1-3), providing confidence in counterfactual </w:t>
      </w:r>
      <w:r w:rsidRPr="005C70CD">
        <w:t xml:space="preserve">estimates used to estimate outcomes averted. </w:t>
      </w:r>
    </w:p>
    <w:p w14:paraId="2FDD0997" w14:textId="1B6DAFDD" w:rsidR="00466F8B" w:rsidRDefault="00466F8B" w:rsidP="002B5D83">
      <w:pPr>
        <w:ind w:firstLine="720"/>
      </w:pPr>
      <w:r>
        <w:t>From these models, it was estimated that in the eight months following the vaccine equity allocation, 1</w:t>
      </w:r>
      <w:bookmarkStart w:id="2" w:name="_Hlk144474802"/>
      <w:r>
        <w:t>0,248 (95%CI: 6,111 – 14,853) hospitalizations</w:t>
      </w:r>
      <w:bookmarkEnd w:id="2"/>
      <w:r>
        <w:t xml:space="preserve"> and </w:t>
      </w:r>
      <w:bookmarkStart w:id="3" w:name="_Hlk144474827"/>
      <w:r>
        <w:t xml:space="preserve">679 (95%CI: -32 – 1,451) deaths </w:t>
      </w:r>
      <w:bookmarkEnd w:id="3"/>
      <w:r>
        <w:t xml:space="preserve">were averted in VEM Q1 ZIP codes. This represents 27.8% of all expected hospitalizations and 11.6% of all expected deaths that would have occurred in VEM Q1 between March 1 and November 1, </w:t>
      </w:r>
      <w:proofErr w:type="gramStart"/>
      <w:r>
        <w:t>2021</w:t>
      </w:r>
      <w:proofErr w:type="gramEnd"/>
      <w:r>
        <w:t xml:space="preserve"> in the absence of the vaccine equity allocation. Most of the outcomes averted in this </w:t>
      </w:r>
      <w:proofErr w:type="gramStart"/>
      <w:r>
        <w:t>time period</w:t>
      </w:r>
      <w:proofErr w:type="gramEnd"/>
      <w:r>
        <w:t xml:space="preserve"> came after July 1, 2021, during the beginning of California’s Delta variant wave (Exhibit 2, </w:t>
      </w:r>
      <w:r w:rsidR="00EB6989">
        <w:t>Appendix</w:t>
      </w:r>
      <w:r>
        <w:t xml:space="preserve"> Figures </w:t>
      </w:r>
      <w:r w:rsidR="00EB6989">
        <w:t>S</w:t>
      </w:r>
      <w:r>
        <w:t>4-</w:t>
      </w:r>
      <w:r w:rsidR="00EB6989">
        <w:t>S</w:t>
      </w:r>
      <w:r>
        <w:t>5). However, 641 (95%CI: 213 – 1,108) hospitalizations and 86 (95%CI: 12 – 168) deaths were averted in the first two months following the equity allocation (</w:t>
      </w:r>
      <w:r w:rsidR="00EB6989">
        <w:t>Appendix</w:t>
      </w:r>
      <w:r>
        <w:t xml:space="preserve"> Figures </w:t>
      </w:r>
      <w:r w:rsidR="00EB6989">
        <w:t>S</w:t>
      </w:r>
      <w:r>
        <w:t>4-</w:t>
      </w:r>
      <w:r w:rsidR="00EB6989">
        <w:t>S</w:t>
      </w:r>
      <w:r>
        <w:t>5).</w:t>
      </w:r>
    </w:p>
    <w:p w14:paraId="1CD1B712" w14:textId="1B697B3E" w:rsidR="00D2604D" w:rsidRDefault="00466F8B" w:rsidP="00D2604D">
      <w:pPr>
        <w:ind w:firstLine="720"/>
      </w:pPr>
      <w:r>
        <w:t xml:space="preserve">While 27% of California’s population resides in VEM Q1 areas, residents in VEM Q1 accounted for 39% of hospitalizations </w:t>
      </w:r>
      <w:r w:rsidR="002B5D83">
        <w:t xml:space="preserve">and </w:t>
      </w:r>
      <w:r>
        <w:t>deaths in the two months before the vaccine equity allocation policy was implemented (</w:t>
      </w:r>
      <w:r w:rsidR="00EB6989">
        <w:t>Appendix</w:t>
      </w:r>
      <w:r>
        <w:t xml:space="preserve"> Figures </w:t>
      </w:r>
      <w:r w:rsidR="00EB6989">
        <w:t>S</w:t>
      </w:r>
      <w:r>
        <w:t>6-</w:t>
      </w:r>
      <w:r w:rsidR="00EB6989">
        <w:t>S</w:t>
      </w:r>
      <w:r>
        <w:t xml:space="preserve">7). </w:t>
      </w:r>
      <w:r w:rsidR="00CD7A36">
        <w:t>Disparities in hospitalizations were notable improved among VEM Q1 communities in the post-policy period,</w:t>
      </w:r>
      <w:r w:rsidR="002B5D83">
        <w:t xml:space="preserve"> </w:t>
      </w:r>
      <w:r w:rsidR="00CD7A36">
        <w:t xml:space="preserve">though the observed proportion of hospitalizations occurring among VEM Q1 communities never reached the VEM Q1 population proportion </w:t>
      </w:r>
      <w:r w:rsidR="002B5D83">
        <w:t>(</w:t>
      </w:r>
      <w:r w:rsidR="00EB6989">
        <w:t>Appendix</w:t>
      </w:r>
      <w:r w:rsidR="002B5D83">
        <w:t xml:space="preserve"> Figure </w:t>
      </w:r>
      <w:r w:rsidR="00EB6989">
        <w:t>S</w:t>
      </w:r>
      <w:r w:rsidR="002B5D83">
        <w:t>6)</w:t>
      </w:r>
      <w:r w:rsidR="00CD7A36">
        <w:t>. Disparities in deaths were less impacted by the policy, with observed and counterfactual estimates of the proportion of deaths occurring among VEMQ1 communities tracking closely in the post policy period (</w:t>
      </w:r>
      <w:r w:rsidR="00EB6989">
        <w:t>Appendix</w:t>
      </w:r>
      <w:r w:rsidR="00CD7A36">
        <w:t xml:space="preserve"> Figure </w:t>
      </w:r>
      <w:r w:rsidR="00EB6989">
        <w:t>S</w:t>
      </w:r>
      <w:r w:rsidR="00CD7A36">
        <w:t xml:space="preserve">7). Together these results suggest that additional factors—such as higher rates of comorbidities—among VEM Q1 residents that were not affected by the vaccine equity allocation policy contributed to the disproportionate share of severe COVID-19 outcomes. </w:t>
      </w:r>
    </w:p>
    <w:p w14:paraId="0D75BD66" w14:textId="77777777" w:rsidR="00547AE0" w:rsidRDefault="00547AE0" w:rsidP="00547AE0">
      <w:pPr>
        <w:ind w:firstLine="720"/>
      </w:pPr>
      <w:r w:rsidRPr="00A143CE">
        <w:t>Our approach to evaluate candidate models on their out-of-sample performance optimizes our counterfactual estimates by rigorously identifying the model with the best out-of-sample predictions. The models with the best performance for each outcome in this analysis included terms related to important drivers of COVID-19 outcomes including older age, prior vaccination, and prior infections that reduce population susceptibility. Out-of-sample error from these models was relatively low across all outcomes considered, and bootstrapped resampling at the ZIP code level to generate uncertainty estimates ensures that our results are not reliant on a small number of overly influential observations (such as very high population ZIP codes) and that results accurately reflect uncertainty in the estimation procedure. Finally, we also estimated the main outcomes averted measure for the next nine best performing models to ensure that our results were not entirely reliant on the best performing model and found similar results across cases, hospitalizations, and deaths.</w:t>
      </w:r>
    </w:p>
    <w:p w14:paraId="2588D590" w14:textId="77777777" w:rsidR="00547AE0" w:rsidRDefault="00547AE0" w:rsidP="00D2604D">
      <w:pPr>
        <w:ind w:firstLine="720"/>
      </w:pPr>
    </w:p>
    <w:p w14:paraId="1A92654F" w14:textId="7D4539F9" w:rsidR="002B5D83" w:rsidRDefault="002B5D83" w:rsidP="002B5D83">
      <w:r>
        <w:br w:type="page"/>
      </w:r>
    </w:p>
    <w:p w14:paraId="1E55637B" w14:textId="4CD63542" w:rsidR="006830F5" w:rsidRDefault="006830F5" w:rsidP="00090E05">
      <w:r>
        <w:rPr>
          <w:noProof/>
        </w:rPr>
        <w:lastRenderedPageBreak/>
        <w:drawing>
          <wp:inline distT="0" distB="0" distL="0" distR="0" wp14:anchorId="50C5FB12" wp14:editId="563DB010">
            <wp:extent cx="4620126" cy="3696101"/>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ImpactEval_CounterfactualOutcomes_Results_files/figure-docx/mod_v_obs_cas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AEE3DA" w14:textId="7C8252C3" w:rsidR="006830F5" w:rsidRPr="003D3176" w:rsidRDefault="006830F5" w:rsidP="006830F5">
      <w:pPr>
        <w:pStyle w:val="BodyText"/>
        <w:rPr>
          <w:sz w:val="20"/>
          <w:szCs w:val="20"/>
        </w:rPr>
      </w:pPr>
      <w:r>
        <w:rPr>
          <w:b/>
          <w:bCs/>
          <w:sz w:val="20"/>
          <w:szCs w:val="20"/>
        </w:rPr>
        <w:t xml:space="preserve">Supplementary Figure </w:t>
      </w:r>
      <w:r w:rsidR="00547AE0">
        <w:rPr>
          <w:b/>
          <w:bCs/>
          <w:sz w:val="20"/>
          <w:szCs w:val="20"/>
        </w:rPr>
        <w:t>2</w:t>
      </w:r>
      <w:r w:rsidRPr="00BB07F0">
        <w:rPr>
          <w:b/>
          <w:bCs/>
          <w:sz w:val="20"/>
          <w:szCs w:val="20"/>
        </w:rPr>
        <w:t xml:space="preserve">: </w:t>
      </w:r>
      <w:r w:rsidR="00F80164">
        <w:rPr>
          <w:b/>
          <w:bCs/>
          <w:sz w:val="20"/>
          <w:szCs w:val="20"/>
        </w:rPr>
        <w:t xml:space="preserve">Best performing case model </w:t>
      </w:r>
      <w:r w:rsidR="00B65283">
        <w:rPr>
          <w:b/>
          <w:bCs/>
          <w:sz w:val="20"/>
          <w:szCs w:val="20"/>
        </w:rPr>
        <w:t>estimates compared to observed cases stratified by VEM quartile.</w:t>
      </w:r>
      <w:r w:rsidR="003D3176">
        <w:rPr>
          <w:b/>
          <w:bCs/>
          <w:sz w:val="20"/>
          <w:szCs w:val="20"/>
        </w:rPr>
        <w:t xml:space="preserve"> </w:t>
      </w:r>
      <w:r w:rsidR="003D3176">
        <w:rPr>
          <w:sz w:val="20"/>
          <w:szCs w:val="20"/>
        </w:rPr>
        <w:t xml:space="preserve">In each panel, the blue line represents observed total weekly cases </w:t>
      </w:r>
      <w:r w:rsidR="007038DC">
        <w:rPr>
          <w:sz w:val="20"/>
          <w:szCs w:val="20"/>
        </w:rPr>
        <w:t xml:space="preserve">in California among all </w:t>
      </w:r>
      <w:r w:rsidR="6FA690BE" w:rsidRPr="0F66F304">
        <w:rPr>
          <w:sz w:val="20"/>
          <w:szCs w:val="20"/>
        </w:rPr>
        <w:t>ZIP</w:t>
      </w:r>
      <w:r w:rsidR="007038DC">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cases model. </w:t>
      </w:r>
      <w:r w:rsidR="004C34E6">
        <w:rPr>
          <w:sz w:val="20"/>
          <w:szCs w:val="20"/>
        </w:rPr>
        <w:t xml:space="preserve">Estimates from the best performing cases model (black) closely align with observed cases (blue) across VEM quartiles and through time. </w:t>
      </w:r>
      <w:r w:rsidR="007038DC">
        <w:rPr>
          <w:sz w:val="20"/>
          <w:szCs w:val="20"/>
        </w:rPr>
        <w:t>The same mode</w:t>
      </w:r>
      <w:r w:rsidR="003720FD">
        <w:rPr>
          <w:sz w:val="20"/>
          <w:szCs w:val="20"/>
        </w:rPr>
        <w:t>l</w:t>
      </w:r>
      <w:r w:rsidR="007038DC">
        <w:rPr>
          <w:sz w:val="20"/>
          <w:szCs w:val="20"/>
        </w:rPr>
        <w:t xml:space="preserve"> </w:t>
      </w:r>
      <w:r w:rsidR="003720FD">
        <w:rPr>
          <w:sz w:val="20"/>
          <w:szCs w:val="20"/>
        </w:rPr>
        <w:t xml:space="preserve">is used to generate counterfactual VEM Q1 case estimates </w:t>
      </w:r>
      <w:r w:rsidR="00796980">
        <w:rPr>
          <w:sz w:val="20"/>
          <w:szCs w:val="20"/>
        </w:rPr>
        <w:t>in the absence of the equity allocation</w:t>
      </w:r>
      <w:r w:rsidR="00FB3D43">
        <w:rPr>
          <w:sz w:val="20"/>
          <w:szCs w:val="20"/>
        </w:rPr>
        <w:t>, which are</w:t>
      </w:r>
      <w:r w:rsidR="00796980">
        <w:rPr>
          <w:sz w:val="20"/>
          <w:szCs w:val="20"/>
        </w:rPr>
        <w:t xml:space="preserve"> </w:t>
      </w:r>
      <w:r w:rsidR="003720FD">
        <w:rPr>
          <w:sz w:val="20"/>
          <w:szCs w:val="20"/>
        </w:rPr>
        <w:t>shown in red</w:t>
      </w:r>
      <w:r w:rsidR="00796980">
        <w:rPr>
          <w:sz w:val="20"/>
          <w:szCs w:val="20"/>
        </w:rPr>
        <w:t xml:space="preserve">. The difference between these counterfactual case estimates (red) and observed cases (blue) </w:t>
      </w:r>
      <w:r w:rsidR="00FB6D33">
        <w:rPr>
          <w:sz w:val="20"/>
          <w:szCs w:val="20"/>
        </w:rPr>
        <w:t>is the reported cases averted result.</w:t>
      </w:r>
      <w:r w:rsidR="00FB3D43">
        <w:rPr>
          <w:sz w:val="20"/>
          <w:szCs w:val="20"/>
        </w:rPr>
        <w:t xml:space="preserve"> The vertical dotted line represents the date the equity allocation policy was implemented. </w:t>
      </w:r>
    </w:p>
    <w:p w14:paraId="299978F8" w14:textId="77777777" w:rsidR="006268D3" w:rsidRDefault="006268D3" w:rsidP="006830F5">
      <w:pPr>
        <w:pStyle w:val="BodyText"/>
        <w:rPr>
          <w:b/>
          <w:bCs/>
          <w:sz w:val="20"/>
          <w:szCs w:val="20"/>
        </w:rPr>
      </w:pPr>
    </w:p>
    <w:p w14:paraId="6649E3FD" w14:textId="3BBC483D" w:rsidR="006268D3" w:rsidRDefault="006268D3" w:rsidP="006830F5">
      <w:pPr>
        <w:pStyle w:val="BodyText"/>
        <w:rPr>
          <w:sz w:val="20"/>
          <w:szCs w:val="20"/>
        </w:rPr>
      </w:pPr>
      <w:r>
        <w:rPr>
          <w:noProof/>
        </w:rPr>
        <w:lastRenderedPageBreak/>
        <w:drawing>
          <wp:inline distT="0" distB="0" distL="0" distR="0" wp14:anchorId="412C1225" wp14:editId="52C0E1F1">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ImpactEval_CounterfactualOutcomes_Results_files/figure-docx/mod_v_obs_hosp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CE1B07" w14:textId="640276D0" w:rsidR="006268D3" w:rsidRDefault="006268D3" w:rsidP="006268D3">
      <w:pPr>
        <w:pStyle w:val="BodyText"/>
        <w:rPr>
          <w:b/>
          <w:bCs/>
          <w:sz w:val="20"/>
          <w:szCs w:val="20"/>
        </w:rPr>
      </w:pPr>
      <w:r>
        <w:rPr>
          <w:b/>
          <w:bCs/>
          <w:sz w:val="20"/>
          <w:szCs w:val="20"/>
        </w:rPr>
        <w:t xml:space="preserve">Supplementary Figure </w:t>
      </w:r>
      <w:r w:rsidR="00547AE0">
        <w:rPr>
          <w:b/>
          <w:bCs/>
          <w:sz w:val="20"/>
          <w:szCs w:val="20"/>
        </w:rPr>
        <w:t>3</w:t>
      </w:r>
      <w:r w:rsidRPr="00BB07F0">
        <w:rPr>
          <w:b/>
          <w:bCs/>
          <w:sz w:val="20"/>
          <w:szCs w:val="20"/>
        </w:rPr>
        <w:t xml:space="preserve">: </w:t>
      </w:r>
      <w:r>
        <w:rPr>
          <w:b/>
          <w:bCs/>
          <w:sz w:val="20"/>
          <w:szCs w:val="20"/>
        </w:rPr>
        <w:t>Best performing hospitalizations model estimates compared to observed hospitalizations stratified by VEM quartile.</w:t>
      </w:r>
      <w:r w:rsidR="001161F1" w:rsidRPr="001161F1">
        <w:rPr>
          <w:sz w:val="20"/>
          <w:szCs w:val="20"/>
        </w:rPr>
        <w:t xml:space="preserve"> </w:t>
      </w:r>
      <w:r w:rsidR="001161F1">
        <w:rPr>
          <w:sz w:val="20"/>
          <w:szCs w:val="20"/>
        </w:rPr>
        <w:t xml:space="preserve">In each panel, the blue line represents observed total weekly COVID-19 hospitalizations in California among all </w:t>
      </w:r>
      <w:r w:rsidR="50D8841F" w:rsidRPr="0F66F304">
        <w:rPr>
          <w:sz w:val="20"/>
          <w:szCs w:val="20"/>
        </w:rPr>
        <w:t>ZIP</w:t>
      </w:r>
      <w:r w:rsidR="001161F1">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w:t>
      </w:r>
      <w:r w:rsidR="004C34E6">
        <w:rPr>
          <w:sz w:val="20"/>
          <w:szCs w:val="20"/>
        </w:rPr>
        <w:t>hospitalizations</w:t>
      </w:r>
      <w:r w:rsidR="001161F1">
        <w:rPr>
          <w:sz w:val="20"/>
          <w:szCs w:val="20"/>
        </w:rPr>
        <w:t xml:space="preserve"> model. </w:t>
      </w:r>
      <w:r w:rsidR="004C34E6">
        <w:rPr>
          <w:sz w:val="20"/>
          <w:szCs w:val="20"/>
        </w:rPr>
        <w:t xml:space="preserve">Estimates from the best performing hospitalizations model (black) closely align with observed hospitalizations (blue) across VEM quartiles and through time. </w:t>
      </w:r>
      <w:r w:rsidR="001161F1">
        <w:rPr>
          <w:sz w:val="20"/>
          <w:szCs w:val="20"/>
        </w:rPr>
        <w:t xml:space="preserve">The same model is used to generate counterfactual VEM Q1 </w:t>
      </w:r>
      <w:r w:rsidR="004C34E6">
        <w:rPr>
          <w:sz w:val="20"/>
          <w:szCs w:val="20"/>
        </w:rPr>
        <w:t>hospitalization</w:t>
      </w:r>
      <w:r w:rsidR="001161F1">
        <w:rPr>
          <w:sz w:val="20"/>
          <w:szCs w:val="20"/>
        </w:rPr>
        <w:t xml:space="preserve"> estimates in the absence of the equity allocation, which are shown in red. The difference between these counterfactual </w:t>
      </w:r>
      <w:r w:rsidR="004C34E6">
        <w:rPr>
          <w:sz w:val="20"/>
          <w:szCs w:val="20"/>
        </w:rPr>
        <w:t>hospitalization</w:t>
      </w:r>
      <w:r w:rsidR="001161F1">
        <w:rPr>
          <w:sz w:val="20"/>
          <w:szCs w:val="20"/>
        </w:rPr>
        <w:t xml:space="preserve"> estimates (red) and observed </w:t>
      </w:r>
      <w:r w:rsidR="004C34E6">
        <w:rPr>
          <w:sz w:val="20"/>
          <w:szCs w:val="20"/>
        </w:rPr>
        <w:t xml:space="preserve">hospitalizations </w:t>
      </w:r>
      <w:r w:rsidR="001161F1">
        <w:rPr>
          <w:sz w:val="20"/>
          <w:szCs w:val="20"/>
        </w:rPr>
        <w:t xml:space="preserve">(blue) is the reported </w:t>
      </w:r>
      <w:r w:rsidR="004C34E6">
        <w:rPr>
          <w:sz w:val="20"/>
          <w:szCs w:val="20"/>
        </w:rPr>
        <w:t xml:space="preserve">hospitalizations </w:t>
      </w:r>
      <w:r w:rsidR="001161F1">
        <w:rPr>
          <w:sz w:val="20"/>
          <w:szCs w:val="20"/>
        </w:rPr>
        <w:t xml:space="preserve">averted result. The vertical dotted line represents the date the equity allocation policy was implemented. </w:t>
      </w:r>
    </w:p>
    <w:p w14:paraId="205610C5" w14:textId="77777777" w:rsidR="006268D3" w:rsidRPr="008A263D" w:rsidRDefault="006268D3" w:rsidP="006830F5">
      <w:pPr>
        <w:pStyle w:val="BodyText"/>
        <w:rPr>
          <w:sz w:val="20"/>
          <w:szCs w:val="20"/>
        </w:rPr>
      </w:pPr>
    </w:p>
    <w:p w14:paraId="4500E834" w14:textId="77777777" w:rsidR="00145C2F" w:rsidRDefault="00145C2F">
      <w:r>
        <w:rPr>
          <w:noProof/>
        </w:rPr>
        <w:lastRenderedPageBreak/>
        <w:drawing>
          <wp:inline distT="0" distB="0" distL="0" distR="0" wp14:anchorId="6FD96735" wp14:editId="02595FE8">
            <wp:extent cx="4620126" cy="369610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2" name="Picture" descr="ImpactEval_CounterfactualOutcomes_Results_files/figure-docx/mod_v_obs_death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ED8F45F" w14:textId="683D260A" w:rsidR="00145C2F" w:rsidRDefault="00145C2F" w:rsidP="00145C2F">
      <w:pPr>
        <w:pStyle w:val="BodyText"/>
        <w:rPr>
          <w:sz w:val="20"/>
          <w:szCs w:val="20"/>
        </w:rPr>
      </w:pPr>
      <w:r>
        <w:rPr>
          <w:b/>
          <w:bCs/>
          <w:sz w:val="20"/>
          <w:szCs w:val="20"/>
        </w:rPr>
        <w:t xml:space="preserve">Supplementary Figure </w:t>
      </w:r>
      <w:r w:rsidR="00547AE0">
        <w:rPr>
          <w:b/>
          <w:bCs/>
          <w:sz w:val="20"/>
          <w:szCs w:val="20"/>
        </w:rPr>
        <w:t>4</w:t>
      </w:r>
      <w:r w:rsidRPr="00BB07F0">
        <w:rPr>
          <w:b/>
          <w:bCs/>
          <w:sz w:val="20"/>
          <w:szCs w:val="20"/>
        </w:rPr>
        <w:t xml:space="preserve">: </w:t>
      </w:r>
      <w:r>
        <w:rPr>
          <w:b/>
          <w:bCs/>
          <w:sz w:val="20"/>
          <w:szCs w:val="20"/>
        </w:rPr>
        <w:t>Best performing mortalities model estimates compared to observed mortalities stratified by VEM quartile.</w:t>
      </w:r>
      <w:r w:rsidR="004C34E6" w:rsidRPr="004C34E6">
        <w:rPr>
          <w:sz w:val="20"/>
          <w:szCs w:val="20"/>
        </w:rPr>
        <w:t xml:space="preserve"> </w:t>
      </w:r>
      <w:r w:rsidR="004C34E6">
        <w:rPr>
          <w:sz w:val="20"/>
          <w:szCs w:val="20"/>
        </w:rPr>
        <w:t xml:space="preserve">In each panel, the blue line represents observed total weekly COVID-19 deaths in California among all </w:t>
      </w:r>
      <w:r w:rsidR="50D8841F" w:rsidRPr="0F66F304">
        <w:rPr>
          <w:sz w:val="20"/>
          <w:szCs w:val="20"/>
        </w:rPr>
        <w:t>ZIP</w:t>
      </w:r>
      <w:r w:rsidR="004C34E6">
        <w:rPr>
          <w:sz w:val="20"/>
          <w:szCs w:val="20"/>
        </w:rPr>
        <w:t xml:space="preserve"> codes falling into the indicated Vaccine Equity Metric (VEM) quartile. Black lines and shading represent the median and 95% confidence interval from 10,000 bootstrapped estimates of VEM-stratified weekly deaths estimated from the best performing deaths model. Estimates from the best performing deaths model (black) closely align with observed deaths (blue) across VEM quartiles and through time. The same model is used to generate counterfactual VEM Q1 death estimates in the absence of the equity allocation, which are shown in red. The difference between these counterfactual death estimates (red) and observed deaths (blue) is the reported deaths averted result. The vertical dotted line represents the date the equity allocation policy was implemented.</w:t>
      </w:r>
    </w:p>
    <w:p w14:paraId="6D2F109D" w14:textId="76D41FE7" w:rsidR="00F83913" w:rsidRDefault="00AB5250" w:rsidP="00145C2F">
      <w:pPr>
        <w:pStyle w:val="BodyText"/>
        <w:rPr>
          <w:b/>
          <w:bCs/>
          <w:sz w:val="20"/>
          <w:szCs w:val="20"/>
        </w:rPr>
      </w:pPr>
      <w:r>
        <w:rPr>
          <w:noProof/>
          <w:sz w:val="20"/>
          <w:szCs w:val="20"/>
        </w:rPr>
        <w:lastRenderedPageBreak/>
        <w:drawing>
          <wp:inline distT="0" distB="0" distL="0" distR="0" wp14:anchorId="02EB61E6" wp14:editId="2FFC22E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ECB915" w14:textId="6A006315" w:rsidR="00F83913" w:rsidRDefault="00F83913" w:rsidP="00F83913">
      <w:pPr>
        <w:pStyle w:val="BodyText"/>
        <w:rPr>
          <w:sz w:val="20"/>
          <w:szCs w:val="20"/>
        </w:rPr>
      </w:pPr>
      <w:r>
        <w:rPr>
          <w:b/>
          <w:bCs/>
          <w:sz w:val="20"/>
          <w:szCs w:val="20"/>
        </w:rPr>
        <w:t xml:space="preserve">Supplementary Figure </w:t>
      </w:r>
      <w:r w:rsidR="00547AE0">
        <w:rPr>
          <w:b/>
          <w:bCs/>
          <w:sz w:val="20"/>
          <w:szCs w:val="20"/>
        </w:rPr>
        <w:t>5</w:t>
      </w:r>
      <w:r w:rsidRPr="00BB07F0">
        <w:rPr>
          <w:b/>
          <w:bCs/>
          <w:sz w:val="20"/>
          <w:szCs w:val="20"/>
        </w:rPr>
        <w:t xml:space="preserve">: </w:t>
      </w:r>
      <w:r w:rsidR="00AB5250" w:rsidRPr="00AB5250">
        <w:rPr>
          <w:sz w:val="20"/>
          <w:szCs w:val="20"/>
        </w:rPr>
        <w:t xml:space="preserve">Time series of weekly </w:t>
      </w:r>
      <w:r w:rsidR="00AB5250">
        <w:rPr>
          <w:sz w:val="20"/>
          <w:szCs w:val="20"/>
        </w:rPr>
        <w:t xml:space="preserve">COVID-19 </w:t>
      </w:r>
      <w:r w:rsidR="00AB5250" w:rsidRPr="00AB5250">
        <w:rPr>
          <w:sz w:val="20"/>
          <w:szCs w:val="20"/>
        </w:rPr>
        <w:t xml:space="preserve">hospitalizations stratified by vaccine equity metric (VEM) quartile in California from March 1, 2021 – November 1, 2021. Hatched blue areas indicate outcomes that were averted in VEM Q1 as estimated in counterfactual analyses. COVID-19 activity remained low until the delta variant caused increases beginning in July 2021. </w:t>
      </w:r>
      <w:r w:rsidR="00AB5250">
        <w:rPr>
          <w:sz w:val="20"/>
          <w:szCs w:val="20"/>
        </w:rPr>
        <w:t>Hospitalizations averted were approximately proportional to weekly hospitalization burden, with more hospitalizations averted during the high period caused by the delta variant.</w:t>
      </w:r>
    </w:p>
    <w:p w14:paraId="12CE0C13" w14:textId="77777777" w:rsidR="00AB5250" w:rsidRPr="00AB5250" w:rsidRDefault="00AB5250" w:rsidP="00F83913">
      <w:pPr>
        <w:pStyle w:val="BodyText"/>
        <w:rPr>
          <w:sz w:val="18"/>
          <w:szCs w:val="18"/>
        </w:rPr>
      </w:pPr>
    </w:p>
    <w:p w14:paraId="598E1C9E" w14:textId="3160179B" w:rsidR="00F83913" w:rsidRDefault="00AB5250" w:rsidP="00145C2F">
      <w:pPr>
        <w:pStyle w:val="BodyText"/>
        <w:rPr>
          <w:b/>
          <w:bCs/>
          <w:sz w:val="20"/>
          <w:szCs w:val="20"/>
        </w:rPr>
      </w:pPr>
      <w:r>
        <w:rPr>
          <w:b/>
          <w:bCs/>
          <w:noProof/>
          <w:sz w:val="20"/>
          <w:szCs w:val="20"/>
        </w:rPr>
        <w:lastRenderedPageBreak/>
        <w:drawing>
          <wp:inline distT="0" distB="0" distL="0" distR="0" wp14:anchorId="3D4A853A" wp14:editId="627EB12E">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7D72A4" w14:textId="30CB4427" w:rsidR="00F83913" w:rsidRDefault="00F83913" w:rsidP="00F83913">
      <w:pPr>
        <w:pStyle w:val="BodyText"/>
        <w:rPr>
          <w:sz w:val="20"/>
          <w:szCs w:val="20"/>
        </w:rPr>
      </w:pPr>
      <w:r>
        <w:rPr>
          <w:b/>
          <w:bCs/>
          <w:sz w:val="20"/>
          <w:szCs w:val="20"/>
        </w:rPr>
        <w:t xml:space="preserve">Supplementary Figure </w:t>
      </w:r>
      <w:r w:rsidR="00547AE0">
        <w:rPr>
          <w:b/>
          <w:bCs/>
          <w:sz w:val="20"/>
          <w:szCs w:val="20"/>
        </w:rPr>
        <w:t>6</w:t>
      </w:r>
      <w:r w:rsidRPr="00BB07F0">
        <w:rPr>
          <w:b/>
          <w:bCs/>
          <w:sz w:val="20"/>
          <w:szCs w:val="20"/>
        </w:rPr>
        <w:t xml:space="preserve">: </w:t>
      </w:r>
      <w:r w:rsidR="00AB5250" w:rsidRPr="00AB5250">
        <w:rPr>
          <w:sz w:val="20"/>
          <w:szCs w:val="20"/>
        </w:rPr>
        <w:t>Time series of weekly COVID-19 deaths stratified by vaccine equity metric (VEM) quartile in California from March 1, 2021 – November 1, 2021. COVID-19 activity remained low until the delta variant caused increases beginning in July 2021. Hatched blue areas indicate deaths that were averted in VEM Q1 as estimated in counterfactual analyses.</w:t>
      </w:r>
      <w:r w:rsidR="00AB5250">
        <w:rPr>
          <w:sz w:val="20"/>
          <w:szCs w:val="20"/>
        </w:rPr>
        <w:t xml:space="preserve"> Relatively fewer deaths were averted due to the policy than may be expected based on the significant number of cases and hospitalizations averted.</w:t>
      </w:r>
    </w:p>
    <w:p w14:paraId="2E766ECB" w14:textId="10851C45" w:rsidR="00F83913" w:rsidRDefault="00AB5250" w:rsidP="00AB5250">
      <w:pPr>
        <w:rPr>
          <w:b/>
          <w:bCs/>
          <w:sz w:val="20"/>
          <w:szCs w:val="20"/>
        </w:rPr>
      </w:pPr>
      <w:r>
        <w:rPr>
          <w:b/>
          <w:bCs/>
          <w:sz w:val="20"/>
          <w:szCs w:val="20"/>
        </w:rPr>
        <w:br w:type="page"/>
      </w:r>
    </w:p>
    <w:p w14:paraId="24AE7393" w14:textId="06BE071B" w:rsidR="002B5D83" w:rsidRDefault="00F83913">
      <w:r>
        <w:rPr>
          <w:noProof/>
        </w:rPr>
        <w:lastRenderedPageBreak/>
        <w:drawing>
          <wp:inline distT="0" distB="0" distL="0" distR="0" wp14:anchorId="181A9A26" wp14:editId="5F7781DE">
            <wp:extent cx="45720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539495F5" w14:textId="54860718" w:rsidR="002B5D83" w:rsidRPr="00F961AF" w:rsidRDefault="002B5D83" w:rsidP="002B5D83">
      <w:pPr>
        <w:pStyle w:val="BodyText"/>
        <w:rPr>
          <w:sz w:val="20"/>
          <w:szCs w:val="20"/>
        </w:rPr>
      </w:pPr>
      <w:r>
        <w:rPr>
          <w:b/>
          <w:bCs/>
          <w:sz w:val="20"/>
          <w:szCs w:val="20"/>
        </w:rPr>
        <w:t xml:space="preserve">Supplementary Figure </w:t>
      </w:r>
      <w:r w:rsidR="00547AE0">
        <w:rPr>
          <w:b/>
          <w:bCs/>
          <w:sz w:val="20"/>
          <w:szCs w:val="20"/>
        </w:rPr>
        <w:t>7</w:t>
      </w:r>
      <w:r w:rsidRPr="00BB07F0">
        <w:rPr>
          <w:b/>
          <w:bCs/>
          <w:sz w:val="20"/>
          <w:szCs w:val="20"/>
        </w:rPr>
        <w:t xml:space="preserve">: </w:t>
      </w:r>
      <w:r w:rsidR="00F961AF" w:rsidRPr="00F961AF">
        <w:rPr>
          <w:sz w:val="20"/>
          <w:szCs w:val="20"/>
        </w:rPr>
        <w:t xml:space="preserve">The percent of all COVID-19 </w:t>
      </w:r>
      <w:r w:rsidR="00F961AF">
        <w:rPr>
          <w:sz w:val="20"/>
          <w:szCs w:val="20"/>
        </w:rPr>
        <w:t>hospitalizations</w:t>
      </w:r>
      <w:r w:rsidR="00F961AF" w:rsidRPr="00F961AF">
        <w:rPr>
          <w:sz w:val="20"/>
          <w:szCs w:val="20"/>
        </w:rPr>
        <w:t xml:space="preserve"> occurring among residents of the least advantaged quartile of the vaccine equity metric (VEM Q1). The blue and orange lines show, respectively, the observed and counterfactual estimates of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that would occur in VEM Q1 if </w:t>
      </w:r>
      <w:r w:rsidR="00A609D6">
        <w:rPr>
          <w:sz w:val="20"/>
          <w:szCs w:val="20"/>
        </w:rPr>
        <w:t>hospitalizations</w:t>
      </w:r>
      <w:r w:rsidR="00A609D6" w:rsidRPr="00F961AF">
        <w:rPr>
          <w:sz w:val="20"/>
          <w:szCs w:val="20"/>
        </w:rPr>
        <w:t xml:space="preserve"> </w:t>
      </w:r>
      <w:r w:rsidR="00F961AF" w:rsidRPr="00F961AF">
        <w:rPr>
          <w:sz w:val="20"/>
          <w:szCs w:val="20"/>
        </w:rPr>
        <w:t xml:space="preserve">were equally distributed across VEM quartiles. Observations above this line suggest that COVID-19 </w:t>
      </w:r>
      <w:r w:rsidR="00A609D6">
        <w:rPr>
          <w:sz w:val="20"/>
          <w:szCs w:val="20"/>
        </w:rPr>
        <w:t>hospitalizations</w:t>
      </w:r>
      <w:r w:rsidR="00A609D6" w:rsidRPr="00F961AF">
        <w:rPr>
          <w:sz w:val="20"/>
          <w:szCs w:val="20"/>
        </w:rPr>
        <w:t xml:space="preserve"> </w:t>
      </w:r>
      <w:r w:rsidR="00F961AF" w:rsidRPr="00F961AF">
        <w:rPr>
          <w:sz w:val="20"/>
          <w:szCs w:val="20"/>
        </w:rPr>
        <w:t xml:space="preserve">were occurring disproportionately among VEM Q1 populations. The blue line falling closer to the horizontal reference line in the after-policy period suggests that the policy reduced disparities in COVID-19 </w:t>
      </w:r>
      <w:r w:rsidR="00A609D6">
        <w:rPr>
          <w:sz w:val="20"/>
          <w:szCs w:val="20"/>
        </w:rPr>
        <w:t>hospitalizations</w:t>
      </w:r>
      <w:r w:rsidR="00F961AF" w:rsidRPr="00F961AF">
        <w:rPr>
          <w:sz w:val="20"/>
          <w:szCs w:val="20"/>
        </w:rPr>
        <w:t xml:space="preserve"> among VEM Q1 residents.</w:t>
      </w:r>
    </w:p>
    <w:p w14:paraId="55230196" w14:textId="3B00B108" w:rsidR="002B5D83" w:rsidRDefault="002B5D83" w:rsidP="002B5D83">
      <w:pPr>
        <w:rPr>
          <w:sz w:val="20"/>
          <w:szCs w:val="20"/>
        </w:rPr>
      </w:pPr>
      <w:r>
        <w:rPr>
          <w:sz w:val="20"/>
          <w:szCs w:val="20"/>
        </w:rPr>
        <w:br w:type="page"/>
      </w:r>
    </w:p>
    <w:p w14:paraId="79CDD78D" w14:textId="34AEBCA7" w:rsidR="002B5D83" w:rsidRDefault="002B5D83" w:rsidP="002B5D83">
      <w:pPr>
        <w:pStyle w:val="BodyText"/>
        <w:rPr>
          <w:b/>
          <w:bCs/>
          <w:sz w:val="20"/>
          <w:szCs w:val="20"/>
        </w:rPr>
      </w:pPr>
      <w:r>
        <w:rPr>
          <w:b/>
          <w:bCs/>
          <w:noProof/>
          <w:sz w:val="20"/>
          <w:szCs w:val="20"/>
        </w:rPr>
        <w:lastRenderedPageBreak/>
        <w:drawing>
          <wp:inline distT="0" distB="0" distL="0" distR="0" wp14:anchorId="307DC7FB" wp14:editId="11A2FC1E">
            <wp:extent cx="4572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A9CE20C" w14:textId="6DC9AD6A" w:rsidR="002B5D83" w:rsidRDefault="002B5D83" w:rsidP="002B5D83">
      <w:pPr>
        <w:pStyle w:val="BodyText"/>
        <w:rPr>
          <w:sz w:val="20"/>
          <w:szCs w:val="20"/>
        </w:rPr>
      </w:pPr>
      <w:r>
        <w:rPr>
          <w:b/>
          <w:bCs/>
          <w:sz w:val="20"/>
          <w:szCs w:val="20"/>
        </w:rPr>
        <w:t xml:space="preserve">Supplementary Figure </w:t>
      </w:r>
      <w:r w:rsidR="00547AE0">
        <w:rPr>
          <w:b/>
          <w:bCs/>
          <w:sz w:val="20"/>
          <w:szCs w:val="20"/>
        </w:rPr>
        <w:t>8</w:t>
      </w:r>
      <w:r w:rsidRPr="00BB07F0">
        <w:rPr>
          <w:b/>
          <w:bCs/>
          <w:sz w:val="20"/>
          <w:szCs w:val="20"/>
        </w:rPr>
        <w:t xml:space="preserve">: </w:t>
      </w:r>
      <w:r w:rsidR="00A609D6">
        <w:rPr>
          <w:sz w:val="20"/>
          <w:szCs w:val="20"/>
        </w:rPr>
        <w:t xml:space="preserve">Same as </w:t>
      </w:r>
      <w:proofErr w:type="gramStart"/>
      <w:r w:rsidR="00A609D6">
        <w:rPr>
          <w:sz w:val="20"/>
          <w:szCs w:val="20"/>
        </w:rPr>
        <w:t>above, but</w:t>
      </w:r>
      <w:proofErr w:type="gramEnd"/>
      <w:r w:rsidR="00A609D6">
        <w:rPr>
          <w:sz w:val="20"/>
          <w:szCs w:val="20"/>
        </w:rPr>
        <w:t xml:space="preserve"> displaying the proportion of deaths occurring among VEM Q1 residents. Unlike cases and hospitalizations, the policy appears to have had less of an influence reducing disparities in deaths.</w:t>
      </w:r>
    </w:p>
    <w:p w14:paraId="08976298" w14:textId="7A297D07" w:rsidR="00927902" w:rsidRDefault="00927902">
      <w:r>
        <w:br w:type="page"/>
      </w:r>
    </w:p>
    <w:p w14:paraId="52A4ED6B" w14:textId="4F5E1B49" w:rsidR="00927902" w:rsidRDefault="0047165F" w:rsidP="0047165F">
      <w:pPr>
        <w:rPr>
          <w:sz w:val="20"/>
          <w:szCs w:val="20"/>
        </w:rPr>
      </w:pPr>
      <w:r w:rsidRPr="00CF5071">
        <w:rPr>
          <w:b/>
          <w:bCs/>
          <w:sz w:val="20"/>
          <w:szCs w:val="20"/>
        </w:rPr>
        <w:lastRenderedPageBreak/>
        <w:t>Table S</w:t>
      </w:r>
      <w:r>
        <w:rPr>
          <w:b/>
          <w:bCs/>
          <w:sz w:val="20"/>
          <w:szCs w:val="20"/>
        </w:rPr>
        <w:t>2</w:t>
      </w:r>
      <w:r w:rsidRPr="00CF5071">
        <w:rPr>
          <w:b/>
          <w:bCs/>
          <w:sz w:val="20"/>
          <w:szCs w:val="20"/>
        </w:rPr>
        <w:t>:</w:t>
      </w:r>
      <w:r w:rsidRPr="00CF5071">
        <w:rPr>
          <w:sz w:val="20"/>
          <w:szCs w:val="20"/>
        </w:rPr>
        <w:t xml:space="preserve"> </w:t>
      </w:r>
      <w:r w:rsidR="00A6496A">
        <w:rPr>
          <w:sz w:val="20"/>
          <w:szCs w:val="20"/>
        </w:rPr>
        <w:t>Model formulas, performance across 10 rounds of 10-fold cross validation, and resulting cases averted estimates for the top ten best performing models</w:t>
      </w:r>
      <w:r w:rsidR="00A6496A" w:rsidRPr="00CF5071">
        <w:rPr>
          <w:sz w:val="20"/>
          <w:szCs w:val="20"/>
        </w:rPr>
        <w:t>.</w:t>
      </w:r>
      <w:r w:rsidR="00A6496A">
        <w:rPr>
          <w:sz w:val="20"/>
          <w:szCs w:val="20"/>
        </w:rPr>
        <w:t xml:space="preserve"> The table is ordered by descending performance in terms of the mean </w:t>
      </w:r>
      <w:proofErr w:type="spellStart"/>
      <w:r w:rsidR="00A6496A">
        <w:rPr>
          <w:sz w:val="20"/>
          <w:szCs w:val="20"/>
        </w:rPr>
        <w:t>mean</w:t>
      </w:r>
      <w:proofErr w:type="spellEnd"/>
      <w:r w:rsidR="00A6496A">
        <w:rPr>
          <w:sz w:val="20"/>
          <w:szCs w:val="20"/>
        </w:rPr>
        <w:t xml:space="preserve"> squared error</w:t>
      </w:r>
      <w:r w:rsidR="00A6496A" w:rsidRPr="00EC475C">
        <w:rPr>
          <w:sz w:val="20"/>
          <w:szCs w:val="20"/>
        </w:rPr>
        <w:t xml:space="preserve"> </w:t>
      </w:r>
      <w:r w:rsidR="00A6496A">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A6496A">
        <w:rPr>
          <w:sz w:val="20"/>
          <w:szCs w:val="20"/>
        </w:rPr>
        <w:t>mean</w:t>
      </w:r>
      <w:proofErr w:type="spellEnd"/>
      <w:proofErr w:type="gramEnd"/>
      <w:r w:rsidR="00A6496A">
        <w:rPr>
          <w:sz w:val="20"/>
          <w:szCs w:val="20"/>
        </w:rPr>
        <w:t xml:space="preserve"> squared error was used to estimate counterfactual cases in the absence of the equity allocation and resulting cases averted reported in the main analysis. The next nine top models were also used to estimate cases averted shown in column three as a sensitivity analysis to ensure cases averted estimates were not unique to the top model. Column three shows the median cases averted and 95% confidence interval from 100 bootstrapped samples as described in the main text.</w:t>
      </w:r>
    </w:p>
    <w:tbl>
      <w:tblPr>
        <w:tblStyle w:val="PlainTable5"/>
        <w:tblW w:w="5000" w:type="pct"/>
        <w:tblLook w:val="0020" w:firstRow="1" w:lastRow="0" w:firstColumn="0" w:lastColumn="0" w:noHBand="0" w:noVBand="0"/>
      </w:tblPr>
      <w:tblGrid>
        <w:gridCol w:w="5351"/>
        <w:gridCol w:w="2004"/>
        <w:gridCol w:w="2005"/>
      </w:tblGrid>
      <w:tr w:rsidR="00AA54ED" w:rsidRPr="00A31EA9" w14:paraId="59B885C6" w14:textId="77777777" w:rsidTr="00A41BC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vAlign w:val="center"/>
          </w:tcPr>
          <w:p w14:paraId="2099BD57" w14:textId="77777777" w:rsidR="00552FCF" w:rsidRPr="00A31EA9" w:rsidRDefault="00552FCF" w:rsidP="006D7F7A">
            <w:pPr>
              <w:pStyle w:val="Compact"/>
              <w:spacing w:before="0" w:after="0"/>
              <w:rPr>
                <w:b/>
                <w:bCs/>
                <w:i w:val="0"/>
                <w:iCs w:val="0"/>
                <w:sz w:val="22"/>
                <w:szCs w:val="22"/>
              </w:rPr>
            </w:pPr>
            <w:r w:rsidRPr="00A31EA9">
              <w:rPr>
                <w:b/>
                <w:bCs/>
                <w:i w:val="0"/>
                <w:iCs w:val="0"/>
                <w:sz w:val="22"/>
                <w:szCs w:val="22"/>
              </w:rPr>
              <w:t>Model Terms</w:t>
            </w:r>
          </w:p>
        </w:tc>
        <w:tc>
          <w:tcPr>
            <w:tcW w:w="1071" w:type="pct"/>
            <w:shd w:val="clear" w:color="auto" w:fill="auto"/>
            <w:vAlign w:val="center"/>
          </w:tcPr>
          <w:p w14:paraId="450172D2" w14:textId="77777777" w:rsidR="00552FCF" w:rsidRPr="00A31EA9" w:rsidRDefault="00552FCF" w:rsidP="006D7F7A">
            <w:pPr>
              <w:pStyle w:val="Compact"/>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A31EA9">
              <w:rPr>
                <w:b/>
                <w:bCs/>
                <w:i w:val="0"/>
                <w:iCs w:val="0"/>
                <w:sz w:val="22"/>
                <w:szCs w:val="22"/>
              </w:rPr>
              <w:t>Cases MSE (range)</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vAlign w:val="center"/>
          </w:tcPr>
          <w:p w14:paraId="639EAF50" w14:textId="39CC76A9" w:rsidR="00552FCF" w:rsidRPr="00A31EA9" w:rsidRDefault="00552FCF" w:rsidP="006D7F7A">
            <w:pPr>
              <w:pStyle w:val="Compact"/>
              <w:rPr>
                <w:b/>
                <w:bCs/>
                <w:i w:val="0"/>
                <w:iCs w:val="0"/>
                <w:sz w:val="22"/>
                <w:szCs w:val="22"/>
              </w:rPr>
            </w:pPr>
            <w:r w:rsidRPr="00A31EA9">
              <w:rPr>
                <w:b/>
                <w:bCs/>
                <w:i w:val="0"/>
                <w:iCs w:val="0"/>
                <w:sz w:val="22"/>
                <w:szCs w:val="22"/>
              </w:rPr>
              <w:t>Estimated Cases Avoided (95%CI)</w:t>
            </w:r>
          </w:p>
        </w:tc>
      </w:tr>
      <w:tr w:rsidR="00AA54ED" w:rsidRPr="00552FCF" w14:paraId="0C97AA8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6F0E47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w:t>
            </w:r>
          </w:p>
        </w:tc>
        <w:tc>
          <w:tcPr>
            <w:tcW w:w="1071" w:type="pct"/>
            <w:shd w:val="clear" w:color="auto" w:fill="auto"/>
          </w:tcPr>
          <w:p w14:paraId="327A1D9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283 (274 - 288)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CACF44B" w14:textId="02EC7C3C" w:rsidR="00AA54ED" w:rsidRDefault="00552FCF" w:rsidP="00542E04">
            <w:pPr>
              <w:pStyle w:val="Compact"/>
              <w:rPr>
                <w:sz w:val="20"/>
                <w:szCs w:val="20"/>
              </w:rPr>
            </w:pPr>
            <w:r w:rsidRPr="00552FCF">
              <w:rPr>
                <w:sz w:val="20"/>
                <w:szCs w:val="20"/>
              </w:rPr>
              <w:t>160</w:t>
            </w:r>
            <w:r w:rsidR="003238AD">
              <w:rPr>
                <w:sz w:val="20"/>
                <w:szCs w:val="20"/>
              </w:rPr>
              <w:t>,</w:t>
            </w:r>
            <w:r w:rsidRPr="00552FCF">
              <w:rPr>
                <w:sz w:val="20"/>
                <w:szCs w:val="20"/>
              </w:rPr>
              <w:t xml:space="preserve">892 </w:t>
            </w:r>
          </w:p>
          <w:p w14:paraId="11CD508B" w14:textId="486AEE9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878 </w:t>
            </w:r>
            <w:r w:rsidR="003238AD">
              <w:rPr>
                <w:sz w:val="20"/>
                <w:szCs w:val="20"/>
              </w:rPr>
              <w:t>–</w:t>
            </w:r>
            <w:r w:rsidRPr="00552FCF">
              <w:rPr>
                <w:sz w:val="20"/>
                <w:szCs w:val="20"/>
              </w:rPr>
              <w:t xml:space="preserve"> 221</w:t>
            </w:r>
            <w:r w:rsidR="003238AD">
              <w:rPr>
                <w:sz w:val="20"/>
                <w:szCs w:val="20"/>
              </w:rPr>
              <w:t>,</w:t>
            </w:r>
            <w:r w:rsidRPr="00552FCF">
              <w:rPr>
                <w:sz w:val="20"/>
                <w:szCs w:val="20"/>
              </w:rPr>
              <w:t>815)</w:t>
            </w:r>
          </w:p>
        </w:tc>
      </w:tr>
      <w:tr w:rsidR="00AA54ED" w:rsidRPr="00552FCF" w14:paraId="25AD337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176DD0F"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int:county</w:t>
            </w:r>
            <w:proofErr w:type="spellEnd"/>
            <w:proofErr w:type="gramEnd"/>
          </w:p>
        </w:tc>
        <w:tc>
          <w:tcPr>
            <w:tcW w:w="1071" w:type="pct"/>
            <w:shd w:val="clear" w:color="auto" w:fill="auto"/>
          </w:tcPr>
          <w:p w14:paraId="380B49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285 (274 - 293)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D60261" w14:textId="494F7969" w:rsidR="00AA54ED" w:rsidRDefault="00552FCF" w:rsidP="00542E04">
            <w:pPr>
              <w:pStyle w:val="Compact"/>
              <w:rPr>
                <w:sz w:val="20"/>
                <w:szCs w:val="20"/>
              </w:rPr>
            </w:pPr>
            <w:r w:rsidRPr="00552FCF">
              <w:rPr>
                <w:sz w:val="20"/>
                <w:szCs w:val="20"/>
              </w:rPr>
              <w:t>120</w:t>
            </w:r>
            <w:r w:rsidR="003238AD">
              <w:rPr>
                <w:sz w:val="20"/>
                <w:szCs w:val="20"/>
              </w:rPr>
              <w:t>,</w:t>
            </w:r>
            <w:r w:rsidRPr="00552FCF">
              <w:rPr>
                <w:sz w:val="20"/>
                <w:szCs w:val="20"/>
              </w:rPr>
              <w:t xml:space="preserve">180 </w:t>
            </w:r>
          </w:p>
          <w:p w14:paraId="24066DC0" w14:textId="0B741A95" w:rsidR="00552FCF" w:rsidRPr="00552FCF" w:rsidRDefault="00552FCF" w:rsidP="00542E04">
            <w:pPr>
              <w:pStyle w:val="Compact"/>
              <w:rPr>
                <w:sz w:val="20"/>
                <w:szCs w:val="20"/>
              </w:rPr>
            </w:pPr>
            <w:r w:rsidRPr="00552FCF">
              <w:rPr>
                <w:sz w:val="20"/>
                <w:szCs w:val="20"/>
              </w:rPr>
              <w:t>(84</w:t>
            </w:r>
            <w:r w:rsidR="003238AD">
              <w:rPr>
                <w:sz w:val="20"/>
                <w:szCs w:val="20"/>
              </w:rPr>
              <w:t>,</w:t>
            </w:r>
            <w:r w:rsidRPr="00552FCF">
              <w:rPr>
                <w:sz w:val="20"/>
                <w:szCs w:val="20"/>
              </w:rPr>
              <w:t xml:space="preserve">380 </w:t>
            </w:r>
            <w:r w:rsidR="003238AD">
              <w:rPr>
                <w:sz w:val="20"/>
                <w:szCs w:val="20"/>
              </w:rPr>
              <w:t>–</w:t>
            </w:r>
            <w:r w:rsidRPr="00552FCF">
              <w:rPr>
                <w:sz w:val="20"/>
                <w:szCs w:val="20"/>
              </w:rPr>
              <w:t xml:space="preserve"> 183</w:t>
            </w:r>
            <w:r w:rsidR="003238AD">
              <w:rPr>
                <w:sz w:val="20"/>
                <w:szCs w:val="20"/>
              </w:rPr>
              <w:t>,</w:t>
            </w:r>
            <w:r w:rsidRPr="00552FCF">
              <w:rPr>
                <w:sz w:val="20"/>
                <w:szCs w:val="20"/>
              </w:rPr>
              <w:t>261)</w:t>
            </w:r>
          </w:p>
        </w:tc>
      </w:tr>
      <w:tr w:rsidR="00AA54ED" w:rsidRPr="00552FCF" w14:paraId="582B196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09D535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w:t>
            </w:r>
          </w:p>
        </w:tc>
        <w:tc>
          <w:tcPr>
            <w:tcW w:w="1071" w:type="pct"/>
            <w:shd w:val="clear" w:color="auto" w:fill="auto"/>
          </w:tcPr>
          <w:p w14:paraId="2E9255D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287 (273 - 311)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AD6535" w14:textId="002C6ED2"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065 </w:t>
            </w:r>
          </w:p>
          <w:p w14:paraId="3EF500C3" w14:textId="7A1FB546" w:rsidR="00552FCF" w:rsidRPr="00552FCF" w:rsidRDefault="00552FCF" w:rsidP="00542E04">
            <w:pPr>
              <w:pStyle w:val="Compact"/>
              <w:rPr>
                <w:sz w:val="20"/>
                <w:szCs w:val="20"/>
              </w:rPr>
            </w:pPr>
            <w:r w:rsidRPr="00552FCF">
              <w:rPr>
                <w:sz w:val="20"/>
                <w:szCs w:val="20"/>
              </w:rPr>
              <w:t>(103</w:t>
            </w:r>
            <w:r w:rsidR="003238AD">
              <w:rPr>
                <w:sz w:val="20"/>
                <w:szCs w:val="20"/>
              </w:rPr>
              <w:t>,</w:t>
            </w:r>
            <w:r w:rsidRPr="00552FCF">
              <w:rPr>
                <w:sz w:val="20"/>
                <w:szCs w:val="20"/>
              </w:rPr>
              <w:t xml:space="preserve">028 </w:t>
            </w:r>
            <w:r w:rsidR="003238AD">
              <w:rPr>
                <w:sz w:val="20"/>
                <w:szCs w:val="20"/>
              </w:rPr>
              <w:t>–</w:t>
            </w:r>
            <w:r w:rsidRPr="00552FCF">
              <w:rPr>
                <w:sz w:val="20"/>
                <w:szCs w:val="20"/>
              </w:rPr>
              <w:t xml:space="preserve"> 194</w:t>
            </w:r>
            <w:r w:rsidR="003238AD">
              <w:rPr>
                <w:sz w:val="20"/>
                <w:szCs w:val="20"/>
              </w:rPr>
              <w:t>,</w:t>
            </w:r>
            <w:r w:rsidRPr="00552FCF">
              <w:rPr>
                <w:sz w:val="20"/>
                <w:szCs w:val="20"/>
              </w:rPr>
              <w:t>294)</w:t>
            </w:r>
          </w:p>
        </w:tc>
      </w:tr>
      <w:tr w:rsidR="00AA54ED" w:rsidRPr="00552FCF" w14:paraId="7FA4046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879B359" w14:textId="77777777" w:rsidR="00552FCF" w:rsidRPr="00552FCF" w:rsidRDefault="00552FCF" w:rsidP="000F5151">
            <w:pPr>
              <w:pStyle w:val="Compact"/>
              <w:spacing w:before="0" w:after="0"/>
              <w:rPr>
                <w:sz w:val="20"/>
                <w:szCs w:val="20"/>
              </w:rPr>
            </w:pPr>
            <w:r w:rsidRPr="00552FCF">
              <w:rPr>
                <w:sz w:val="20"/>
                <w:szCs w:val="20"/>
              </w:rPr>
              <w:t>BASE+cumvaxp100k</w:t>
            </w:r>
          </w:p>
        </w:tc>
        <w:tc>
          <w:tcPr>
            <w:tcW w:w="1071" w:type="pct"/>
            <w:shd w:val="clear" w:color="auto" w:fill="auto"/>
          </w:tcPr>
          <w:p w14:paraId="3FE222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FA116FB" w14:textId="2D7A25FB" w:rsidR="00AA54ED" w:rsidRDefault="00552FCF" w:rsidP="00542E04">
            <w:pPr>
              <w:pStyle w:val="Compact"/>
              <w:rPr>
                <w:sz w:val="20"/>
                <w:szCs w:val="20"/>
              </w:rPr>
            </w:pPr>
            <w:r w:rsidRPr="00552FCF">
              <w:rPr>
                <w:sz w:val="20"/>
                <w:szCs w:val="20"/>
              </w:rPr>
              <w:t>158</w:t>
            </w:r>
            <w:r w:rsidR="003238AD">
              <w:rPr>
                <w:sz w:val="20"/>
                <w:szCs w:val="20"/>
              </w:rPr>
              <w:t>,</w:t>
            </w:r>
            <w:r w:rsidRPr="00552FCF">
              <w:rPr>
                <w:sz w:val="20"/>
                <w:szCs w:val="20"/>
              </w:rPr>
              <w:t xml:space="preserve">814 </w:t>
            </w:r>
          </w:p>
          <w:p w14:paraId="6157C817" w14:textId="47787709" w:rsidR="00552FCF" w:rsidRPr="00552FCF" w:rsidRDefault="00552FCF" w:rsidP="00542E04">
            <w:pPr>
              <w:pStyle w:val="Compact"/>
              <w:rPr>
                <w:sz w:val="20"/>
                <w:szCs w:val="20"/>
              </w:rPr>
            </w:pPr>
            <w:r w:rsidRPr="00552FCF">
              <w:rPr>
                <w:sz w:val="20"/>
                <w:szCs w:val="20"/>
              </w:rPr>
              <w:t>(97</w:t>
            </w:r>
            <w:r w:rsidR="003238AD">
              <w:rPr>
                <w:sz w:val="20"/>
                <w:szCs w:val="20"/>
              </w:rPr>
              <w:t>,</w:t>
            </w:r>
            <w:r w:rsidRPr="00552FCF">
              <w:rPr>
                <w:sz w:val="20"/>
                <w:szCs w:val="20"/>
              </w:rPr>
              <w:t xml:space="preserve">975 </w:t>
            </w:r>
            <w:r w:rsidR="003238AD">
              <w:rPr>
                <w:sz w:val="20"/>
                <w:szCs w:val="20"/>
              </w:rPr>
              <w:t>–</w:t>
            </w:r>
            <w:r w:rsidRPr="00552FCF">
              <w:rPr>
                <w:sz w:val="20"/>
                <w:szCs w:val="20"/>
              </w:rPr>
              <w:t xml:space="preserve"> 216</w:t>
            </w:r>
            <w:r w:rsidR="003238AD">
              <w:rPr>
                <w:sz w:val="20"/>
                <w:szCs w:val="20"/>
              </w:rPr>
              <w:t>,</w:t>
            </w:r>
            <w:r w:rsidRPr="00552FCF">
              <w:rPr>
                <w:sz w:val="20"/>
                <w:szCs w:val="20"/>
              </w:rPr>
              <w:t>603)</w:t>
            </w:r>
          </w:p>
        </w:tc>
      </w:tr>
      <w:tr w:rsidR="00AA54ED" w:rsidRPr="00552FCF" w14:paraId="0FF1550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248D7E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w:t>
            </w:r>
          </w:p>
        </w:tc>
        <w:tc>
          <w:tcPr>
            <w:tcW w:w="1071" w:type="pct"/>
            <w:shd w:val="clear" w:color="auto" w:fill="auto"/>
          </w:tcPr>
          <w:p w14:paraId="4F8F8AAA"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2134B7" w14:textId="737B7B5E" w:rsidR="00AA54ED" w:rsidRDefault="00552FCF" w:rsidP="00542E04">
            <w:pPr>
              <w:pStyle w:val="Compact"/>
              <w:rPr>
                <w:sz w:val="20"/>
                <w:szCs w:val="20"/>
              </w:rPr>
            </w:pPr>
            <w:r w:rsidRPr="00552FCF">
              <w:rPr>
                <w:sz w:val="20"/>
                <w:szCs w:val="20"/>
              </w:rPr>
              <w:t>157</w:t>
            </w:r>
            <w:r w:rsidR="003238AD">
              <w:rPr>
                <w:sz w:val="20"/>
                <w:szCs w:val="20"/>
              </w:rPr>
              <w:t>,</w:t>
            </w:r>
            <w:r w:rsidRPr="00552FCF">
              <w:rPr>
                <w:sz w:val="20"/>
                <w:szCs w:val="20"/>
              </w:rPr>
              <w:t xml:space="preserve">483 </w:t>
            </w:r>
          </w:p>
          <w:p w14:paraId="50C77C1D" w14:textId="0661C9C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612 </w:t>
            </w:r>
            <w:r w:rsidR="003238AD">
              <w:rPr>
                <w:sz w:val="20"/>
                <w:szCs w:val="20"/>
              </w:rPr>
              <w:t>–</w:t>
            </w:r>
            <w:r w:rsidRPr="00552FCF">
              <w:rPr>
                <w:sz w:val="20"/>
                <w:szCs w:val="20"/>
              </w:rPr>
              <w:t xml:space="preserve"> 212</w:t>
            </w:r>
            <w:r w:rsidR="003238AD">
              <w:rPr>
                <w:sz w:val="20"/>
                <w:szCs w:val="20"/>
              </w:rPr>
              <w:t>,</w:t>
            </w:r>
            <w:r w:rsidRPr="00552FCF">
              <w:rPr>
                <w:sz w:val="20"/>
                <w:szCs w:val="20"/>
              </w:rPr>
              <w:t>641)</w:t>
            </w:r>
          </w:p>
        </w:tc>
      </w:tr>
      <w:tr w:rsidR="00AA54ED" w:rsidRPr="00552FCF" w14:paraId="021EECA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856D37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+cumvaxp100k+per50up</w:t>
            </w:r>
          </w:p>
        </w:tc>
        <w:tc>
          <w:tcPr>
            <w:tcW w:w="1071" w:type="pct"/>
            <w:shd w:val="clear" w:color="auto" w:fill="auto"/>
          </w:tcPr>
          <w:p w14:paraId="75FC513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289 (280 - 293)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8FF3B35" w14:textId="70860791"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678 </w:t>
            </w:r>
          </w:p>
          <w:p w14:paraId="6BC510B5" w14:textId="6B462F4F" w:rsidR="00552FCF" w:rsidRPr="00552FCF" w:rsidRDefault="00552FCF" w:rsidP="00542E04">
            <w:pPr>
              <w:pStyle w:val="Compact"/>
              <w:rPr>
                <w:sz w:val="20"/>
                <w:szCs w:val="20"/>
              </w:rPr>
            </w:pPr>
            <w:r w:rsidRPr="00552FCF">
              <w:rPr>
                <w:sz w:val="20"/>
                <w:szCs w:val="20"/>
              </w:rPr>
              <w:t>(98</w:t>
            </w:r>
            <w:r w:rsidR="003238AD">
              <w:rPr>
                <w:sz w:val="20"/>
                <w:szCs w:val="20"/>
              </w:rPr>
              <w:t>,</w:t>
            </w:r>
            <w:r w:rsidRPr="00552FCF">
              <w:rPr>
                <w:sz w:val="20"/>
                <w:szCs w:val="20"/>
              </w:rPr>
              <w:t xml:space="preserve">634 </w:t>
            </w:r>
            <w:r w:rsidR="003238AD">
              <w:rPr>
                <w:sz w:val="20"/>
                <w:szCs w:val="20"/>
              </w:rPr>
              <w:t>–</w:t>
            </w:r>
            <w:r w:rsidRPr="00552FCF">
              <w:rPr>
                <w:sz w:val="20"/>
                <w:szCs w:val="20"/>
              </w:rPr>
              <w:t xml:space="preserve"> 203</w:t>
            </w:r>
            <w:r w:rsidR="003238AD">
              <w:rPr>
                <w:sz w:val="20"/>
                <w:szCs w:val="20"/>
              </w:rPr>
              <w:t>,</w:t>
            </w:r>
            <w:r w:rsidRPr="00552FCF">
              <w:rPr>
                <w:sz w:val="20"/>
                <w:szCs w:val="20"/>
              </w:rPr>
              <w:t>670)</w:t>
            </w:r>
          </w:p>
        </w:tc>
      </w:tr>
      <w:tr w:rsidR="00AA54ED" w:rsidRPr="00552FCF" w14:paraId="225E6CD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69E170"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int:spline</w:t>
            </w:r>
            <w:proofErr w:type="spellEnd"/>
            <w:proofErr w:type="gramEnd"/>
          </w:p>
        </w:tc>
        <w:tc>
          <w:tcPr>
            <w:tcW w:w="1071" w:type="pct"/>
            <w:shd w:val="clear" w:color="auto" w:fill="auto"/>
          </w:tcPr>
          <w:p w14:paraId="33FA81E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290 (279 - 294)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F41091" w14:textId="7E91C868" w:rsidR="00AA54ED" w:rsidRDefault="00552FCF" w:rsidP="00542E04">
            <w:pPr>
              <w:pStyle w:val="Compact"/>
              <w:rPr>
                <w:sz w:val="20"/>
                <w:szCs w:val="20"/>
              </w:rPr>
            </w:pPr>
            <w:r w:rsidRPr="00552FCF">
              <w:rPr>
                <w:sz w:val="20"/>
                <w:szCs w:val="20"/>
              </w:rPr>
              <w:t>122</w:t>
            </w:r>
            <w:r w:rsidR="003238AD">
              <w:rPr>
                <w:sz w:val="20"/>
                <w:szCs w:val="20"/>
              </w:rPr>
              <w:t>,</w:t>
            </w:r>
            <w:r w:rsidRPr="00552FCF">
              <w:rPr>
                <w:sz w:val="20"/>
                <w:szCs w:val="20"/>
              </w:rPr>
              <w:t xml:space="preserve">020 </w:t>
            </w:r>
          </w:p>
          <w:p w14:paraId="2C570B6F" w14:textId="5E5E913C" w:rsidR="00552FCF" w:rsidRPr="00552FCF" w:rsidRDefault="00552FCF" w:rsidP="00542E04">
            <w:pPr>
              <w:pStyle w:val="Compact"/>
              <w:rPr>
                <w:sz w:val="20"/>
                <w:szCs w:val="20"/>
              </w:rPr>
            </w:pPr>
            <w:r w:rsidRPr="00552FCF">
              <w:rPr>
                <w:sz w:val="20"/>
                <w:szCs w:val="20"/>
              </w:rPr>
              <w:t>(76</w:t>
            </w:r>
            <w:r w:rsidR="003238AD">
              <w:rPr>
                <w:sz w:val="20"/>
                <w:szCs w:val="20"/>
              </w:rPr>
              <w:t>,</w:t>
            </w:r>
            <w:r w:rsidRPr="00552FCF">
              <w:rPr>
                <w:sz w:val="20"/>
                <w:szCs w:val="20"/>
              </w:rPr>
              <w:t xml:space="preserve">147 </w:t>
            </w:r>
            <w:r w:rsidR="003238AD">
              <w:rPr>
                <w:sz w:val="20"/>
                <w:szCs w:val="20"/>
              </w:rPr>
              <w:t>–</w:t>
            </w:r>
            <w:r w:rsidRPr="00552FCF">
              <w:rPr>
                <w:sz w:val="20"/>
                <w:szCs w:val="20"/>
              </w:rPr>
              <w:t xml:space="preserve"> 161</w:t>
            </w:r>
            <w:r w:rsidR="003238AD">
              <w:rPr>
                <w:sz w:val="20"/>
                <w:szCs w:val="20"/>
              </w:rPr>
              <w:t>,</w:t>
            </w:r>
            <w:r w:rsidRPr="00552FCF">
              <w:rPr>
                <w:sz w:val="20"/>
                <w:szCs w:val="20"/>
              </w:rPr>
              <w:t>699)</w:t>
            </w:r>
          </w:p>
        </w:tc>
      </w:tr>
      <w:tr w:rsidR="00AA54ED" w:rsidRPr="00552FCF" w14:paraId="2B4412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82C4A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+per50up</w:t>
            </w:r>
          </w:p>
        </w:tc>
        <w:tc>
          <w:tcPr>
            <w:tcW w:w="1071" w:type="pct"/>
            <w:shd w:val="clear" w:color="auto" w:fill="auto"/>
          </w:tcPr>
          <w:p w14:paraId="02BE41B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292 (278 - 312)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A33E71" w14:textId="6CF6A0E2" w:rsidR="00AA54ED" w:rsidRDefault="00552FCF" w:rsidP="00542E04">
            <w:pPr>
              <w:pStyle w:val="Compact"/>
              <w:rPr>
                <w:sz w:val="20"/>
                <w:szCs w:val="20"/>
              </w:rPr>
            </w:pPr>
            <w:r w:rsidRPr="00552FCF">
              <w:rPr>
                <w:sz w:val="20"/>
                <w:szCs w:val="20"/>
              </w:rPr>
              <w:t>118</w:t>
            </w:r>
            <w:r w:rsidR="003238AD">
              <w:rPr>
                <w:sz w:val="20"/>
                <w:szCs w:val="20"/>
              </w:rPr>
              <w:t>,</w:t>
            </w:r>
            <w:r w:rsidRPr="00552FCF">
              <w:rPr>
                <w:sz w:val="20"/>
                <w:szCs w:val="20"/>
              </w:rPr>
              <w:t xml:space="preserve">670 </w:t>
            </w:r>
          </w:p>
          <w:p w14:paraId="57EC9CB1" w14:textId="23F7C0ED" w:rsidR="00552FCF" w:rsidRPr="00552FCF" w:rsidRDefault="00552FCF" w:rsidP="00542E04">
            <w:pPr>
              <w:pStyle w:val="Compact"/>
              <w:rPr>
                <w:sz w:val="20"/>
                <w:szCs w:val="20"/>
              </w:rPr>
            </w:pPr>
            <w:r w:rsidRPr="00552FCF">
              <w:rPr>
                <w:sz w:val="20"/>
                <w:szCs w:val="20"/>
              </w:rPr>
              <w:t>(74</w:t>
            </w:r>
            <w:r w:rsidR="003238AD">
              <w:rPr>
                <w:sz w:val="20"/>
                <w:szCs w:val="20"/>
              </w:rPr>
              <w:t>,</w:t>
            </w:r>
            <w:r w:rsidRPr="00552FCF">
              <w:rPr>
                <w:sz w:val="20"/>
                <w:szCs w:val="20"/>
              </w:rPr>
              <w:t xml:space="preserve">653 </w:t>
            </w:r>
            <w:r w:rsidR="003238AD">
              <w:rPr>
                <w:sz w:val="20"/>
                <w:szCs w:val="20"/>
              </w:rPr>
              <w:t>–</w:t>
            </w:r>
            <w:r w:rsidRPr="00552FCF">
              <w:rPr>
                <w:sz w:val="20"/>
                <w:szCs w:val="20"/>
              </w:rPr>
              <w:t xml:space="preserve"> 176</w:t>
            </w:r>
            <w:r w:rsidR="003238AD">
              <w:rPr>
                <w:sz w:val="20"/>
                <w:szCs w:val="20"/>
              </w:rPr>
              <w:t>,</w:t>
            </w:r>
            <w:r w:rsidRPr="00552FCF">
              <w:rPr>
                <w:sz w:val="20"/>
                <w:szCs w:val="20"/>
              </w:rPr>
              <w:t>585)</w:t>
            </w:r>
          </w:p>
        </w:tc>
      </w:tr>
      <w:tr w:rsidR="00AA54ED" w:rsidRPr="00552FCF" w14:paraId="723344A5"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86FEC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+per50up</w:t>
            </w:r>
          </w:p>
        </w:tc>
        <w:tc>
          <w:tcPr>
            <w:tcW w:w="1071" w:type="pct"/>
            <w:shd w:val="clear" w:color="auto" w:fill="auto"/>
          </w:tcPr>
          <w:p w14:paraId="6EE84A2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(283 - 298)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D97D2" w14:textId="72B10B94" w:rsidR="00AA54ED" w:rsidRDefault="00552FCF" w:rsidP="00542E04">
            <w:pPr>
              <w:pStyle w:val="Compact"/>
              <w:rPr>
                <w:sz w:val="20"/>
                <w:szCs w:val="20"/>
              </w:rPr>
            </w:pPr>
            <w:r w:rsidRPr="00552FCF">
              <w:rPr>
                <w:sz w:val="20"/>
                <w:szCs w:val="20"/>
              </w:rPr>
              <w:t>124</w:t>
            </w:r>
            <w:r w:rsidR="003238AD">
              <w:rPr>
                <w:sz w:val="20"/>
                <w:szCs w:val="20"/>
              </w:rPr>
              <w:t>,</w:t>
            </w:r>
            <w:r w:rsidRPr="00552FCF">
              <w:rPr>
                <w:sz w:val="20"/>
                <w:szCs w:val="20"/>
              </w:rPr>
              <w:t xml:space="preserve">645 </w:t>
            </w:r>
          </w:p>
          <w:p w14:paraId="6071360C" w14:textId="52519C1F" w:rsidR="00552FCF" w:rsidRPr="00552FCF" w:rsidRDefault="00552FCF" w:rsidP="00542E04">
            <w:pPr>
              <w:pStyle w:val="Compact"/>
              <w:rPr>
                <w:sz w:val="20"/>
                <w:szCs w:val="20"/>
              </w:rPr>
            </w:pPr>
            <w:r w:rsidRPr="00552FCF">
              <w:rPr>
                <w:sz w:val="20"/>
                <w:szCs w:val="20"/>
              </w:rPr>
              <w:t>(86</w:t>
            </w:r>
            <w:r w:rsidR="003238AD">
              <w:rPr>
                <w:sz w:val="20"/>
                <w:szCs w:val="20"/>
              </w:rPr>
              <w:t>,</w:t>
            </w:r>
            <w:r w:rsidRPr="00552FCF">
              <w:rPr>
                <w:sz w:val="20"/>
                <w:szCs w:val="20"/>
              </w:rPr>
              <w:t xml:space="preserve">013 </w:t>
            </w:r>
            <w:r w:rsidR="003238AD">
              <w:rPr>
                <w:sz w:val="20"/>
                <w:szCs w:val="20"/>
              </w:rPr>
              <w:t>–</w:t>
            </w:r>
            <w:r w:rsidRPr="00552FCF">
              <w:rPr>
                <w:sz w:val="20"/>
                <w:szCs w:val="20"/>
              </w:rPr>
              <w:t xml:space="preserve"> 164</w:t>
            </w:r>
            <w:r w:rsidR="003238AD">
              <w:rPr>
                <w:sz w:val="20"/>
                <w:szCs w:val="20"/>
              </w:rPr>
              <w:t>,</w:t>
            </w:r>
            <w:r w:rsidRPr="00552FCF">
              <w:rPr>
                <w:sz w:val="20"/>
                <w:szCs w:val="20"/>
              </w:rPr>
              <w:t>348)</w:t>
            </w:r>
          </w:p>
        </w:tc>
      </w:tr>
      <w:tr w:rsidR="00AA54ED" w:rsidRPr="00552FCF" w14:paraId="0C448D8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3DD696D" w14:textId="77777777" w:rsidR="00552FCF" w:rsidRPr="00552FCF" w:rsidRDefault="00552FCF" w:rsidP="000F5151">
            <w:pPr>
              <w:pStyle w:val="Compact"/>
              <w:spacing w:before="0" w:after="0"/>
              <w:rPr>
                <w:sz w:val="20"/>
                <w:szCs w:val="20"/>
              </w:rPr>
            </w:pPr>
            <w:r w:rsidRPr="00552FCF">
              <w:rPr>
                <w:sz w:val="20"/>
                <w:szCs w:val="20"/>
              </w:rPr>
              <w:t>BASE+cumvaxp100k+per50up</w:t>
            </w:r>
          </w:p>
        </w:tc>
        <w:tc>
          <w:tcPr>
            <w:tcW w:w="1071" w:type="pct"/>
            <w:shd w:val="clear" w:color="auto" w:fill="auto"/>
          </w:tcPr>
          <w:p w14:paraId="50223B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915B91D" w14:textId="1FDF3452" w:rsidR="00AA54ED" w:rsidRDefault="00552FCF" w:rsidP="00542E04">
            <w:pPr>
              <w:pStyle w:val="Compact"/>
              <w:rPr>
                <w:sz w:val="20"/>
                <w:szCs w:val="20"/>
              </w:rPr>
            </w:pPr>
            <w:r w:rsidRPr="00552FCF">
              <w:rPr>
                <w:sz w:val="20"/>
                <w:szCs w:val="20"/>
              </w:rPr>
              <w:t>148</w:t>
            </w:r>
            <w:r w:rsidR="003238AD">
              <w:rPr>
                <w:sz w:val="20"/>
                <w:szCs w:val="20"/>
              </w:rPr>
              <w:t>,</w:t>
            </w:r>
            <w:r w:rsidRPr="00552FCF">
              <w:rPr>
                <w:sz w:val="20"/>
                <w:szCs w:val="20"/>
              </w:rPr>
              <w:t xml:space="preserve">395 </w:t>
            </w:r>
          </w:p>
          <w:p w14:paraId="4C4849D0" w14:textId="7F656F4F" w:rsidR="00552FCF" w:rsidRPr="00552FCF" w:rsidRDefault="00552FCF" w:rsidP="00542E04">
            <w:pPr>
              <w:pStyle w:val="Compact"/>
              <w:rPr>
                <w:sz w:val="20"/>
                <w:szCs w:val="20"/>
              </w:rPr>
            </w:pPr>
            <w:r w:rsidRPr="00552FCF">
              <w:rPr>
                <w:sz w:val="20"/>
                <w:szCs w:val="20"/>
              </w:rPr>
              <w:t>(110</w:t>
            </w:r>
            <w:r w:rsidR="003238AD">
              <w:rPr>
                <w:sz w:val="20"/>
                <w:szCs w:val="20"/>
              </w:rPr>
              <w:t>,</w:t>
            </w:r>
            <w:r w:rsidRPr="00552FCF">
              <w:rPr>
                <w:sz w:val="20"/>
                <w:szCs w:val="20"/>
              </w:rPr>
              <w:t xml:space="preserve">207 </w:t>
            </w:r>
            <w:r w:rsidR="003238AD">
              <w:rPr>
                <w:sz w:val="20"/>
                <w:szCs w:val="20"/>
              </w:rPr>
              <w:t>–</w:t>
            </w:r>
            <w:r w:rsidRPr="00552FCF">
              <w:rPr>
                <w:sz w:val="20"/>
                <w:szCs w:val="20"/>
              </w:rPr>
              <w:t xml:space="preserve"> 212</w:t>
            </w:r>
            <w:r w:rsidR="003238AD">
              <w:rPr>
                <w:sz w:val="20"/>
                <w:szCs w:val="20"/>
              </w:rPr>
              <w:t>,</w:t>
            </w:r>
            <w:r w:rsidRPr="00552FCF">
              <w:rPr>
                <w:sz w:val="20"/>
                <w:szCs w:val="20"/>
              </w:rPr>
              <w:t>662)</w:t>
            </w:r>
          </w:p>
        </w:tc>
      </w:tr>
      <w:tr w:rsidR="00AA54ED" w:rsidRPr="00552FCF" w14:paraId="76BC136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CF71DA9"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+cumvaxp100k+per50up</w:t>
            </w:r>
          </w:p>
        </w:tc>
        <w:tc>
          <w:tcPr>
            <w:tcW w:w="1071" w:type="pct"/>
            <w:shd w:val="clear" w:color="auto" w:fill="auto"/>
          </w:tcPr>
          <w:p w14:paraId="6F39A22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10E9022" w14:textId="77777777" w:rsidR="00552FCF" w:rsidRPr="00552FCF" w:rsidRDefault="00552FCF" w:rsidP="00542E04">
            <w:pPr>
              <w:pStyle w:val="Compact"/>
              <w:rPr>
                <w:sz w:val="20"/>
                <w:szCs w:val="20"/>
              </w:rPr>
            </w:pPr>
          </w:p>
        </w:tc>
      </w:tr>
      <w:tr w:rsidR="00AA54ED" w:rsidRPr="00552FCF" w14:paraId="79C7ED3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842742C" w14:textId="77777777" w:rsidR="00552FCF" w:rsidRPr="00552FCF" w:rsidRDefault="00552FCF" w:rsidP="000F5151">
            <w:pPr>
              <w:pStyle w:val="Compact"/>
              <w:spacing w:before="0" w:after="0"/>
              <w:rPr>
                <w:sz w:val="20"/>
                <w:szCs w:val="20"/>
              </w:rPr>
            </w:pPr>
            <w:r w:rsidRPr="00552FCF">
              <w:rPr>
                <w:sz w:val="20"/>
                <w:szCs w:val="20"/>
              </w:rPr>
              <w:t>BASE</w:t>
            </w:r>
          </w:p>
        </w:tc>
        <w:tc>
          <w:tcPr>
            <w:tcW w:w="1071" w:type="pct"/>
            <w:shd w:val="clear" w:color="auto" w:fill="auto"/>
          </w:tcPr>
          <w:p w14:paraId="186F96B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BF60FC7" w14:textId="77777777" w:rsidR="00552FCF" w:rsidRPr="00552FCF" w:rsidRDefault="00552FCF" w:rsidP="00542E04">
            <w:pPr>
              <w:pStyle w:val="Compact"/>
              <w:rPr>
                <w:sz w:val="20"/>
                <w:szCs w:val="20"/>
              </w:rPr>
            </w:pPr>
          </w:p>
        </w:tc>
      </w:tr>
      <w:tr w:rsidR="00AA54ED" w:rsidRPr="00552FCF" w14:paraId="780C1B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5E4C329"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int:VEM</w:t>
            </w:r>
            <w:proofErr w:type="spellEnd"/>
            <w:proofErr w:type="gramEnd"/>
          </w:p>
        </w:tc>
        <w:tc>
          <w:tcPr>
            <w:tcW w:w="1071" w:type="pct"/>
            <w:shd w:val="clear" w:color="auto" w:fill="auto"/>
          </w:tcPr>
          <w:p w14:paraId="341F9D6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BE5C039" w14:textId="77777777" w:rsidR="00552FCF" w:rsidRPr="00552FCF" w:rsidRDefault="00552FCF" w:rsidP="00542E04">
            <w:pPr>
              <w:pStyle w:val="Compact"/>
              <w:rPr>
                <w:sz w:val="20"/>
                <w:szCs w:val="20"/>
              </w:rPr>
            </w:pPr>
          </w:p>
        </w:tc>
      </w:tr>
      <w:tr w:rsidR="00AA54ED" w:rsidRPr="00552FCF" w14:paraId="6E4F337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38FAFC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w:t>
            </w:r>
          </w:p>
        </w:tc>
        <w:tc>
          <w:tcPr>
            <w:tcW w:w="1071" w:type="pct"/>
            <w:shd w:val="clear" w:color="auto" w:fill="auto"/>
          </w:tcPr>
          <w:p w14:paraId="3A57CBB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(285 - 300)</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52E5A68" w14:textId="77777777" w:rsidR="00552FCF" w:rsidRPr="00552FCF" w:rsidRDefault="00552FCF" w:rsidP="00542E04">
            <w:pPr>
              <w:pStyle w:val="Compact"/>
              <w:rPr>
                <w:sz w:val="20"/>
                <w:szCs w:val="20"/>
              </w:rPr>
            </w:pPr>
          </w:p>
        </w:tc>
      </w:tr>
      <w:tr w:rsidR="00AA54ED" w:rsidRPr="00552FCF" w14:paraId="1A60D43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F75C3A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w:t>
            </w:r>
          </w:p>
        </w:tc>
        <w:tc>
          <w:tcPr>
            <w:tcW w:w="1071" w:type="pct"/>
            <w:shd w:val="clear" w:color="auto" w:fill="auto"/>
          </w:tcPr>
          <w:p w14:paraId="13DFC7B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(276 - 327)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AFCAC0B" w14:textId="77777777" w:rsidR="00552FCF" w:rsidRPr="00552FCF" w:rsidRDefault="00552FCF" w:rsidP="00542E04">
            <w:pPr>
              <w:pStyle w:val="Compact"/>
              <w:rPr>
                <w:sz w:val="20"/>
                <w:szCs w:val="20"/>
              </w:rPr>
            </w:pPr>
          </w:p>
        </w:tc>
      </w:tr>
      <w:tr w:rsidR="00AA54ED" w:rsidRPr="00552FCF" w14:paraId="7237F83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FB976D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+cumvaxp100k+per50up</w:t>
            </w:r>
          </w:p>
        </w:tc>
        <w:tc>
          <w:tcPr>
            <w:tcW w:w="1071" w:type="pct"/>
            <w:shd w:val="clear" w:color="auto" w:fill="auto"/>
          </w:tcPr>
          <w:p w14:paraId="591075B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295 (278 - 332)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7819B84" w14:textId="77777777" w:rsidR="00552FCF" w:rsidRPr="00552FCF" w:rsidRDefault="00552FCF" w:rsidP="00542E04">
            <w:pPr>
              <w:pStyle w:val="Compact"/>
              <w:rPr>
                <w:sz w:val="20"/>
                <w:szCs w:val="20"/>
              </w:rPr>
            </w:pPr>
          </w:p>
        </w:tc>
      </w:tr>
      <w:tr w:rsidR="00AA54ED" w:rsidRPr="00552FCF" w14:paraId="673B44D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83A009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w:t>
            </w:r>
          </w:p>
        </w:tc>
        <w:tc>
          <w:tcPr>
            <w:tcW w:w="1071" w:type="pct"/>
            <w:shd w:val="clear" w:color="auto" w:fill="auto"/>
          </w:tcPr>
          <w:p w14:paraId="14366E8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73A6B83" w14:textId="77777777" w:rsidR="00552FCF" w:rsidRPr="00552FCF" w:rsidRDefault="00552FCF" w:rsidP="00542E04">
            <w:pPr>
              <w:pStyle w:val="Compact"/>
              <w:rPr>
                <w:sz w:val="20"/>
                <w:szCs w:val="20"/>
              </w:rPr>
            </w:pPr>
          </w:p>
        </w:tc>
      </w:tr>
      <w:tr w:rsidR="00AA54ED" w:rsidRPr="00552FCF" w14:paraId="28F91A3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7CD24E0" w14:textId="77777777" w:rsidR="00552FCF" w:rsidRPr="00552FCF" w:rsidRDefault="00552FCF" w:rsidP="000F5151">
            <w:pPr>
              <w:pStyle w:val="Compact"/>
              <w:spacing w:before="0" w:after="0"/>
              <w:rPr>
                <w:sz w:val="20"/>
                <w:szCs w:val="20"/>
              </w:rPr>
            </w:pPr>
            <w:r w:rsidRPr="00552FCF">
              <w:rPr>
                <w:sz w:val="20"/>
                <w:szCs w:val="20"/>
              </w:rPr>
              <w:t>BASE+cumvaxp100k+testp100k</w:t>
            </w:r>
          </w:p>
        </w:tc>
        <w:tc>
          <w:tcPr>
            <w:tcW w:w="1071" w:type="pct"/>
            <w:shd w:val="clear" w:color="auto" w:fill="auto"/>
          </w:tcPr>
          <w:p w14:paraId="440CA2B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CBB55A" w14:textId="77777777" w:rsidR="00552FCF" w:rsidRPr="00552FCF" w:rsidRDefault="00552FCF" w:rsidP="00542E04">
            <w:pPr>
              <w:pStyle w:val="Compact"/>
              <w:rPr>
                <w:sz w:val="20"/>
                <w:szCs w:val="20"/>
              </w:rPr>
            </w:pPr>
          </w:p>
        </w:tc>
      </w:tr>
      <w:tr w:rsidR="00AA54ED" w:rsidRPr="00552FCF" w14:paraId="4869CDB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702FC8"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+per50up</w:t>
            </w:r>
          </w:p>
        </w:tc>
        <w:tc>
          <w:tcPr>
            <w:tcW w:w="1071" w:type="pct"/>
            <w:shd w:val="clear" w:color="auto" w:fill="auto"/>
          </w:tcPr>
          <w:p w14:paraId="25E6108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61400A8" w14:textId="77777777" w:rsidR="00552FCF" w:rsidRPr="00552FCF" w:rsidRDefault="00552FCF" w:rsidP="00542E04">
            <w:pPr>
              <w:pStyle w:val="Compact"/>
              <w:rPr>
                <w:sz w:val="20"/>
                <w:szCs w:val="20"/>
              </w:rPr>
            </w:pPr>
          </w:p>
        </w:tc>
      </w:tr>
      <w:tr w:rsidR="00AA54ED" w:rsidRPr="00552FCF" w14:paraId="59A5BD3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052D5D" w14:textId="77777777" w:rsidR="00552FCF" w:rsidRPr="00552FCF" w:rsidRDefault="00552FCF" w:rsidP="000F5151">
            <w:pPr>
              <w:pStyle w:val="Compact"/>
              <w:spacing w:before="0" w:after="0"/>
              <w:rPr>
                <w:sz w:val="20"/>
                <w:szCs w:val="20"/>
              </w:rPr>
            </w:pPr>
            <w:r w:rsidRPr="00552FCF">
              <w:rPr>
                <w:sz w:val="20"/>
                <w:szCs w:val="20"/>
              </w:rPr>
              <w:t>BASE+per50up</w:t>
            </w:r>
          </w:p>
        </w:tc>
        <w:tc>
          <w:tcPr>
            <w:tcW w:w="1071" w:type="pct"/>
            <w:shd w:val="clear" w:color="auto" w:fill="auto"/>
          </w:tcPr>
          <w:p w14:paraId="47A9FA6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EF78B3E" w14:textId="77777777" w:rsidR="00552FCF" w:rsidRPr="00552FCF" w:rsidRDefault="00552FCF" w:rsidP="00542E04">
            <w:pPr>
              <w:pStyle w:val="Compact"/>
              <w:rPr>
                <w:sz w:val="20"/>
                <w:szCs w:val="20"/>
              </w:rPr>
            </w:pPr>
          </w:p>
        </w:tc>
      </w:tr>
      <w:tr w:rsidR="00AA54ED" w:rsidRPr="00552FCF" w14:paraId="362B56EE"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58ABD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+cumvaxp100k+testp100k+per50up</w:t>
            </w:r>
          </w:p>
        </w:tc>
        <w:tc>
          <w:tcPr>
            <w:tcW w:w="1071" w:type="pct"/>
            <w:shd w:val="clear" w:color="auto" w:fill="auto"/>
          </w:tcPr>
          <w:p w14:paraId="52C52E2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299 (289 - 305)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892A5E" w14:textId="77777777" w:rsidR="00552FCF" w:rsidRPr="00552FCF" w:rsidRDefault="00552FCF" w:rsidP="00542E04">
            <w:pPr>
              <w:pStyle w:val="Compact"/>
              <w:rPr>
                <w:sz w:val="20"/>
                <w:szCs w:val="20"/>
              </w:rPr>
            </w:pPr>
          </w:p>
        </w:tc>
      </w:tr>
      <w:tr w:rsidR="00AA54ED" w:rsidRPr="00552FCF" w14:paraId="7493AA2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7B2A8D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tc>
        <w:tc>
          <w:tcPr>
            <w:tcW w:w="1071" w:type="pct"/>
            <w:shd w:val="clear" w:color="auto" w:fill="auto"/>
          </w:tcPr>
          <w:p w14:paraId="5C03819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300 (286 - 306)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D905182" w14:textId="77777777" w:rsidR="00552FCF" w:rsidRPr="00552FCF" w:rsidRDefault="00552FCF" w:rsidP="00542E04">
            <w:pPr>
              <w:pStyle w:val="Compact"/>
              <w:rPr>
                <w:sz w:val="20"/>
                <w:szCs w:val="20"/>
              </w:rPr>
            </w:pPr>
          </w:p>
        </w:tc>
      </w:tr>
      <w:tr w:rsidR="00AA54ED" w:rsidRPr="00552FCF" w14:paraId="4E84A0C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FF3E11A"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+cumcasep100k+cumvaxp100k+per50up</w:t>
            </w:r>
          </w:p>
        </w:tc>
        <w:tc>
          <w:tcPr>
            <w:tcW w:w="1071" w:type="pct"/>
            <w:shd w:val="clear" w:color="auto" w:fill="auto"/>
          </w:tcPr>
          <w:p w14:paraId="2A0F862D"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300 (287 - 306)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B3D1F" w14:textId="77777777" w:rsidR="00552FCF" w:rsidRPr="00552FCF" w:rsidRDefault="00552FCF" w:rsidP="00542E04">
            <w:pPr>
              <w:pStyle w:val="Compact"/>
              <w:rPr>
                <w:sz w:val="20"/>
                <w:szCs w:val="20"/>
              </w:rPr>
            </w:pPr>
          </w:p>
        </w:tc>
      </w:tr>
      <w:tr w:rsidR="00AA54ED" w:rsidRPr="00552FCF" w14:paraId="10F18FC4"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180BC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+cumcasep100k+per50up</w:t>
            </w:r>
          </w:p>
        </w:tc>
        <w:tc>
          <w:tcPr>
            <w:tcW w:w="1071" w:type="pct"/>
            <w:shd w:val="clear" w:color="auto" w:fill="auto"/>
          </w:tcPr>
          <w:p w14:paraId="228932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450203E" w14:textId="77777777" w:rsidR="00552FCF" w:rsidRPr="00552FCF" w:rsidRDefault="00552FCF" w:rsidP="00542E04">
            <w:pPr>
              <w:pStyle w:val="Compact"/>
              <w:rPr>
                <w:sz w:val="20"/>
                <w:szCs w:val="20"/>
              </w:rPr>
            </w:pPr>
          </w:p>
        </w:tc>
      </w:tr>
      <w:tr w:rsidR="00AA54ED" w:rsidRPr="00552FCF" w14:paraId="00C8749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25103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w:t>
            </w:r>
          </w:p>
        </w:tc>
        <w:tc>
          <w:tcPr>
            <w:tcW w:w="1071" w:type="pct"/>
            <w:shd w:val="clear" w:color="auto" w:fill="auto"/>
          </w:tcPr>
          <w:p w14:paraId="0EED03A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5B1CB13" w14:textId="77777777" w:rsidR="00552FCF" w:rsidRPr="00552FCF" w:rsidRDefault="00552FCF" w:rsidP="00542E04">
            <w:pPr>
              <w:pStyle w:val="Compact"/>
              <w:rPr>
                <w:sz w:val="20"/>
                <w:szCs w:val="20"/>
              </w:rPr>
            </w:pPr>
          </w:p>
        </w:tc>
      </w:tr>
      <w:tr w:rsidR="00AA54ED" w:rsidRPr="00552FCF" w14:paraId="4E15D0F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2D92C8" w14:textId="77777777" w:rsidR="00552FCF" w:rsidRPr="00552FCF" w:rsidRDefault="00552FCF" w:rsidP="000F5151">
            <w:pPr>
              <w:pStyle w:val="Compact"/>
              <w:spacing w:before="0" w:after="0"/>
              <w:rPr>
                <w:sz w:val="20"/>
                <w:szCs w:val="20"/>
              </w:rPr>
            </w:pPr>
            <w:r w:rsidRPr="00552FCF">
              <w:rPr>
                <w:sz w:val="20"/>
                <w:szCs w:val="20"/>
              </w:rPr>
              <w:t>BASE+cumvaxp100k+testp100k+per50up</w:t>
            </w:r>
          </w:p>
        </w:tc>
        <w:tc>
          <w:tcPr>
            <w:tcW w:w="1071" w:type="pct"/>
            <w:shd w:val="clear" w:color="auto" w:fill="auto"/>
          </w:tcPr>
          <w:p w14:paraId="6064D8E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E1D785" w14:textId="77777777" w:rsidR="00552FCF" w:rsidRPr="00552FCF" w:rsidRDefault="00552FCF" w:rsidP="00542E04">
            <w:pPr>
              <w:pStyle w:val="Compact"/>
              <w:rPr>
                <w:sz w:val="20"/>
                <w:szCs w:val="20"/>
              </w:rPr>
            </w:pPr>
          </w:p>
        </w:tc>
      </w:tr>
      <w:tr w:rsidR="00AA54ED" w:rsidRPr="00552FCF" w14:paraId="1CEB6BB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5FDC6A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+cumvaxp100k+testp100k+per50up</w:t>
            </w:r>
          </w:p>
        </w:tc>
        <w:tc>
          <w:tcPr>
            <w:tcW w:w="1071" w:type="pct"/>
            <w:shd w:val="clear" w:color="auto" w:fill="auto"/>
          </w:tcPr>
          <w:p w14:paraId="63B9EBD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E99CA1B" w14:textId="77777777" w:rsidR="00552FCF" w:rsidRPr="00552FCF" w:rsidRDefault="00552FCF" w:rsidP="00542E04">
            <w:pPr>
              <w:pStyle w:val="Compact"/>
              <w:rPr>
                <w:sz w:val="20"/>
                <w:szCs w:val="20"/>
              </w:rPr>
            </w:pPr>
          </w:p>
        </w:tc>
      </w:tr>
      <w:tr w:rsidR="00AA54ED" w:rsidRPr="00552FCF" w14:paraId="32323F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E8F1EC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w:t>
            </w:r>
          </w:p>
        </w:tc>
        <w:tc>
          <w:tcPr>
            <w:tcW w:w="1071" w:type="pct"/>
            <w:shd w:val="clear" w:color="auto" w:fill="auto"/>
          </w:tcPr>
          <w:p w14:paraId="239C519F"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(290 - 313)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EF40360" w14:textId="77777777" w:rsidR="00552FCF" w:rsidRPr="00552FCF" w:rsidRDefault="00552FCF" w:rsidP="00542E04">
            <w:pPr>
              <w:pStyle w:val="Compact"/>
              <w:rPr>
                <w:sz w:val="20"/>
                <w:szCs w:val="20"/>
              </w:rPr>
            </w:pPr>
          </w:p>
        </w:tc>
      </w:tr>
      <w:tr w:rsidR="00AA54ED" w:rsidRPr="00552FCF" w14:paraId="6BB8A8A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CC2E7A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+cumvaxp100k+testp100k+per50up</w:t>
            </w:r>
          </w:p>
        </w:tc>
        <w:tc>
          <w:tcPr>
            <w:tcW w:w="1071" w:type="pct"/>
            <w:shd w:val="clear" w:color="auto" w:fill="auto"/>
          </w:tcPr>
          <w:p w14:paraId="6C3EF1B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304 (281 - 354)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CD3009" w14:textId="77777777" w:rsidR="00552FCF" w:rsidRPr="00552FCF" w:rsidRDefault="00552FCF" w:rsidP="00542E04">
            <w:pPr>
              <w:pStyle w:val="Compact"/>
              <w:rPr>
                <w:sz w:val="20"/>
                <w:szCs w:val="20"/>
              </w:rPr>
            </w:pPr>
          </w:p>
        </w:tc>
      </w:tr>
      <w:tr w:rsidR="00AA54ED" w:rsidRPr="00552FCF" w14:paraId="57AFFDD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62AF14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+testp100k+per50up</w:t>
            </w:r>
          </w:p>
        </w:tc>
        <w:tc>
          <w:tcPr>
            <w:tcW w:w="1071" w:type="pct"/>
            <w:shd w:val="clear" w:color="auto" w:fill="auto"/>
          </w:tcPr>
          <w:p w14:paraId="5876E5C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304 (293 - 311)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4597A26" w14:textId="77777777" w:rsidR="00552FCF" w:rsidRPr="00552FCF" w:rsidRDefault="00552FCF" w:rsidP="00542E04">
            <w:pPr>
              <w:pStyle w:val="Compact"/>
              <w:rPr>
                <w:sz w:val="20"/>
                <w:szCs w:val="20"/>
              </w:rPr>
            </w:pPr>
          </w:p>
        </w:tc>
      </w:tr>
      <w:tr w:rsidR="00AA54ED" w:rsidRPr="00552FCF" w14:paraId="1A5F661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5AADD0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+testp100k+per50up</w:t>
            </w:r>
          </w:p>
        </w:tc>
        <w:tc>
          <w:tcPr>
            <w:tcW w:w="1071" w:type="pct"/>
            <w:shd w:val="clear" w:color="auto" w:fill="auto"/>
          </w:tcPr>
          <w:p w14:paraId="56ED416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6F32F03" w14:textId="77777777" w:rsidR="00552FCF" w:rsidRPr="00552FCF" w:rsidRDefault="00552FCF" w:rsidP="00542E04">
            <w:pPr>
              <w:pStyle w:val="Compact"/>
              <w:rPr>
                <w:sz w:val="20"/>
                <w:szCs w:val="20"/>
              </w:rPr>
            </w:pPr>
          </w:p>
        </w:tc>
      </w:tr>
      <w:tr w:rsidR="00AA54ED" w:rsidRPr="00552FCF" w14:paraId="6C0F5E6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8DBB487" w14:textId="77777777" w:rsidR="00552FCF" w:rsidRPr="00552FCF" w:rsidRDefault="00552FCF" w:rsidP="000F5151">
            <w:pPr>
              <w:pStyle w:val="Compact"/>
              <w:spacing w:before="0" w:after="0"/>
              <w:rPr>
                <w:sz w:val="20"/>
                <w:szCs w:val="20"/>
              </w:rPr>
            </w:pPr>
            <w:r w:rsidRPr="00552FCF">
              <w:rPr>
                <w:sz w:val="20"/>
                <w:szCs w:val="20"/>
              </w:rPr>
              <w:t>BASE+testp100k+per50up</w:t>
            </w:r>
          </w:p>
        </w:tc>
        <w:tc>
          <w:tcPr>
            <w:tcW w:w="1071" w:type="pct"/>
            <w:shd w:val="clear" w:color="auto" w:fill="auto"/>
          </w:tcPr>
          <w:p w14:paraId="7FA97FC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497BBE1" w14:textId="77777777" w:rsidR="00552FCF" w:rsidRPr="00552FCF" w:rsidRDefault="00552FCF" w:rsidP="00542E04">
            <w:pPr>
              <w:pStyle w:val="Compact"/>
              <w:rPr>
                <w:sz w:val="20"/>
                <w:szCs w:val="20"/>
              </w:rPr>
            </w:pPr>
          </w:p>
        </w:tc>
      </w:tr>
      <w:tr w:rsidR="00AA54ED" w:rsidRPr="00552FCF" w14:paraId="6045070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4A5BA69" w14:textId="77777777" w:rsidR="00552FCF" w:rsidRPr="00552FCF" w:rsidRDefault="00552FCF" w:rsidP="000F5151">
            <w:pPr>
              <w:pStyle w:val="Compact"/>
              <w:spacing w:before="0" w:after="0"/>
              <w:rPr>
                <w:sz w:val="20"/>
                <w:szCs w:val="20"/>
              </w:rPr>
            </w:pPr>
            <w:r w:rsidRPr="00552FCF">
              <w:rPr>
                <w:sz w:val="20"/>
                <w:szCs w:val="20"/>
              </w:rPr>
              <w:t>BASE+testp100k</w:t>
            </w:r>
          </w:p>
        </w:tc>
        <w:tc>
          <w:tcPr>
            <w:tcW w:w="1071" w:type="pct"/>
            <w:shd w:val="clear" w:color="auto" w:fill="auto"/>
          </w:tcPr>
          <w:p w14:paraId="04ED271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0141C6" w14:textId="77777777" w:rsidR="00552FCF" w:rsidRPr="00552FCF" w:rsidRDefault="00552FCF" w:rsidP="00542E04">
            <w:pPr>
              <w:pStyle w:val="Compact"/>
              <w:rPr>
                <w:sz w:val="20"/>
                <w:szCs w:val="20"/>
              </w:rPr>
            </w:pPr>
          </w:p>
        </w:tc>
      </w:tr>
      <w:tr w:rsidR="00AA54ED" w:rsidRPr="00552FCF" w14:paraId="286BAE0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2C211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w:t>
            </w:r>
          </w:p>
        </w:tc>
        <w:tc>
          <w:tcPr>
            <w:tcW w:w="1071" w:type="pct"/>
            <w:shd w:val="clear" w:color="auto" w:fill="auto"/>
          </w:tcPr>
          <w:p w14:paraId="5EFE3F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AC3E66C" w14:textId="77777777" w:rsidR="00552FCF" w:rsidRPr="00552FCF" w:rsidRDefault="00552FCF" w:rsidP="00542E04">
            <w:pPr>
              <w:pStyle w:val="Compact"/>
              <w:rPr>
                <w:sz w:val="20"/>
                <w:szCs w:val="20"/>
              </w:rPr>
            </w:pPr>
          </w:p>
        </w:tc>
      </w:tr>
      <w:tr w:rsidR="00AA54ED" w:rsidRPr="00552FCF" w14:paraId="0A14B92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5FF1E00"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+cumcasep100k+cumvaxp100k+testp100k</w:t>
            </w:r>
          </w:p>
        </w:tc>
        <w:tc>
          <w:tcPr>
            <w:tcW w:w="1071" w:type="pct"/>
            <w:shd w:val="clear" w:color="auto" w:fill="auto"/>
          </w:tcPr>
          <w:p w14:paraId="672EC455"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82EE506" w14:textId="77777777" w:rsidR="00552FCF" w:rsidRPr="00552FCF" w:rsidRDefault="00552FCF" w:rsidP="00542E04">
            <w:pPr>
              <w:pStyle w:val="Compact"/>
              <w:rPr>
                <w:sz w:val="20"/>
                <w:szCs w:val="20"/>
              </w:rPr>
            </w:pPr>
          </w:p>
        </w:tc>
      </w:tr>
      <w:tr w:rsidR="00AA54ED" w:rsidRPr="00552FCF" w14:paraId="12D27D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0489F55"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p w14:paraId="580EBEF7" w14:textId="4A86611E"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48C0E85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309 (294 - 322)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B9F2170" w14:textId="77777777" w:rsidR="00552FCF" w:rsidRPr="00552FCF" w:rsidRDefault="00552FCF" w:rsidP="00542E04">
            <w:pPr>
              <w:pStyle w:val="Compact"/>
              <w:rPr>
                <w:sz w:val="20"/>
                <w:szCs w:val="20"/>
              </w:rPr>
            </w:pPr>
          </w:p>
        </w:tc>
      </w:tr>
      <w:tr w:rsidR="00AA54ED" w:rsidRPr="00552FCF" w14:paraId="5799EB6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025CA6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tc>
        <w:tc>
          <w:tcPr>
            <w:tcW w:w="1071" w:type="pct"/>
            <w:shd w:val="clear" w:color="auto" w:fill="auto"/>
          </w:tcPr>
          <w:p w14:paraId="34D3AE8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313 (302 - 321)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7DA952F" w14:textId="77777777" w:rsidR="00552FCF" w:rsidRPr="00552FCF" w:rsidRDefault="00552FCF" w:rsidP="00542E04">
            <w:pPr>
              <w:pStyle w:val="Compact"/>
              <w:rPr>
                <w:sz w:val="20"/>
                <w:szCs w:val="20"/>
              </w:rPr>
            </w:pPr>
          </w:p>
        </w:tc>
      </w:tr>
      <w:tr w:rsidR="00AA54ED" w:rsidRPr="00552FCF" w14:paraId="154A781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8217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+cumcasep100k+cumvaxp100k+per50up</w:t>
            </w:r>
          </w:p>
        </w:tc>
        <w:tc>
          <w:tcPr>
            <w:tcW w:w="1071" w:type="pct"/>
            <w:shd w:val="clear" w:color="auto" w:fill="auto"/>
          </w:tcPr>
          <w:p w14:paraId="5258864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314 (303 - 322)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9254165" w14:textId="77777777" w:rsidR="00552FCF" w:rsidRPr="00552FCF" w:rsidRDefault="00552FCF" w:rsidP="00542E04">
            <w:pPr>
              <w:pStyle w:val="Compact"/>
              <w:rPr>
                <w:sz w:val="20"/>
                <w:szCs w:val="20"/>
              </w:rPr>
            </w:pPr>
          </w:p>
        </w:tc>
      </w:tr>
      <w:tr w:rsidR="00AA54ED" w:rsidRPr="00552FCF" w14:paraId="2ECA282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4EEC1C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tc>
        <w:tc>
          <w:tcPr>
            <w:tcW w:w="1071" w:type="pct"/>
            <w:shd w:val="clear" w:color="auto" w:fill="auto"/>
          </w:tcPr>
          <w:p w14:paraId="368C056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B8C0D3" w14:textId="77777777" w:rsidR="00552FCF" w:rsidRPr="00552FCF" w:rsidRDefault="00552FCF" w:rsidP="00542E04">
            <w:pPr>
              <w:pStyle w:val="Compact"/>
              <w:rPr>
                <w:sz w:val="20"/>
                <w:szCs w:val="20"/>
              </w:rPr>
            </w:pPr>
          </w:p>
        </w:tc>
      </w:tr>
      <w:tr w:rsidR="00AA54ED" w:rsidRPr="00552FCF" w14:paraId="29EFB92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C7367A4" w14:textId="77777777" w:rsidR="00552FCF" w:rsidRPr="00552FCF" w:rsidRDefault="00552FCF" w:rsidP="000F5151">
            <w:pPr>
              <w:pStyle w:val="Compact"/>
              <w:spacing w:before="0" w:after="0"/>
              <w:rPr>
                <w:sz w:val="20"/>
                <w:szCs w:val="20"/>
              </w:rPr>
            </w:pPr>
            <w:r w:rsidRPr="00552FCF">
              <w:rPr>
                <w:sz w:val="20"/>
                <w:szCs w:val="20"/>
              </w:rPr>
              <w:t>BASE+cumcasep100k+cumvaxp100k</w:t>
            </w:r>
          </w:p>
        </w:tc>
        <w:tc>
          <w:tcPr>
            <w:tcW w:w="1071" w:type="pct"/>
            <w:shd w:val="clear" w:color="auto" w:fill="auto"/>
          </w:tcPr>
          <w:p w14:paraId="125BC1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52079DB" w14:textId="77777777" w:rsidR="00552FCF" w:rsidRPr="00552FCF" w:rsidRDefault="00552FCF" w:rsidP="00542E04">
            <w:pPr>
              <w:pStyle w:val="Compact"/>
              <w:rPr>
                <w:sz w:val="20"/>
                <w:szCs w:val="20"/>
              </w:rPr>
            </w:pPr>
          </w:p>
        </w:tc>
      </w:tr>
      <w:tr w:rsidR="00AA54ED" w:rsidRPr="00552FCF" w14:paraId="2197CBB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C9DD00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w:t>
            </w:r>
          </w:p>
        </w:tc>
        <w:tc>
          <w:tcPr>
            <w:tcW w:w="1071" w:type="pct"/>
            <w:shd w:val="clear" w:color="auto" w:fill="auto"/>
          </w:tcPr>
          <w:p w14:paraId="7D434AE0"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9C7095" w14:textId="77777777" w:rsidR="00552FCF" w:rsidRPr="00552FCF" w:rsidRDefault="00552FCF" w:rsidP="00542E04">
            <w:pPr>
              <w:pStyle w:val="Compact"/>
              <w:rPr>
                <w:sz w:val="20"/>
                <w:szCs w:val="20"/>
              </w:rPr>
            </w:pPr>
          </w:p>
        </w:tc>
      </w:tr>
      <w:tr w:rsidR="00AA54ED" w:rsidRPr="00552FCF" w14:paraId="51520822"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76DE45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+cumcasep100k+per50up</w:t>
            </w:r>
          </w:p>
        </w:tc>
        <w:tc>
          <w:tcPr>
            <w:tcW w:w="1071" w:type="pct"/>
            <w:shd w:val="clear" w:color="auto" w:fill="auto"/>
          </w:tcPr>
          <w:p w14:paraId="2DDCFF4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239DFF9" w14:textId="77777777" w:rsidR="00552FCF" w:rsidRPr="00552FCF" w:rsidRDefault="00552FCF" w:rsidP="00542E04">
            <w:pPr>
              <w:pStyle w:val="Compact"/>
              <w:rPr>
                <w:sz w:val="20"/>
                <w:szCs w:val="20"/>
              </w:rPr>
            </w:pPr>
          </w:p>
        </w:tc>
      </w:tr>
      <w:tr w:rsidR="00AA54ED" w:rsidRPr="00552FCF" w14:paraId="2C8396B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0ECE6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+cumcasep100k+cumvaxp100k+per50up</w:t>
            </w:r>
          </w:p>
        </w:tc>
        <w:tc>
          <w:tcPr>
            <w:tcW w:w="1071" w:type="pct"/>
            <w:shd w:val="clear" w:color="auto" w:fill="auto"/>
          </w:tcPr>
          <w:p w14:paraId="7A120FC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1F41984" w14:textId="77777777" w:rsidR="00552FCF" w:rsidRPr="00552FCF" w:rsidRDefault="00552FCF" w:rsidP="00542E04">
            <w:pPr>
              <w:pStyle w:val="Compact"/>
              <w:rPr>
                <w:sz w:val="20"/>
                <w:szCs w:val="20"/>
              </w:rPr>
            </w:pPr>
          </w:p>
        </w:tc>
      </w:tr>
      <w:tr w:rsidR="00AA54ED" w:rsidRPr="00552FCF" w14:paraId="2860258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F3A12C5" w14:textId="77777777" w:rsidR="00552FCF" w:rsidRPr="00552FCF" w:rsidRDefault="00552FCF" w:rsidP="000F5151">
            <w:pPr>
              <w:pStyle w:val="Compact"/>
              <w:spacing w:before="0" w:after="0"/>
              <w:rPr>
                <w:sz w:val="20"/>
                <w:szCs w:val="20"/>
              </w:rPr>
            </w:pPr>
            <w:r w:rsidRPr="00552FCF">
              <w:rPr>
                <w:sz w:val="20"/>
                <w:szCs w:val="20"/>
              </w:rPr>
              <w:t>BASE+cumcasep100k+cumvaxp100k+per50up</w:t>
            </w:r>
          </w:p>
        </w:tc>
        <w:tc>
          <w:tcPr>
            <w:tcW w:w="1071" w:type="pct"/>
            <w:shd w:val="clear" w:color="auto" w:fill="auto"/>
          </w:tcPr>
          <w:p w14:paraId="01EEE81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494EC8" w14:textId="77777777" w:rsidR="00552FCF" w:rsidRPr="00552FCF" w:rsidRDefault="00552FCF" w:rsidP="00542E04">
            <w:pPr>
              <w:pStyle w:val="Compact"/>
              <w:rPr>
                <w:sz w:val="20"/>
                <w:szCs w:val="20"/>
              </w:rPr>
            </w:pPr>
          </w:p>
        </w:tc>
      </w:tr>
      <w:tr w:rsidR="00AA54ED" w:rsidRPr="00552FCF" w14:paraId="69E2FED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B8B7DFD" w14:textId="77777777" w:rsidR="00552FCF" w:rsidRPr="00552FCF" w:rsidRDefault="00552FCF" w:rsidP="000F5151">
            <w:pPr>
              <w:pStyle w:val="Compact"/>
              <w:spacing w:before="0" w:after="0"/>
              <w:rPr>
                <w:sz w:val="20"/>
                <w:szCs w:val="20"/>
              </w:rPr>
            </w:pPr>
            <w:r w:rsidRPr="00552FCF">
              <w:rPr>
                <w:sz w:val="20"/>
                <w:szCs w:val="20"/>
              </w:rPr>
              <w:t>BASE+cumcasep100k</w:t>
            </w:r>
          </w:p>
        </w:tc>
        <w:tc>
          <w:tcPr>
            <w:tcW w:w="1071" w:type="pct"/>
            <w:shd w:val="clear" w:color="auto" w:fill="auto"/>
          </w:tcPr>
          <w:p w14:paraId="016D084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EE2B267" w14:textId="77777777" w:rsidR="00552FCF" w:rsidRPr="00552FCF" w:rsidRDefault="00552FCF" w:rsidP="00542E04">
            <w:pPr>
              <w:pStyle w:val="Compact"/>
              <w:rPr>
                <w:sz w:val="20"/>
                <w:szCs w:val="20"/>
              </w:rPr>
            </w:pPr>
          </w:p>
        </w:tc>
      </w:tr>
      <w:tr w:rsidR="00AA54ED" w:rsidRPr="00552FCF" w14:paraId="17BACAC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458941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w:t>
            </w:r>
          </w:p>
        </w:tc>
        <w:tc>
          <w:tcPr>
            <w:tcW w:w="1071" w:type="pct"/>
            <w:shd w:val="clear" w:color="auto" w:fill="auto"/>
          </w:tcPr>
          <w:p w14:paraId="15352EF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576497" w14:textId="77777777" w:rsidR="00552FCF" w:rsidRPr="00552FCF" w:rsidRDefault="00552FCF" w:rsidP="00542E04">
            <w:pPr>
              <w:pStyle w:val="Compact"/>
              <w:rPr>
                <w:sz w:val="20"/>
                <w:szCs w:val="20"/>
              </w:rPr>
            </w:pPr>
          </w:p>
        </w:tc>
      </w:tr>
      <w:tr w:rsidR="00AA54ED" w:rsidRPr="00552FCF" w14:paraId="2F97CC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02DB0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+cumcasep100k+per50up</w:t>
            </w:r>
          </w:p>
        </w:tc>
        <w:tc>
          <w:tcPr>
            <w:tcW w:w="1071" w:type="pct"/>
            <w:shd w:val="clear" w:color="auto" w:fill="auto"/>
          </w:tcPr>
          <w:p w14:paraId="2C9ABE5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840A9C" w14:textId="77777777" w:rsidR="00552FCF" w:rsidRPr="00552FCF" w:rsidRDefault="00552FCF" w:rsidP="00542E04">
            <w:pPr>
              <w:pStyle w:val="Compact"/>
              <w:rPr>
                <w:sz w:val="20"/>
                <w:szCs w:val="20"/>
              </w:rPr>
            </w:pPr>
          </w:p>
        </w:tc>
      </w:tr>
      <w:tr w:rsidR="00AA54ED" w:rsidRPr="00552FCF" w14:paraId="385C478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94DA8C" w14:textId="77777777" w:rsidR="00552FCF" w:rsidRPr="00552FCF" w:rsidRDefault="00552FCF" w:rsidP="000F5151">
            <w:pPr>
              <w:pStyle w:val="Compact"/>
              <w:spacing w:before="0" w:after="0"/>
              <w:rPr>
                <w:sz w:val="20"/>
                <w:szCs w:val="20"/>
              </w:rPr>
            </w:pPr>
            <w:r w:rsidRPr="00552FCF">
              <w:rPr>
                <w:sz w:val="20"/>
                <w:szCs w:val="20"/>
              </w:rPr>
              <w:t>BASE+cumcasep100k+per50up</w:t>
            </w:r>
          </w:p>
        </w:tc>
        <w:tc>
          <w:tcPr>
            <w:tcW w:w="1071" w:type="pct"/>
            <w:shd w:val="clear" w:color="auto" w:fill="auto"/>
          </w:tcPr>
          <w:p w14:paraId="02911FC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47DC787" w14:textId="77777777" w:rsidR="00552FCF" w:rsidRPr="00552FCF" w:rsidRDefault="00552FCF" w:rsidP="00542E04">
            <w:pPr>
              <w:pStyle w:val="Compact"/>
              <w:rPr>
                <w:sz w:val="20"/>
                <w:szCs w:val="20"/>
              </w:rPr>
            </w:pPr>
          </w:p>
        </w:tc>
      </w:tr>
      <w:tr w:rsidR="00AA54ED" w:rsidRPr="00552FCF" w14:paraId="75E5478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73113C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+cumcasep100k+cumvaxp100k+testp100k</w:t>
            </w:r>
          </w:p>
        </w:tc>
        <w:tc>
          <w:tcPr>
            <w:tcW w:w="1071" w:type="pct"/>
            <w:shd w:val="clear" w:color="auto" w:fill="auto"/>
          </w:tcPr>
          <w:p w14:paraId="40D1B92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322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8B8D58C" w14:textId="77777777" w:rsidR="00552FCF" w:rsidRPr="00552FCF" w:rsidRDefault="00552FCF" w:rsidP="00542E04">
            <w:pPr>
              <w:pStyle w:val="Compact"/>
              <w:rPr>
                <w:sz w:val="20"/>
                <w:szCs w:val="20"/>
              </w:rPr>
            </w:pPr>
          </w:p>
        </w:tc>
      </w:tr>
      <w:tr w:rsidR="00AA54ED" w:rsidRPr="00552FCF" w14:paraId="1A7B4487"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969946"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p w14:paraId="77F606EB" w14:textId="1D1534C8"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4744F65"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323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D16B06D" w14:textId="77777777" w:rsidR="00552FCF" w:rsidRPr="00552FCF" w:rsidRDefault="00552FCF" w:rsidP="00542E04">
            <w:pPr>
              <w:pStyle w:val="Compact"/>
              <w:rPr>
                <w:sz w:val="20"/>
                <w:szCs w:val="20"/>
              </w:rPr>
            </w:pPr>
          </w:p>
        </w:tc>
      </w:tr>
      <w:tr w:rsidR="00AA54ED" w:rsidRPr="00552FCF" w14:paraId="4618193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0BD7F" w14:textId="77777777" w:rsidR="00552FCF" w:rsidRPr="00552FCF" w:rsidRDefault="00552FCF" w:rsidP="000F5151">
            <w:pPr>
              <w:pStyle w:val="Compact"/>
              <w:spacing w:before="0" w:after="0"/>
              <w:rPr>
                <w:sz w:val="20"/>
                <w:szCs w:val="20"/>
              </w:rPr>
            </w:pPr>
            <w:r w:rsidRPr="00552FCF">
              <w:rPr>
                <w:sz w:val="20"/>
                <w:szCs w:val="20"/>
              </w:rPr>
              <w:t>BASE+cumcasep100k+cumvaxp100k+testp100k</w:t>
            </w:r>
          </w:p>
        </w:tc>
        <w:tc>
          <w:tcPr>
            <w:tcW w:w="1071" w:type="pct"/>
            <w:shd w:val="clear" w:color="auto" w:fill="auto"/>
          </w:tcPr>
          <w:p w14:paraId="65726B6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9040F0" w14:textId="77777777" w:rsidR="00552FCF" w:rsidRPr="00552FCF" w:rsidRDefault="00552FCF" w:rsidP="00542E04">
            <w:pPr>
              <w:pStyle w:val="Compact"/>
              <w:rPr>
                <w:sz w:val="20"/>
                <w:szCs w:val="20"/>
              </w:rPr>
            </w:pPr>
          </w:p>
        </w:tc>
      </w:tr>
      <w:tr w:rsidR="00AA54ED" w:rsidRPr="00552FCF" w14:paraId="27AFB9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8B5D1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+cumcasep100k+cumvaxp100k+testp100k</w:t>
            </w:r>
          </w:p>
        </w:tc>
        <w:tc>
          <w:tcPr>
            <w:tcW w:w="1071" w:type="pct"/>
            <w:shd w:val="clear" w:color="auto" w:fill="auto"/>
          </w:tcPr>
          <w:p w14:paraId="6E802C7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6362ED7" w14:textId="77777777" w:rsidR="00552FCF" w:rsidRPr="00552FCF" w:rsidRDefault="00552FCF" w:rsidP="00542E04">
            <w:pPr>
              <w:pStyle w:val="Compact"/>
              <w:rPr>
                <w:sz w:val="20"/>
                <w:szCs w:val="20"/>
              </w:rPr>
            </w:pPr>
          </w:p>
        </w:tc>
      </w:tr>
      <w:tr w:rsidR="00AA54ED" w:rsidRPr="00552FCF" w14:paraId="7C29112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743929" w14:textId="77777777" w:rsidR="00552FCF" w:rsidRPr="00552FCF" w:rsidRDefault="00552FCF" w:rsidP="000F5151">
            <w:pPr>
              <w:pStyle w:val="Compact"/>
              <w:spacing w:before="0" w:after="0"/>
              <w:rPr>
                <w:sz w:val="20"/>
                <w:szCs w:val="20"/>
              </w:rPr>
            </w:pPr>
            <w:r w:rsidRPr="00552FCF">
              <w:rPr>
                <w:sz w:val="20"/>
                <w:szCs w:val="20"/>
              </w:rPr>
              <w:t>BASE+cumcasep100k+cumvaxp100k+testp100k+per50up</w:t>
            </w:r>
          </w:p>
        </w:tc>
        <w:tc>
          <w:tcPr>
            <w:tcW w:w="1071" w:type="pct"/>
            <w:shd w:val="clear" w:color="auto" w:fill="auto"/>
          </w:tcPr>
          <w:p w14:paraId="54C19CA8"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2A3ACCE" w14:textId="77777777" w:rsidR="00552FCF" w:rsidRPr="00552FCF" w:rsidRDefault="00552FCF" w:rsidP="00542E04">
            <w:pPr>
              <w:pStyle w:val="Compact"/>
              <w:rPr>
                <w:sz w:val="20"/>
                <w:szCs w:val="20"/>
              </w:rPr>
            </w:pPr>
          </w:p>
        </w:tc>
      </w:tr>
      <w:tr w:rsidR="00AA54ED" w:rsidRPr="00552FCF" w14:paraId="707B260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E61483B"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p w14:paraId="4E841FD2" w14:textId="1982EA40"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DC59188"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F6CEADE" w14:textId="77777777" w:rsidR="00552FCF" w:rsidRPr="00552FCF" w:rsidRDefault="00552FCF" w:rsidP="00542E04">
            <w:pPr>
              <w:pStyle w:val="Compact"/>
              <w:rPr>
                <w:sz w:val="20"/>
                <w:szCs w:val="20"/>
              </w:rPr>
            </w:pPr>
          </w:p>
        </w:tc>
      </w:tr>
      <w:tr w:rsidR="00AA54ED" w:rsidRPr="00552FCF" w14:paraId="6F8A610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F6EE38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+cumcasep100k+testp100k+per50up</w:t>
            </w:r>
          </w:p>
        </w:tc>
        <w:tc>
          <w:tcPr>
            <w:tcW w:w="1071" w:type="pct"/>
            <w:shd w:val="clear" w:color="auto" w:fill="auto"/>
          </w:tcPr>
          <w:p w14:paraId="1C1AF3E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10CB50C" w14:textId="77777777" w:rsidR="00552FCF" w:rsidRPr="00552FCF" w:rsidRDefault="00552FCF" w:rsidP="00542E04">
            <w:pPr>
              <w:pStyle w:val="Compact"/>
              <w:rPr>
                <w:sz w:val="20"/>
                <w:szCs w:val="20"/>
              </w:rPr>
            </w:pPr>
          </w:p>
        </w:tc>
      </w:tr>
      <w:tr w:rsidR="00AA54ED" w:rsidRPr="00552FCF" w14:paraId="0833181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ABA2BC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w:t>
            </w:r>
          </w:p>
        </w:tc>
        <w:tc>
          <w:tcPr>
            <w:tcW w:w="1071" w:type="pct"/>
            <w:shd w:val="clear" w:color="auto" w:fill="auto"/>
          </w:tcPr>
          <w:p w14:paraId="432F4FE2"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326 (313 - 338)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1866F9" w14:textId="77777777" w:rsidR="00552FCF" w:rsidRPr="00552FCF" w:rsidRDefault="00552FCF" w:rsidP="00542E04">
            <w:pPr>
              <w:pStyle w:val="Compact"/>
              <w:rPr>
                <w:sz w:val="20"/>
                <w:szCs w:val="20"/>
              </w:rPr>
            </w:pPr>
          </w:p>
        </w:tc>
      </w:tr>
      <w:tr w:rsidR="00AA54ED" w:rsidRPr="00552FCF" w14:paraId="1B22181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B2F84E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+cumcasep100k+testp100k+per50up</w:t>
            </w:r>
          </w:p>
        </w:tc>
        <w:tc>
          <w:tcPr>
            <w:tcW w:w="1071" w:type="pct"/>
            <w:shd w:val="clear" w:color="auto" w:fill="auto"/>
          </w:tcPr>
          <w:p w14:paraId="5909FF8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F9DFDE4" w14:textId="77777777" w:rsidR="00552FCF" w:rsidRPr="00552FCF" w:rsidRDefault="00552FCF" w:rsidP="00542E04">
            <w:pPr>
              <w:pStyle w:val="Compact"/>
              <w:rPr>
                <w:sz w:val="20"/>
                <w:szCs w:val="20"/>
              </w:rPr>
            </w:pPr>
          </w:p>
        </w:tc>
      </w:tr>
      <w:tr w:rsidR="00AA54ED" w:rsidRPr="00552FCF" w14:paraId="2B6F9F5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281AC" w14:textId="77777777" w:rsidR="00552FCF" w:rsidRPr="00552FCF" w:rsidRDefault="00552FCF" w:rsidP="000F5151">
            <w:pPr>
              <w:pStyle w:val="Compact"/>
              <w:spacing w:before="0" w:after="0"/>
              <w:rPr>
                <w:sz w:val="20"/>
                <w:szCs w:val="20"/>
              </w:rPr>
            </w:pPr>
            <w:r w:rsidRPr="00552FCF">
              <w:rPr>
                <w:sz w:val="20"/>
                <w:szCs w:val="20"/>
              </w:rPr>
              <w:t>BASE+cumcasep100k+testp100k+per50up</w:t>
            </w:r>
          </w:p>
        </w:tc>
        <w:tc>
          <w:tcPr>
            <w:tcW w:w="1071" w:type="pct"/>
            <w:shd w:val="clear" w:color="auto" w:fill="auto"/>
          </w:tcPr>
          <w:p w14:paraId="2935652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075349A" w14:textId="77777777" w:rsidR="00552FCF" w:rsidRPr="00552FCF" w:rsidRDefault="00552FCF" w:rsidP="00542E04">
            <w:pPr>
              <w:pStyle w:val="Compact"/>
              <w:rPr>
                <w:sz w:val="20"/>
                <w:szCs w:val="20"/>
              </w:rPr>
            </w:pPr>
          </w:p>
        </w:tc>
      </w:tr>
      <w:tr w:rsidR="00AA54ED" w:rsidRPr="00552FCF" w14:paraId="3C0A319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4154B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w:t>
            </w:r>
          </w:p>
        </w:tc>
        <w:tc>
          <w:tcPr>
            <w:tcW w:w="1071" w:type="pct"/>
            <w:shd w:val="clear" w:color="auto" w:fill="auto"/>
          </w:tcPr>
          <w:p w14:paraId="095C53C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606C040" w14:textId="77777777" w:rsidR="00552FCF" w:rsidRPr="00552FCF" w:rsidRDefault="00552FCF" w:rsidP="00542E04">
            <w:pPr>
              <w:pStyle w:val="Compact"/>
              <w:rPr>
                <w:sz w:val="20"/>
                <w:szCs w:val="20"/>
              </w:rPr>
            </w:pPr>
          </w:p>
        </w:tc>
      </w:tr>
      <w:tr w:rsidR="00AA54ED" w:rsidRPr="00552FCF" w14:paraId="432C870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E1E301F" w14:textId="77777777" w:rsidR="00552FCF" w:rsidRPr="00552FCF" w:rsidRDefault="00552FCF" w:rsidP="000F5151">
            <w:pPr>
              <w:pStyle w:val="Compact"/>
              <w:spacing w:before="0" w:after="0"/>
              <w:rPr>
                <w:sz w:val="20"/>
                <w:szCs w:val="20"/>
              </w:rPr>
            </w:pPr>
            <w:r w:rsidRPr="00552FCF">
              <w:rPr>
                <w:sz w:val="20"/>
                <w:szCs w:val="20"/>
              </w:rPr>
              <w:t>BASE+cumcasep100k+testp100k</w:t>
            </w:r>
          </w:p>
        </w:tc>
        <w:tc>
          <w:tcPr>
            <w:tcW w:w="1071" w:type="pct"/>
            <w:shd w:val="clear" w:color="auto" w:fill="auto"/>
          </w:tcPr>
          <w:p w14:paraId="1728F82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C55A79" w14:textId="77777777" w:rsidR="00552FCF" w:rsidRPr="00552FCF" w:rsidRDefault="00552FCF" w:rsidP="00542E04">
            <w:pPr>
              <w:pStyle w:val="Compact"/>
              <w:rPr>
                <w:sz w:val="20"/>
                <w:szCs w:val="20"/>
              </w:rPr>
            </w:pPr>
          </w:p>
        </w:tc>
      </w:tr>
      <w:tr w:rsidR="00AA54ED" w:rsidRPr="00552FCF" w14:paraId="4E68547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461FA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+testp100k+per50up</w:t>
            </w:r>
          </w:p>
        </w:tc>
        <w:tc>
          <w:tcPr>
            <w:tcW w:w="1071" w:type="pct"/>
            <w:shd w:val="clear" w:color="auto" w:fill="auto"/>
          </w:tcPr>
          <w:p w14:paraId="0338C49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336 (284 - 403)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DA07C1" w14:textId="77777777" w:rsidR="00552FCF" w:rsidRPr="00552FCF" w:rsidRDefault="00552FCF" w:rsidP="00542E04">
            <w:pPr>
              <w:pStyle w:val="Compact"/>
              <w:rPr>
                <w:sz w:val="20"/>
                <w:szCs w:val="20"/>
              </w:rPr>
            </w:pPr>
          </w:p>
        </w:tc>
      </w:tr>
      <w:tr w:rsidR="00AA54ED" w:rsidRPr="00552FCF" w14:paraId="409C4A7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37DA33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+cumcasep100k+testp100k+per50up</w:t>
            </w:r>
          </w:p>
        </w:tc>
        <w:tc>
          <w:tcPr>
            <w:tcW w:w="1071" w:type="pct"/>
            <w:shd w:val="clear" w:color="auto" w:fill="auto"/>
          </w:tcPr>
          <w:p w14:paraId="55EC299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409 (294 - 559)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0052654" w14:textId="77777777" w:rsidR="00552FCF" w:rsidRPr="00552FCF" w:rsidRDefault="00552FCF" w:rsidP="00542E04">
            <w:pPr>
              <w:pStyle w:val="Compact"/>
              <w:rPr>
                <w:sz w:val="20"/>
                <w:szCs w:val="20"/>
              </w:rPr>
            </w:pPr>
          </w:p>
        </w:tc>
      </w:tr>
      <w:tr w:rsidR="00AA54ED" w:rsidRPr="00552FCF" w14:paraId="6FA21DE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2A5C8"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+cumcasep100k+testp100k</w:t>
            </w:r>
          </w:p>
        </w:tc>
        <w:tc>
          <w:tcPr>
            <w:tcW w:w="1071" w:type="pct"/>
            <w:shd w:val="clear" w:color="auto" w:fill="auto"/>
          </w:tcPr>
          <w:p w14:paraId="7FFEB39B"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486 (294 - 724)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93D4C39" w14:textId="77777777" w:rsidR="00552FCF" w:rsidRPr="00552FCF" w:rsidRDefault="00552FCF" w:rsidP="00542E04">
            <w:pPr>
              <w:pStyle w:val="Compact"/>
              <w:rPr>
                <w:sz w:val="20"/>
                <w:szCs w:val="20"/>
              </w:rPr>
            </w:pPr>
          </w:p>
        </w:tc>
      </w:tr>
      <w:tr w:rsidR="00AA54ED" w:rsidRPr="00552FCF" w14:paraId="6C25B16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96299D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w:t>
            </w:r>
          </w:p>
        </w:tc>
        <w:tc>
          <w:tcPr>
            <w:tcW w:w="1071" w:type="pct"/>
            <w:shd w:val="clear" w:color="auto" w:fill="auto"/>
          </w:tcPr>
          <w:p w14:paraId="16B47C1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488 (280 - 826)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5092D90" w14:textId="77777777" w:rsidR="00552FCF" w:rsidRPr="00552FCF" w:rsidRDefault="00552FCF" w:rsidP="00542E04">
            <w:pPr>
              <w:pStyle w:val="Compact"/>
              <w:rPr>
                <w:sz w:val="20"/>
                <w:szCs w:val="20"/>
              </w:rPr>
            </w:pPr>
          </w:p>
        </w:tc>
      </w:tr>
    </w:tbl>
    <w:p w14:paraId="2D3EFC4F" w14:textId="77777777" w:rsidR="004A2940" w:rsidRDefault="004A2940" w:rsidP="00E56FDC">
      <w:pPr>
        <w:rPr>
          <w:b/>
          <w:bCs/>
          <w:sz w:val="20"/>
          <w:szCs w:val="20"/>
        </w:rPr>
      </w:pPr>
    </w:p>
    <w:p w14:paraId="169B5AB3" w14:textId="1C4BDCBD" w:rsidR="00CC2EB2" w:rsidRDefault="00E56FDC" w:rsidP="0047165F">
      <w:pPr>
        <w:rPr>
          <w:sz w:val="20"/>
          <w:szCs w:val="20"/>
        </w:rPr>
      </w:pPr>
      <w:r w:rsidRPr="00CF5071">
        <w:rPr>
          <w:b/>
          <w:bCs/>
          <w:sz w:val="20"/>
          <w:szCs w:val="20"/>
        </w:rPr>
        <w:t>Table S</w:t>
      </w:r>
      <w:r>
        <w:rPr>
          <w:b/>
          <w:bCs/>
          <w:sz w:val="20"/>
          <w:szCs w:val="20"/>
        </w:rPr>
        <w:t>3</w:t>
      </w:r>
      <w:r w:rsidRPr="00CF5071">
        <w:rPr>
          <w:b/>
          <w:bCs/>
          <w:sz w:val="20"/>
          <w:szCs w:val="20"/>
        </w:rPr>
        <w:t>:</w:t>
      </w:r>
      <w:r w:rsidRPr="00CF5071">
        <w:rPr>
          <w:sz w:val="20"/>
          <w:szCs w:val="20"/>
        </w:rPr>
        <w:t xml:space="preserve"> </w:t>
      </w:r>
      <w:r w:rsidR="000B5B36">
        <w:rPr>
          <w:sz w:val="20"/>
          <w:szCs w:val="20"/>
        </w:rPr>
        <w:t>Model formulas, performance across 10 rounds of 10-fold cross validation, and resulting hospitalizations averted estimates for the top ten best performing models</w:t>
      </w:r>
      <w:r w:rsidRPr="00CF5071">
        <w:rPr>
          <w:sz w:val="20"/>
          <w:szCs w:val="20"/>
        </w:rPr>
        <w:t>.</w:t>
      </w:r>
      <w:r>
        <w:rPr>
          <w:sz w:val="20"/>
          <w:szCs w:val="20"/>
        </w:rPr>
        <w:t xml:space="preserve"> </w:t>
      </w:r>
      <w:r w:rsidR="00C54B40">
        <w:rPr>
          <w:sz w:val="20"/>
          <w:szCs w:val="20"/>
        </w:rPr>
        <w:t xml:space="preserve">The table is ordered </w:t>
      </w:r>
      <w:r w:rsidR="004E5170">
        <w:rPr>
          <w:sz w:val="20"/>
          <w:szCs w:val="20"/>
        </w:rPr>
        <w:t>by</w:t>
      </w:r>
      <w:r w:rsidR="00C54B40">
        <w:rPr>
          <w:sz w:val="20"/>
          <w:szCs w:val="20"/>
        </w:rPr>
        <w:t xml:space="preserve"> descending performance</w:t>
      </w:r>
      <w:r w:rsidR="00EC475C">
        <w:rPr>
          <w:sz w:val="20"/>
          <w:szCs w:val="20"/>
        </w:rPr>
        <w:t xml:space="preserve"> in terms of the mean </w:t>
      </w:r>
      <w:proofErr w:type="spellStart"/>
      <w:r w:rsidR="00EC475C">
        <w:rPr>
          <w:sz w:val="20"/>
          <w:szCs w:val="20"/>
        </w:rPr>
        <w:t>mean</w:t>
      </w:r>
      <w:proofErr w:type="spellEnd"/>
      <w:r w:rsidR="00EC475C">
        <w:rPr>
          <w:sz w:val="20"/>
          <w:szCs w:val="20"/>
        </w:rPr>
        <w:t xml:space="preserve"> squared error</w:t>
      </w:r>
      <w:r w:rsidR="00EC475C" w:rsidRPr="00EC475C">
        <w:rPr>
          <w:sz w:val="20"/>
          <w:szCs w:val="20"/>
        </w:rPr>
        <w:t xml:space="preserve"> </w:t>
      </w:r>
      <w:r w:rsidR="00EC475C">
        <w:rPr>
          <w:sz w:val="20"/>
          <w:szCs w:val="20"/>
        </w:rPr>
        <w:t xml:space="preserve">across all ten rounds, which is </w:t>
      </w:r>
      <w:r w:rsidR="00D26498">
        <w:rPr>
          <w:sz w:val="20"/>
          <w:szCs w:val="20"/>
        </w:rPr>
        <w:t>shown along the max and min in the second column</w:t>
      </w:r>
      <w:r w:rsidR="00C54B40">
        <w:rPr>
          <w:sz w:val="20"/>
          <w:szCs w:val="20"/>
        </w:rPr>
        <w:t xml:space="preserve">. </w:t>
      </w:r>
      <w:r w:rsidR="00154594">
        <w:rPr>
          <w:sz w:val="20"/>
          <w:szCs w:val="20"/>
        </w:rPr>
        <w:t xml:space="preserve">The “BASE” term for each model is described in the text above along with additional variables included in all possible combinations. </w:t>
      </w:r>
      <w:r>
        <w:rPr>
          <w:sz w:val="20"/>
          <w:szCs w:val="20"/>
        </w:rPr>
        <w:t xml:space="preserve">The </w:t>
      </w:r>
      <w:r w:rsidR="00D26498">
        <w:rPr>
          <w:sz w:val="20"/>
          <w:szCs w:val="20"/>
        </w:rPr>
        <w:t xml:space="preserve">top model </w:t>
      </w:r>
      <w:r>
        <w:rPr>
          <w:sz w:val="20"/>
          <w:szCs w:val="20"/>
        </w:rPr>
        <w:t xml:space="preserve">with the </w:t>
      </w:r>
      <w:r w:rsidR="00D26498">
        <w:rPr>
          <w:sz w:val="20"/>
          <w:szCs w:val="20"/>
        </w:rPr>
        <w:t xml:space="preserve">lowest mean </w:t>
      </w:r>
      <w:proofErr w:type="spellStart"/>
      <w:proofErr w:type="gramStart"/>
      <w:r w:rsidR="00D26498">
        <w:rPr>
          <w:sz w:val="20"/>
          <w:szCs w:val="20"/>
        </w:rPr>
        <w:t>mean</w:t>
      </w:r>
      <w:proofErr w:type="spellEnd"/>
      <w:proofErr w:type="gramEnd"/>
      <w:r w:rsidR="00D26498">
        <w:rPr>
          <w:sz w:val="20"/>
          <w:szCs w:val="20"/>
        </w:rPr>
        <w:t xml:space="preserve"> squared error</w:t>
      </w:r>
      <w:r>
        <w:rPr>
          <w:sz w:val="20"/>
          <w:szCs w:val="20"/>
        </w:rPr>
        <w:t xml:space="preserve"> was used to estimate counterfactual </w:t>
      </w:r>
      <w:r w:rsidR="00CD50B3">
        <w:rPr>
          <w:sz w:val="20"/>
          <w:szCs w:val="20"/>
        </w:rPr>
        <w:t>hospitalizations in the absence of the equity allocation and resulting hospitalizations averted</w:t>
      </w:r>
      <w:r>
        <w:rPr>
          <w:sz w:val="20"/>
          <w:szCs w:val="20"/>
        </w:rPr>
        <w:t xml:space="preserve"> </w:t>
      </w:r>
      <w:r w:rsidR="00CA06F0">
        <w:rPr>
          <w:sz w:val="20"/>
          <w:szCs w:val="20"/>
        </w:rPr>
        <w:t>reported</w:t>
      </w:r>
      <w:r>
        <w:rPr>
          <w:sz w:val="20"/>
          <w:szCs w:val="20"/>
        </w:rPr>
        <w:t xml:space="preserve"> in the main analysis</w:t>
      </w:r>
      <w:r w:rsidR="00B80C24">
        <w:rPr>
          <w:sz w:val="20"/>
          <w:szCs w:val="20"/>
        </w:rPr>
        <w:t>. T</w:t>
      </w:r>
      <w:r w:rsidR="00B64D41">
        <w:rPr>
          <w:sz w:val="20"/>
          <w:szCs w:val="20"/>
        </w:rPr>
        <w:t xml:space="preserve">he next nine top models were also used to </w:t>
      </w:r>
      <w:r w:rsidR="00CD50B3">
        <w:rPr>
          <w:sz w:val="20"/>
          <w:szCs w:val="20"/>
        </w:rPr>
        <w:t>estimate hospitalizations averted</w:t>
      </w:r>
      <w:r w:rsidR="00B64D41">
        <w:rPr>
          <w:sz w:val="20"/>
          <w:szCs w:val="20"/>
        </w:rPr>
        <w:t xml:space="preserve"> shown in </w:t>
      </w:r>
      <w:r w:rsidR="008D49DA">
        <w:rPr>
          <w:sz w:val="20"/>
          <w:szCs w:val="20"/>
        </w:rPr>
        <w:t>column three</w:t>
      </w:r>
      <w:r w:rsidR="00CA06F0">
        <w:rPr>
          <w:sz w:val="20"/>
          <w:szCs w:val="20"/>
        </w:rPr>
        <w:t xml:space="preserve"> as a sensitivity analysis to </w:t>
      </w:r>
      <w:r w:rsidR="00F23637">
        <w:rPr>
          <w:sz w:val="20"/>
          <w:szCs w:val="20"/>
        </w:rPr>
        <w:t xml:space="preserve">ensure </w:t>
      </w:r>
      <w:r w:rsidR="008D49DA">
        <w:rPr>
          <w:sz w:val="20"/>
          <w:szCs w:val="20"/>
        </w:rPr>
        <w:t>hospitalizations averted estimates</w:t>
      </w:r>
      <w:r w:rsidR="00F23637">
        <w:rPr>
          <w:sz w:val="20"/>
          <w:szCs w:val="20"/>
        </w:rPr>
        <w:t xml:space="preserve"> were not unique to the top model</w:t>
      </w:r>
      <w:r>
        <w:rPr>
          <w:sz w:val="20"/>
          <w:szCs w:val="20"/>
        </w:rPr>
        <w:t xml:space="preserve">. </w:t>
      </w:r>
      <w:r w:rsidR="00B80C24">
        <w:rPr>
          <w:sz w:val="20"/>
          <w:szCs w:val="20"/>
        </w:rPr>
        <w:t>Column three shows the me</w:t>
      </w:r>
      <w:r w:rsidR="00AB1766">
        <w:rPr>
          <w:sz w:val="20"/>
          <w:szCs w:val="20"/>
        </w:rPr>
        <w:t xml:space="preserve">dian hospitalizations averted and 95% confidence interval from 100 bootstrapped </w:t>
      </w:r>
      <w:r w:rsidR="00CD5FEB">
        <w:rPr>
          <w:sz w:val="20"/>
          <w:szCs w:val="20"/>
        </w:rPr>
        <w:t>samples as described in the main text.</w:t>
      </w:r>
    </w:p>
    <w:tbl>
      <w:tblPr>
        <w:tblStyle w:val="Table"/>
        <w:tblW w:w="5000" w:type="pct"/>
        <w:tblLayout w:type="fixed"/>
        <w:tblLook w:val="0020" w:firstRow="1" w:lastRow="0" w:firstColumn="0" w:lastColumn="0" w:noHBand="0" w:noVBand="0"/>
      </w:tblPr>
      <w:tblGrid>
        <w:gridCol w:w="5296"/>
        <w:gridCol w:w="2033"/>
        <w:gridCol w:w="2031"/>
      </w:tblGrid>
      <w:tr w:rsidR="00FF0690" w:rsidRPr="004D032E" w14:paraId="1E1BA463" w14:textId="77777777" w:rsidTr="004C7546">
        <w:trPr>
          <w:cnfStyle w:val="100000000000" w:firstRow="1" w:lastRow="0" w:firstColumn="0" w:lastColumn="0" w:oddVBand="0" w:evenVBand="0" w:oddHBand="0" w:evenHBand="0" w:firstRowFirstColumn="0" w:firstRowLastColumn="0" w:lastRowFirstColumn="0" w:lastRowLastColumn="0"/>
          <w:tblHeader/>
        </w:trPr>
        <w:tc>
          <w:tcPr>
            <w:tcW w:w="2829" w:type="pct"/>
            <w:vAlign w:val="center"/>
          </w:tcPr>
          <w:p w14:paraId="7C9E94D0" w14:textId="77777777" w:rsidR="00FF0690" w:rsidRPr="004D032E" w:rsidRDefault="00FF0690" w:rsidP="004C7546">
            <w:pPr>
              <w:pStyle w:val="Compact"/>
              <w:rPr>
                <w:b/>
                <w:bCs/>
                <w:sz w:val="22"/>
                <w:szCs w:val="22"/>
              </w:rPr>
            </w:pPr>
            <w:r w:rsidRPr="004D032E">
              <w:rPr>
                <w:b/>
                <w:bCs/>
                <w:sz w:val="22"/>
                <w:szCs w:val="22"/>
              </w:rPr>
              <w:t>Model Terms</w:t>
            </w:r>
          </w:p>
        </w:tc>
        <w:tc>
          <w:tcPr>
            <w:tcW w:w="1086" w:type="pct"/>
            <w:vAlign w:val="center"/>
          </w:tcPr>
          <w:p w14:paraId="6ABFDB6B" w14:textId="77777777" w:rsidR="00FF0690" w:rsidRPr="004D032E" w:rsidRDefault="00FF0690" w:rsidP="004C7546">
            <w:pPr>
              <w:pStyle w:val="Compact"/>
              <w:rPr>
                <w:b/>
                <w:bCs/>
                <w:sz w:val="22"/>
                <w:szCs w:val="22"/>
              </w:rPr>
            </w:pPr>
            <w:r w:rsidRPr="004D032E">
              <w:rPr>
                <w:b/>
                <w:bCs/>
                <w:sz w:val="22"/>
                <w:szCs w:val="22"/>
              </w:rPr>
              <w:t>Hospitalizations MSE (range)</w:t>
            </w:r>
          </w:p>
        </w:tc>
        <w:tc>
          <w:tcPr>
            <w:tcW w:w="1086" w:type="pct"/>
            <w:vAlign w:val="center"/>
          </w:tcPr>
          <w:p w14:paraId="5D519706" w14:textId="78DA5F1E" w:rsidR="00FF0690" w:rsidRPr="004D032E" w:rsidRDefault="00FF0690" w:rsidP="004C7546">
            <w:pPr>
              <w:pStyle w:val="Compact"/>
              <w:rPr>
                <w:b/>
                <w:bCs/>
                <w:sz w:val="22"/>
                <w:szCs w:val="22"/>
              </w:rPr>
            </w:pPr>
            <w:r w:rsidRPr="004D032E">
              <w:rPr>
                <w:b/>
                <w:bCs/>
                <w:sz w:val="22"/>
                <w:szCs w:val="22"/>
              </w:rPr>
              <w:t>Estimated Hospitalizations Avoided (95%CI)</w:t>
            </w:r>
          </w:p>
        </w:tc>
      </w:tr>
      <w:tr w:rsidR="00FF0690" w14:paraId="177A78EF" w14:textId="77777777" w:rsidTr="004C7546">
        <w:tc>
          <w:tcPr>
            <w:tcW w:w="2829" w:type="pct"/>
            <w:vAlign w:val="center"/>
          </w:tcPr>
          <w:p w14:paraId="257E3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p w14:paraId="7510A921"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35540C" w14:textId="77777777" w:rsidR="00FF0690" w:rsidRPr="004D032E" w:rsidRDefault="00FF0690" w:rsidP="004C7546">
            <w:pPr>
              <w:pStyle w:val="Compact"/>
              <w:rPr>
                <w:sz w:val="20"/>
                <w:szCs w:val="20"/>
              </w:rPr>
            </w:pPr>
            <w:r w:rsidRPr="004D032E">
              <w:rPr>
                <w:sz w:val="20"/>
                <w:szCs w:val="20"/>
              </w:rPr>
              <w:t>2.97 (2.96 - 3)</w:t>
            </w:r>
          </w:p>
        </w:tc>
        <w:tc>
          <w:tcPr>
            <w:tcW w:w="1086" w:type="pct"/>
            <w:vAlign w:val="center"/>
          </w:tcPr>
          <w:p w14:paraId="67E609FA" w14:textId="77777777" w:rsidR="00FF0690" w:rsidRPr="004D032E" w:rsidRDefault="00FF0690" w:rsidP="004C7546">
            <w:pPr>
              <w:pStyle w:val="Compact"/>
              <w:rPr>
                <w:sz w:val="20"/>
                <w:szCs w:val="20"/>
              </w:rPr>
            </w:pPr>
            <w:r w:rsidRPr="004D032E">
              <w:rPr>
                <w:sz w:val="20"/>
                <w:szCs w:val="20"/>
              </w:rPr>
              <w:t xml:space="preserve">10,248 </w:t>
            </w:r>
          </w:p>
          <w:p w14:paraId="7F19AFCE" w14:textId="77777777" w:rsidR="00FF0690" w:rsidRPr="004D032E" w:rsidRDefault="00FF0690" w:rsidP="004C7546">
            <w:pPr>
              <w:pStyle w:val="Compact"/>
              <w:rPr>
                <w:sz w:val="20"/>
                <w:szCs w:val="20"/>
              </w:rPr>
            </w:pPr>
            <w:r w:rsidRPr="004D032E">
              <w:rPr>
                <w:sz w:val="20"/>
                <w:szCs w:val="20"/>
              </w:rPr>
              <w:t>(6,111 – 14,853)</w:t>
            </w:r>
          </w:p>
        </w:tc>
      </w:tr>
      <w:tr w:rsidR="00FF0690" w14:paraId="1DA3C307" w14:textId="77777777" w:rsidTr="004C7546">
        <w:tc>
          <w:tcPr>
            <w:tcW w:w="2829" w:type="pct"/>
            <w:vAlign w:val="center"/>
          </w:tcPr>
          <w:p w14:paraId="507E2F7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+cumvaxp100k+per50up</w:t>
            </w:r>
          </w:p>
        </w:tc>
        <w:tc>
          <w:tcPr>
            <w:tcW w:w="1086" w:type="pct"/>
            <w:vAlign w:val="center"/>
          </w:tcPr>
          <w:p w14:paraId="13F0668A" w14:textId="77777777" w:rsidR="00FF0690" w:rsidRPr="004D032E" w:rsidRDefault="00FF0690" w:rsidP="004C7546">
            <w:pPr>
              <w:pStyle w:val="Compact"/>
              <w:rPr>
                <w:sz w:val="20"/>
                <w:szCs w:val="20"/>
              </w:rPr>
            </w:pPr>
            <w:r w:rsidRPr="004D032E">
              <w:rPr>
                <w:sz w:val="20"/>
                <w:szCs w:val="20"/>
              </w:rPr>
              <w:t>2.98 (2.97 - 3.01)</w:t>
            </w:r>
          </w:p>
        </w:tc>
        <w:tc>
          <w:tcPr>
            <w:tcW w:w="1086" w:type="pct"/>
            <w:vAlign w:val="center"/>
          </w:tcPr>
          <w:p w14:paraId="089A8258" w14:textId="77777777" w:rsidR="00FF0690" w:rsidRPr="004D032E" w:rsidRDefault="00FF0690" w:rsidP="004C7546">
            <w:pPr>
              <w:pStyle w:val="Compact"/>
              <w:rPr>
                <w:sz w:val="20"/>
                <w:szCs w:val="20"/>
              </w:rPr>
            </w:pPr>
            <w:r w:rsidRPr="004D032E">
              <w:rPr>
                <w:sz w:val="20"/>
                <w:szCs w:val="20"/>
              </w:rPr>
              <w:t xml:space="preserve">10,322 </w:t>
            </w:r>
          </w:p>
          <w:p w14:paraId="2A872504" w14:textId="77777777" w:rsidR="00FF0690" w:rsidRPr="004D032E" w:rsidRDefault="00FF0690" w:rsidP="004C7546">
            <w:pPr>
              <w:pStyle w:val="Compact"/>
              <w:rPr>
                <w:sz w:val="20"/>
                <w:szCs w:val="20"/>
              </w:rPr>
            </w:pPr>
            <w:r w:rsidRPr="004D032E">
              <w:rPr>
                <w:sz w:val="20"/>
                <w:szCs w:val="20"/>
              </w:rPr>
              <w:t>(7,265 – 15,491)</w:t>
            </w:r>
          </w:p>
        </w:tc>
      </w:tr>
      <w:tr w:rsidR="00FF0690" w14:paraId="4E5B57FA" w14:textId="77777777" w:rsidTr="004C7546">
        <w:tc>
          <w:tcPr>
            <w:tcW w:w="2829" w:type="pct"/>
            <w:vAlign w:val="center"/>
          </w:tcPr>
          <w:p w14:paraId="2E7D9C5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tc>
        <w:tc>
          <w:tcPr>
            <w:tcW w:w="1086" w:type="pct"/>
            <w:vAlign w:val="center"/>
          </w:tcPr>
          <w:p w14:paraId="23E3834F" w14:textId="77777777" w:rsidR="00FF0690" w:rsidRPr="004D032E" w:rsidRDefault="00FF0690" w:rsidP="004C7546">
            <w:pPr>
              <w:pStyle w:val="Compact"/>
              <w:rPr>
                <w:sz w:val="20"/>
                <w:szCs w:val="20"/>
              </w:rPr>
            </w:pPr>
            <w:r w:rsidRPr="004D032E">
              <w:rPr>
                <w:sz w:val="20"/>
                <w:szCs w:val="20"/>
              </w:rPr>
              <w:t>3 (2.99 - 3.03)</w:t>
            </w:r>
          </w:p>
        </w:tc>
        <w:tc>
          <w:tcPr>
            <w:tcW w:w="1086" w:type="pct"/>
            <w:vAlign w:val="center"/>
          </w:tcPr>
          <w:p w14:paraId="6A312F09" w14:textId="77777777" w:rsidR="00FF0690" w:rsidRPr="004D032E" w:rsidRDefault="00FF0690" w:rsidP="004C7546">
            <w:pPr>
              <w:pStyle w:val="Compact"/>
              <w:rPr>
                <w:sz w:val="20"/>
                <w:szCs w:val="20"/>
              </w:rPr>
            </w:pPr>
            <w:r w:rsidRPr="004D032E">
              <w:rPr>
                <w:sz w:val="20"/>
                <w:szCs w:val="20"/>
              </w:rPr>
              <w:t xml:space="preserve">10,172 </w:t>
            </w:r>
          </w:p>
          <w:p w14:paraId="7BE65517" w14:textId="77777777" w:rsidR="00FF0690" w:rsidRPr="004D032E" w:rsidRDefault="00FF0690" w:rsidP="004C7546">
            <w:pPr>
              <w:pStyle w:val="Compact"/>
              <w:rPr>
                <w:sz w:val="20"/>
                <w:szCs w:val="20"/>
              </w:rPr>
            </w:pPr>
            <w:r w:rsidRPr="004D032E">
              <w:rPr>
                <w:sz w:val="20"/>
                <w:szCs w:val="20"/>
              </w:rPr>
              <w:t>(6,234 – 14,106)</w:t>
            </w:r>
          </w:p>
        </w:tc>
      </w:tr>
      <w:tr w:rsidR="00FF0690" w14:paraId="504A6E9C" w14:textId="77777777" w:rsidTr="004C7546">
        <w:tc>
          <w:tcPr>
            <w:tcW w:w="2829" w:type="pct"/>
            <w:vAlign w:val="center"/>
          </w:tcPr>
          <w:p w14:paraId="214AFF25" w14:textId="77777777" w:rsidR="00FF0690" w:rsidRPr="004D032E" w:rsidRDefault="00FF0690" w:rsidP="004C7546">
            <w:pPr>
              <w:pStyle w:val="Compact"/>
              <w:rPr>
                <w:sz w:val="20"/>
                <w:szCs w:val="20"/>
              </w:rPr>
            </w:pPr>
            <w:r w:rsidRPr="004D032E">
              <w:rPr>
                <w:sz w:val="20"/>
                <w:szCs w:val="20"/>
              </w:rPr>
              <w:t>BASE+cumvaxp100k+testp100k+per50up</w:t>
            </w:r>
          </w:p>
        </w:tc>
        <w:tc>
          <w:tcPr>
            <w:tcW w:w="1086" w:type="pct"/>
            <w:vAlign w:val="center"/>
          </w:tcPr>
          <w:p w14:paraId="552AE271"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693DE523" w14:textId="77777777" w:rsidR="00FF0690" w:rsidRPr="004D032E" w:rsidRDefault="00FF0690" w:rsidP="004C7546">
            <w:pPr>
              <w:pStyle w:val="Compact"/>
              <w:rPr>
                <w:sz w:val="20"/>
                <w:szCs w:val="20"/>
              </w:rPr>
            </w:pPr>
            <w:r w:rsidRPr="004D032E">
              <w:rPr>
                <w:sz w:val="20"/>
                <w:szCs w:val="20"/>
              </w:rPr>
              <w:t xml:space="preserve">10,003 </w:t>
            </w:r>
          </w:p>
          <w:p w14:paraId="068C52A0" w14:textId="77777777" w:rsidR="00FF0690" w:rsidRPr="004D032E" w:rsidRDefault="00FF0690" w:rsidP="004C7546">
            <w:pPr>
              <w:pStyle w:val="Compact"/>
              <w:rPr>
                <w:sz w:val="20"/>
                <w:szCs w:val="20"/>
              </w:rPr>
            </w:pPr>
            <w:r w:rsidRPr="004D032E">
              <w:rPr>
                <w:sz w:val="20"/>
                <w:szCs w:val="20"/>
              </w:rPr>
              <w:t>(5,932 – 14,985)</w:t>
            </w:r>
          </w:p>
        </w:tc>
      </w:tr>
      <w:tr w:rsidR="00FF0690" w14:paraId="2D8DC3C0" w14:textId="77777777" w:rsidTr="004C7546">
        <w:tc>
          <w:tcPr>
            <w:tcW w:w="2829" w:type="pct"/>
            <w:vAlign w:val="center"/>
          </w:tcPr>
          <w:p w14:paraId="5282302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p w14:paraId="677D83E8"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53A4946"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3819F525" w14:textId="77777777" w:rsidR="00FF0690" w:rsidRPr="004D032E" w:rsidRDefault="00FF0690" w:rsidP="004C7546">
            <w:pPr>
              <w:pStyle w:val="Compact"/>
              <w:rPr>
                <w:sz w:val="20"/>
                <w:szCs w:val="20"/>
              </w:rPr>
            </w:pPr>
            <w:r w:rsidRPr="004D032E">
              <w:rPr>
                <w:sz w:val="20"/>
                <w:szCs w:val="20"/>
              </w:rPr>
              <w:t xml:space="preserve">10,128 </w:t>
            </w:r>
          </w:p>
          <w:p w14:paraId="56DE69CD" w14:textId="77777777" w:rsidR="00FF0690" w:rsidRPr="004D032E" w:rsidRDefault="00FF0690" w:rsidP="004C7546">
            <w:pPr>
              <w:pStyle w:val="Compact"/>
              <w:rPr>
                <w:sz w:val="20"/>
                <w:szCs w:val="20"/>
              </w:rPr>
            </w:pPr>
            <w:r w:rsidRPr="004D032E">
              <w:rPr>
                <w:sz w:val="20"/>
                <w:szCs w:val="20"/>
              </w:rPr>
              <w:t>(5,680 – 13,860)</w:t>
            </w:r>
          </w:p>
        </w:tc>
      </w:tr>
      <w:tr w:rsidR="00FF0690" w14:paraId="76DCCC9C" w14:textId="77777777" w:rsidTr="004C7546">
        <w:tc>
          <w:tcPr>
            <w:tcW w:w="2829" w:type="pct"/>
            <w:vAlign w:val="center"/>
          </w:tcPr>
          <w:p w14:paraId="329B7444" w14:textId="77777777" w:rsidR="00FF0690" w:rsidRPr="004D032E" w:rsidRDefault="00FF0690" w:rsidP="004C7546">
            <w:pPr>
              <w:pStyle w:val="Compact"/>
              <w:rPr>
                <w:sz w:val="20"/>
                <w:szCs w:val="20"/>
              </w:rPr>
            </w:pPr>
            <w:r w:rsidRPr="004D032E">
              <w:rPr>
                <w:sz w:val="20"/>
                <w:szCs w:val="20"/>
              </w:rPr>
              <w:t>BASE+cumvaxp100k+per50up</w:t>
            </w:r>
          </w:p>
        </w:tc>
        <w:tc>
          <w:tcPr>
            <w:tcW w:w="1086" w:type="pct"/>
            <w:vAlign w:val="center"/>
          </w:tcPr>
          <w:p w14:paraId="10C8348A"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B9451D2" w14:textId="77777777" w:rsidR="00FF0690" w:rsidRPr="004D032E" w:rsidRDefault="00FF0690" w:rsidP="004C7546">
            <w:pPr>
              <w:pStyle w:val="Compact"/>
              <w:rPr>
                <w:sz w:val="20"/>
                <w:szCs w:val="20"/>
              </w:rPr>
            </w:pPr>
            <w:r w:rsidRPr="004D032E">
              <w:rPr>
                <w:sz w:val="20"/>
                <w:szCs w:val="20"/>
              </w:rPr>
              <w:t xml:space="preserve">9,513 </w:t>
            </w:r>
          </w:p>
          <w:p w14:paraId="3413CE44" w14:textId="77777777" w:rsidR="00FF0690" w:rsidRPr="004D032E" w:rsidRDefault="00FF0690" w:rsidP="004C7546">
            <w:pPr>
              <w:pStyle w:val="Compact"/>
              <w:rPr>
                <w:sz w:val="20"/>
                <w:szCs w:val="20"/>
              </w:rPr>
            </w:pPr>
            <w:r w:rsidRPr="004D032E">
              <w:rPr>
                <w:sz w:val="20"/>
                <w:szCs w:val="20"/>
              </w:rPr>
              <w:t>(5,870 – 14,392)</w:t>
            </w:r>
          </w:p>
        </w:tc>
      </w:tr>
      <w:tr w:rsidR="00FF0690" w14:paraId="4BF66493" w14:textId="77777777" w:rsidTr="004C7546">
        <w:tc>
          <w:tcPr>
            <w:tcW w:w="2829" w:type="pct"/>
            <w:vAlign w:val="center"/>
          </w:tcPr>
          <w:p w14:paraId="0FA2689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+cumvaxp100k+per50up</w:t>
            </w:r>
          </w:p>
        </w:tc>
        <w:tc>
          <w:tcPr>
            <w:tcW w:w="1086" w:type="pct"/>
            <w:vAlign w:val="center"/>
          </w:tcPr>
          <w:p w14:paraId="64927218"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12FE061" w14:textId="77777777" w:rsidR="00FF0690" w:rsidRPr="004D032E" w:rsidRDefault="00FF0690" w:rsidP="004C7546">
            <w:pPr>
              <w:pStyle w:val="Compact"/>
              <w:rPr>
                <w:sz w:val="20"/>
                <w:szCs w:val="20"/>
              </w:rPr>
            </w:pPr>
            <w:r w:rsidRPr="004D032E">
              <w:rPr>
                <w:sz w:val="20"/>
                <w:szCs w:val="20"/>
              </w:rPr>
              <w:t xml:space="preserve">10,088 </w:t>
            </w:r>
          </w:p>
          <w:p w14:paraId="04BFC508" w14:textId="77777777" w:rsidR="00FF0690" w:rsidRPr="004D032E" w:rsidRDefault="00FF0690" w:rsidP="004C7546">
            <w:pPr>
              <w:pStyle w:val="Compact"/>
              <w:rPr>
                <w:sz w:val="20"/>
                <w:szCs w:val="20"/>
              </w:rPr>
            </w:pPr>
            <w:r w:rsidRPr="004D032E">
              <w:rPr>
                <w:sz w:val="20"/>
                <w:szCs w:val="20"/>
              </w:rPr>
              <w:t>(6,736 – 13,516)</w:t>
            </w:r>
          </w:p>
        </w:tc>
      </w:tr>
      <w:tr w:rsidR="00FF0690" w14:paraId="3A8CD937" w14:textId="77777777" w:rsidTr="004C7546">
        <w:tc>
          <w:tcPr>
            <w:tcW w:w="2829" w:type="pct"/>
            <w:vAlign w:val="center"/>
          </w:tcPr>
          <w:p w14:paraId="467D3CB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w:t>
            </w:r>
          </w:p>
        </w:tc>
        <w:tc>
          <w:tcPr>
            <w:tcW w:w="1086" w:type="pct"/>
            <w:vAlign w:val="center"/>
          </w:tcPr>
          <w:p w14:paraId="4D8FD043" w14:textId="77777777" w:rsidR="00FF0690" w:rsidRPr="004D032E" w:rsidRDefault="00FF0690" w:rsidP="004C7546">
            <w:pPr>
              <w:pStyle w:val="Compact"/>
              <w:rPr>
                <w:sz w:val="20"/>
                <w:szCs w:val="20"/>
              </w:rPr>
            </w:pPr>
            <w:r w:rsidRPr="004D032E">
              <w:rPr>
                <w:sz w:val="20"/>
                <w:szCs w:val="20"/>
              </w:rPr>
              <w:t>3.03 (3.01 - 3.06)</w:t>
            </w:r>
          </w:p>
        </w:tc>
        <w:tc>
          <w:tcPr>
            <w:tcW w:w="1086" w:type="pct"/>
            <w:vAlign w:val="center"/>
          </w:tcPr>
          <w:p w14:paraId="21357D9F" w14:textId="77777777" w:rsidR="00FF0690" w:rsidRPr="004D032E" w:rsidRDefault="00FF0690" w:rsidP="004C7546">
            <w:pPr>
              <w:pStyle w:val="Compact"/>
              <w:rPr>
                <w:sz w:val="20"/>
                <w:szCs w:val="20"/>
              </w:rPr>
            </w:pPr>
            <w:r w:rsidRPr="004D032E">
              <w:rPr>
                <w:sz w:val="20"/>
                <w:szCs w:val="20"/>
              </w:rPr>
              <w:t xml:space="preserve">9,328 </w:t>
            </w:r>
          </w:p>
          <w:p w14:paraId="1C210A17" w14:textId="77777777" w:rsidR="00FF0690" w:rsidRPr="004D032E" w:rsidRDefault="00FF0690" w:rsidP="004C7546">
            <w:pPr>
              <w:pStyle w:val="Compact"/>
              <w:rPr>
                <w:sz w:val="20"/>
                <w:szCs w:val="20"/>
              </w:rPr>
            </w:pPr>
            <w:r w:rsidRPr="004D032E">
              <w:rPr>
                <w:sz w:val="20"/>
                <w:szCs w:val="20"/>
              </w:rPr>
              <w:t>(5,701 – 13,920)</w:t>
            </w:r>
          </w:p>
        </w:tc>
      </w:tr>
      <w:tr w:rsidR="00FF0690" w14:paraId="5E66C007" w14:textId="77777777" w:rsidTr="004C7546">
        <w:tc>
          <w:tcPr>
            <w:tcW w:w="2829" w:type="pct"/>
            <w:vAlign w:val="center"/>
          </w:tcPr>
          <w:p w14:paraId="4875EA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6EA0AABE"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24C339CE" w14:textId="77777777" w:rsidR="00FF0690" w:rsidRPr="004D032E" w:rsidRDefault="00FF0690" w:rsidP="004C7546">
            <w:pPr>
              <w:pStyle w:val="Compact"/>
              <w:rPr>
                <w:sz w:val="20"/>
                <w:szCs w:val="20"/>
              </w:rPr>
            </w:pPr>
            <w:r w:rsidRPr="004D032E">
              <w:rPr>
                <w:sz w:val="20"/>
                <w:szCs w:val="20"/>
              </w:rPr>
              <w:t>3.03 (3.01 - 3.05)</w:t>
            </w:r>
          </w:p>
        </w:tc>
        <w:tc>
          <w:tcPr>
            <w:tcW w:w="1086" w:type="pct"/>
            <w:vAlign w:val="center"/>
          </w:tcPr>
          <w:p w14:paraId="708D5432" w14:textId="77777777" w:rsidR="00FF0690" w:rsidRPr="004D032E" w:rsidRDefault="00FF0690" w:rsidP="004C7546">
            <w:pPr>
              <w:pStyle w:val="Compact"/>
              <w:rPr>
                <w:sz w:val="20"/>
                <w:szCs w:val="20"/>
              </w:rPr>
            </w:pPr>
            <w:r w:rsidRPr="004D032E">
              <w:rPr>
                <w:sz w:val="20"/>
                <w:szCs w:val="20"/>
              </w:rPr>
              <w:t xml:space="preserve">11,703 </w:t>
            </w:r>
          </w:p>
          <w:p w14:paraId="78E4037D" w14:textId="77777777" w:rsidR="00FF0690" w:rsidRPr="004D032E" w:rsidRDefault="00FF0690" w:rsidP="004C7546">
            <w:pPr>
              <w:pStyle w:val="Compact"/>
              <w:rPr>
                <w:sz w:val="20"/>
                <w:szCs w:val="20"/>
              </w:rPr>
            </w:pPr>
            <w:r w:rsidRPr="004D032E">
              <w:rPr>
                <w:sz w:val="20"/>
                <w:szCs w:val="20"/>
              </w:rPr>
              <w:t>(8,208 – 16,767)</w:t>
            </w:r>
          </w:p>
        </w:tc>
      </w:tr>
      <w:tr w:rsidR="00FF0690" w14:paraId="2C7E42ED" w14:textId="77777777" w:rsidTr="004C7546">
        <w:tc>
          <w:tcPr>
            <w:tcW w:w="2829" w:type="pct"/>
            <w:vAlign w:val="center"/>
          </w:tcPr>
          <w:p w14:paraId="26E1C2D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tc>
        <w:tc>
          <w:tcPr>
            <w:tcW w:w="1086" w:type="pct"/>
            <w:vAlign w:val="center"/>
          </w:tcPr>
          <w:p w14:paraId="3DFD1E21"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3279B846" w14:textId="77777777" w:rsidR="00FF0690" w:rsidRPr="004D032E" w:rsidRDefault="00FF0690" w:rsidP="004C7546">
            <w:pPr>
              <w:pStyle w:val="Compact"/>
              <w:rPr>
                <w:sz w:val="20"/>
                <w:szCs w:val="20"/>
              </w:rPr>
            </w:pPr>
            <w:r w:rsidRPr="004D032E">
              <w:rPr>
                <w:sz w:val="20"/>
                <w:szCs w:val="20"/>
              </w:rPr>
              <w:t xml:space="preserve">9,303 </w:t>
            </w:r>
          </w:p>
          <w:p w14:paraId="029F1892" w14:textId="77777777" w:rsidR="00FF0690" w:rsidRPr="004D032E" w:rsidRDefault="00FF0690" w:rsidP="004C7546">
            <w:pPr>
              <w:pStyle w:val="Compact"/>
              <w:rPr>
                <w:sz w:val="20"/>
                <w:szCs w:val="20"/>
              </w:rPr>
            </w:pPr>
            <w:r w:rsidRPr="004D032E">
              <w:rPr>
                <w:sz w:val="20"/>
                <w:szCs w:val="20"/>
              </w:rPr>
              <w:t>(5,447 – 13,518)</w:t>
            </w:r>
          </w:p>
        </w:tc>
      </w:tr>
      <w:tr w:rsidR="00FF0690" w14:paraId="64BF46A8" w14:textId="77777777" w:rsidTr="004C7546">
        <w:tc>
          <w:tcPr>
            <w:tcW w:w="2829" w:type="pct"/>
            <w:vAlign w:val="center"/>
          </w:tcPr>
          <w:p w14:paraId="02DA462F" w14:textId="77777777" w:rsidR="00FF0690" w:rsidRPr="004D032E" w:rsidRDefault="00FF0690" w:rsidP="004C7546">
            <w:pPr>
              <w:pStyle w:val="Compact"/>
              <w:rPr>
                <w:sz w:val="20"/>
                <w:szCs w:val="20"/>
              </w:rPr>
            </w:pPr>
            <w:r w:rsidRPr="004D032E">
              <w:rPr>
                <w:sz w:val="20"/>
                <w:szCs w:val="20"/>
              </w:rPr>
              <w:t>BASE+cumvaxp100k+testp100k</w:t>
            </w:r>
          </w:p>
        </w:tc>
        <w:tc>
          <w:tcPr>
            <w:tcW w:w="1086" w:type="pct"/>
            <w:vAlign w:val="center"/>
          </w:tcPr>
          <w:p w14:paraId="0AC33984"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7E823885" w14:textId="77777777" w:rsidR="00FF0690" w:rsidRPr="004D032E" w:rsidRDefault="00FF0690" w:rsidP="004C7546">
            <w:pPr>
              <w:pStyle w:val="Compact"/>
              <w:rPr>
                <w:sz w:val="20"/>
                <w:szCs w:val="20"/>
              </w:rPr>
            </w:pPr>
          </w:p>
        </w:tc>
      </w:tr>
      <w:tr w:rsidR="00FF0690" w14:paraId="19842E31" w14:textId="77777777" w:rsidTr="004C7546">
        <w:tc>
          <w:tcPr>
            <w:tcW w:w="2829" w:type="pct"/>
            <w:vAlign w:val="center"/>
          </w:tcPr>
          <w:p w14:paraId="190691C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C13EEC4"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13BB9CC3" w14:textId="77777777" w:rsidR="00FF0690" w:rsidRPr="004D032E" w:rsidRDefault="00FF0690" w:rsidP="004C7546">
            <w:pPr>
              <w:pStyle w:val="Compact"/>
              <w:rPr>
                <w:sz w:val="20"/>
                <w:szCs w:val="20"/>
              </w:rPr>
            </w:pPr>
            <w:r w:rsidRPr="004D032E">
              <w:rPr>
                <w:sz w:val="20"/>
                <w:szCs w:val="20"/>
              </w:rPr>
              <w:t>3.07 (3.05 - 3.09)</w:t>
            </w:r>
          </w:p>
        </w:tc>
        <w:tc>
          <w:tcPr>
            <w:tcW w:w="1086" w:type="pct"/>
            <w:vAlign w:val="center"/>
          </w:tcPr>
          <w:p w14:paraId="1F79AA3A" w14:textId="77777777" w:rsidR="00FF0690" w:rsidRPr="004D032E" w:rsidRDefault="00FF0690" w:rsidP="004C7546">
            <w:pPr>
              <w:pStyle w:val="Compact"/>
              <w:rPr>
                <w:sz w:val="20"/>
                <w:szCs w:val="20"/>
              </w:rPr>
            </w:pPr>
          </w:p>
        </w:tc>
      </w:tr>
      <w:tr w:rsidR="00FF0690" w14:paraId="7C52CA80" w14:textId="77777777" w:rsidTr="004C7546">
        <w:tc>
          <w:tcPr>
            <w:tcW w:w="2829" w:type="pct"/>
            <w:vAlign w:val="center"/>
          </w:tcPr>
          <w:p w14:paraId="7EECCD56" w14:textId="77777777" w:rsidR="00FF0690" w:rsidRPr="004D032E" w:rsidRDefault="00FF0690" w:rsidP="004C7546">
            <w:pPr>
              <w:pStyle w:val="Compact"/>
              <w:rPr>
                <w:sz w:val="20"/>
                <w:szCs w:val="20"/>
              </w:rPr>
            </w:pPr>
            <w:r w:rsidRPr="004D032E">
              <w:rPr>
                <w:sz w:val="20"/>
                <w:szCs w:val="20"/>
              </w:rPr>
              <w:t>BASE+cumvaxp100k</w:t>
            </w:r>
          </w:p>
        </w:tc>
        <w:tc>
          <w:tcPr>
            <w:tcW w:w="1086" w:type="pct"/>
            <w:vAlign w:val="center"/>
          </w:tcPr>
          <w:p w14:paraId="5D8E5DA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39AB5118" w14:textId="77777777" w:rsidR="00FF0690" w:rsidRPr="004D032E" w:rsidRDefault="00FF0690" w:rsidP="004C7546">
            <w:pPr>
              <w:pStyle w:val="Compact"/>
              <w:rPr>
                <w:sz w:val="20"/>
                <w:szCs w:val="20"/>
              </w:rPr>
            </w:pPr>
          </w:p>
        </w:tc>
      </w:tr>
      <w:tr w:rsidR="00FF0690" w14:paraId="41095EA6" w14:textId="77777777" w:rsidTr="004C7546">
        <w:tc>
          <w:tcPr>
            <w:tcW w:w="2829" w:type="pct"/>
            <w:vAlign w:val="center"/>
          </w:tcPr>
          <w:p w14:paraId="0F2F86F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w:t>
            </w:r>
          </w:p>
        </w:tc>
        <w:tc>
          <w:tcPr>
            <w:tcW w:w="1086" w:type="pct"/>
            <w:vAlign w:val="center"/>
          </w:tcPr>
          <w:p w14:paraId="2D596BF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5A8F2849" w14:textId="77777777" w:rsidR="00FF0690" w:rsidRPr="004D032E" w:rsidRDefault="00FF0690" w:rsidP="004C7546">
            <w:pPr>
              <w:pStyle w:val="Compact"/>
              <w:rPr>
                <w:sz w:val="20"/>
                <w:szCs w:val="20"/>
              </w:rPr>
            </w:pPr>
          </w:p>
        </w:tc>
      </w:tr>
      <w:tr w:rsidR="00FF0690" w14:paraId="2383A0D6" w14:textId="77777777" w:rsidTr="004C7546">
        <w:tc>
          <w:tcPr>
            <w:tcW w:w="2829" w:type="pct"/>
            <w:vAlign w:val="center"/>
          </w:tcPr>
          <w:p w14:paraId="1F80CFE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BB3F92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326B18A7" w14:textId="77777777" w:rsidR="00FF0690" w:rsidRPr="004D032E" w:rsidRDefault="00FF0690" w:rsidP="004C7546">
            <w:pPr>
              <w:pStyle w:val="Compact"/>
              <w:rPr>
                <w:sz w:val="20"/>
                <w:szCs w:val="20"/>
              </w:rPr>
            </w:pPr>
            <w:r w:rsidRPr="004D032E">
              <w:rPr>
                <w:sz w:val="20"/>
                <w:szCs w:val="20"/>
              </w:rPr>
              <w:t>3.08 (3.06 - 3.1)</w:t>
            </w:r>
          </w:p>
        </w:tc>
        <w:tc>
          <w:tcPr>
            <w:tcW w:w="1086" w:type="pct"/>
            <w:vAlign w:val="center"/>
          </w:tcPr>
          <w:p w14:paraId="519D8852" w14:textId="77777777" w:rsidR="00FF0690" w:rsidRPr="004D032E" w:rsidRDefault="00FF0690" w:rsidP="004C7546">
            <w:pPr>
              <w:pStyle w:val="Compact"/>
              <w:rPr>
                <w:sz w:val="20"/>
                <w:szCs w:val="20"/>
              </w:rPr>
            </w:pPr>
          </w:p>
        </w:tc>
      </w:tr>
      <w:tr w:rsidR="00FF0690" w14:paraId="2A286B94" w14:textId="77777777" w:rsidTr="004C7546">
        <w:tc>
          <w:tcPr>
            <w:tcW w:w="2829" w:type="pct"/>
            <w:vAlign w:val="center"/>
          </w:tcPr>
          <w:p w14:paraId="0BBDEC90" w14:textId="77777777" w:rsidR="00FF0690" w:rsidRPr="004D032E" w:rsidRDefault="00FF0690" w:rsidP="004C7546">
            <w:pPr>
              <w:pStyle w:val="Compact"/>
              <w:rPr>
                <w:sz w:val="20"/>
                <w:szCs w:val="20"/>
              </w:rPr>
            </w:pPr>
            <w:r w:rsidRPr="004D032E">
              <w:rPr>
                <w:sz w:val="20"/>
                <w:szCs w:val="20"/>
              </w:rPr>
              <w:t>BASE+cumcasep100k+cumvaxp100k+testp100k+</w:t>
            </w:r>
          </w:p>
          <w:p w14:paraId="10291A58" w14:textId="77777777" w:rsidR="00FF0690" w:rsidRPr="004D032E" w:rsidRDefault="00FF0690" w:rsidP="004C7546">
            <w:pPr>
              <w:pStyle w:val="Compact"/>
              <w:rPr>
                <w:sz w:val="20"/>
                <w:szCs w:val="20"/>
              </w:rPr>
            </w:pPr>
            <w:r w:rsidRPr="004D032E">
              <w:rPr>
                <w:sz w:val="20"/>
                <w:szCs w:val="20"/>
              </w:rPr>
              <w:lastRenderedPageBreak/>
              <w:t>per50up</w:t>
            </w:r>
          </w:p>
        </w:tc>
        <w:tc>
          <w:tcPr>
            <w:tcW w:w="1086" w:type="pct"/>
            <w:vAlign w:val="center"/>
          </w:tcPr>
          <w:p w14:paraId="13E46721" w14:textId="77777777" w:rsidR="00FF0690" w:rsidRPr="004D032E" w:rsidRDefault="00FF0690" w:rsidP="004C7546">
            <w:pPr>
              <w:pStyle w:val="Compact"/>
              <w:rPr>
                <w:sz w:val="20"/>
                <w:szCs w:val="20"/>
              </w:rPr>
            </w:pPr>
            <w:r w:rsidRPr="004D032E">
              <w:rPr>
                <w:sz w:val="20"/>
                <w:szCs w:val="20"/>
              </w:rPr>
              <w:lastRenderedPageBreak/>
              <w:t>3.09 (3.07 - 3.11)</w:t>
            </w:r>
          </w:p>
        </w:tc>
        <w:tc>
          <w:tcPr>
            <w:tcW w:w="1086" w:type="pct"/>
            <w:vAlign w:val="center"/>
          </w:tcPr>
          <w:p w14:paraId="3C552991" w14:textId="77777777" w:rsidR="00FF0690" w:rsidRPr="004D032E" w:rsidRDefault="00FF0690" w:rsidP="004C7546">
            <w:pPr>
              <w:pStyle w:val="Compact"/>
              <w:rPr>
                <w:sz w:val="20"/>
                <w:szCs w:val="20"/>
              </w:rPr>
            </w:pPr>
          </w:p>
        </w:tc>
      </w:tr>
      <w:tr w:rsidR="00FF0690" w14:paraId="0DC61160" w14:textId="77777777" w:rsidTr="004C7546">
        <w:tc>
          <w:tcPr>
            <w:tcW w:w="2829" w:type="pct"/>
            <w:vAlign w:val="center"/>
          </w:tcPr>
          <w:p w14:paraId="6BB3E6AD"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6FA579D9"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3A40758A" w14:textId="77777777" w:rsidR="00FF0690" w:rsidRPr="004D032E" w:rsidRDefault="00FF0690" w:rsidP="004C7546">
            <w:pPr>
              <w:pStyle w:val="Compact"/>
              <w:rPr>
                <w:sz w:val="20"/>
                <w:szCs w:val="20"/>
              </w:rPr>
            </w:pPr>
            <w:r w:rsidRPr="004D032E">
              <w:rPr>
                <w:sz w:val="20"/>
                <w:szCs w:val="20"/>
              </w:rPr>
              <w:t>3.09 (3.07 - 3.11)</w:t>
            </w:r>
          </w:p>
        </w:tc>
        <w:tc>
          <w:tcPr>
            <w:tcW w:w="1086" w:type="pct"/>
            <w:vAlign w:val="center"/>
          </w:tcPr>
          <w:p w14:paraId="55EA04C6" w14:textId="77777777" w:rsidR="00FF0690" w:rsidRPr="004D032E" w:rsidRDefault="00FF0690" w:rsidP="004C7546">
            <w:pPr>
              <w:pStyle w:val="Compact"/>
              <w:rPr>
                <w:sz w:val="20"/>
                <w:szCs w:val="20"/>
              </w:rPr>
            </w:pPr>
          </w:p>
        </w:tc>
      </w:tr>
      <w:tr w:rsidR="00FF0690" w14:paraId="417C93C4" w14:textId="77777777" w:rsidTr="004C7546">
        <w:tc>
          <w:tcPr>
            <w:tcW w:w="2829" w:type="pct"/>
            <w:vAlign w:val="center"/>
          </w:tcPr>
          <w:p w14:paraId="0295438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+per50up</w:t>
            </w:r>
          </w:p>
        </w:tc>
        <w:tc>
          <w:tcPr>
            <w:tcW w:w="1086" w:type="pct"/>
            <w:vAlign w:val="center"/>
          </w:tcPr>
          <w:p w14:paraId="334B651C"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6E72B452" w14:textId="77777777" w:rsidR="00FF0690" w:rsidRPr="004D032E" w:rsidRDefault="00FF0690" w:rsidP="004C7546">
            <w:pPr>
              <w:pStyle w:val="Compact"/>
              <w:rPr>
                <w:sz w:val="20"/>
                <w:szCs w:val="20"/>
              </w:rPr>
            </w:pPr>
          </w:p>
        </w:tc>
      </w:tr>
      <w:tr w:rsidR="00FF0690" w14:paraId="43456A1F" w14:textId="77777777" w:rsidTr="004C7546">
        <w:tc>
          <w:tcPr>
            <w:tcW w:w="2829" w:type="pct"/>
            <w:vAlign w:val="center"/>
          </w:tcPr>
          <w:p w14:paraId="633DA848"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+testp100k+per50up</w:t>
            </w:r>
          </w:p>
        </w:tc>
        <w:tc>
          <w:tcPr>
            <w:tcW w:w="1086" w:type="pct"/>
            <w:vAlign w:val="center"/>
          </w:tcPr>
          <w:p w14:paraId="4F6DC971"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41D5D47C" w14:textId="77777777" w:rsidR="00FF0690" w:rsidRPr="004D032E" w:rsidRDefault="00FF0690" w:rsidP="004C7546">
            <w:pPr>
              <w:pStyle w:val="Compact"/>
              <w:rPr>
                <w:sz w:val="20"/>
                <w:szCs w:val="20"/>
              </w:rPr>
            </w:pPr>
          </w:p>
        </w:tc>
      </w:tr>
      <w:tr w:rsidR="00FF0690" w14:paraId="0B9E00DA" w14:textId="77777777" w:rsidTr="004C7546">
        <w:tc>
          <w:tcPr>
            <w:tcW w:w="2829" w:type="pct"/>
            <w:vAlign w:val="center"/>
          </w:tcPr>
          <w:p w14:paraId="5904EF4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tc>
        <w:tc>
          <w:tcPr>
            <w:tcW w:w="1086" w:type="pct"/>
            <w:vAlign w:val="center"/>
          </w:tcPr>
          <w:p w14:paraId="2D5BF2E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B822A50" w14:textId="77777777" w:rsidR="00FF0690" w:rsidRPr="004D032E" w:rsidRDefault="00FF0690" w:rsidP="004C7546">
            <w:pPr>
              <w:pStyle w:val="Compact"/>
              <w:rPr>
                <w:sz w:val="20"/>
                <w:szCs w:val="20"/>
              </w:rPr>
            </w:pPr>
          </w:p>
        </w:tc>
      </w:tr>
      <w:tr w:rsidR="00FF0690" w14:paraId="04CDA1C4" w14:textId="77777777" w:rsidTr="004C7546">
        <w:tc>
          <w:tcPr>
            <w:tcW w:w="2829" w:type="pct"/>
            <w:vAlign w:val="center"/>
          </w:tcPr>
          <w:p w14:paraId="4793711A"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7E66DE57"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4B6C9F0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211D86EB" w14:textId="77777777" w:rsidR="00FF0690" w:rsidRPr="004D032E" w:rsidRDefault="00FF0690" w:rsidP="004C7546">
            <w:pPr>
              <w:pStyle w:val="Compact"/>
              <w:rPr>
                <w:sz w:val="20"/>
                <w:szCs w:val="20"/>
              </w:rPr>
            </w:pPr>
          </w:p>
        </w:tc>
      </w:tr>
      <w:tr w:rsidR="00FF0690" w14:paraId="391183D8" w14:textId="77777777" w:rsidTr="004C7546">
        <w:tc>
          <w:tcPr>
            <w:tcW w:w="2829" w:type="pct"/>
            <w:vAlign w:val="center"/>
          </w:tcPr>
          <w:p w14:paraId="5FC39F1D" w14:textId="77777777" w:rsidR="00FF0690" w:rsidRPr="004D032E" w:rsidRDefault="00FF0690" w:rsidP="004C7546">
            <w:pPr>
              <w:pStyle w:val="Compact"/>
              <w:rPr>
                <w:sz w:val="20"/>
                <w:szCs w:val="20"/>
              </w:rPr>
            </w:pPr>
            <w:r w:rsidRPr="004D032E">
              <w:rPr>
                <w:sz w:val="20"/>
                <w:szCs w:val="20"/>
              </w:rPr>
              <w:t>BASE+cumcasep100k+cumvaxp100k+testp100k</w:t>
            </w:r>
          </w:p>
        </w:tc>
        <w:tc>
          <w:tcPr>
            <w:tcW w:w="1086" w:type="pct"/>
            <w:vAlign w:val="center"/>
          </w:tcPr>
          <w:p w14:paraId="6EBBFD3D"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CEF07F8" w14:textId="77777777" w:rsidR="00FF0690" w:rsidRPr="004D032E" w:rsidRDefault="00FF0690" w:rsidP="004C7546">
            <w:pPr>
              <w:pStyle w:val="Compact"/>
              <w:rPr>
                <w:sz w:val="20"/>
                <w:szCs w:val="20"/>
              </w:rPr>
            </w:pPr>
          </w:p>
        </w:tc>
      </w:tr>
      <w:tr w:rsidR="00FF0690" w14:paraId="30928614" w14:textId="77777777" w:rsidTr="004C7546">
        <w:tc>
          <w:tcPr>
            <w:tcW w:w="2829" w:type="pct"/>
            <w:vAlign w:val="center"/>
          </w:tcPr>
          <w:p w14:paraId="6FFBCBA2" w14:textId="77777777" w:rsidR="00FF0690" w:rsidRPr="004D032E" w:rsidRDefault="00FF0690" w:rsidP="004C7546">
            <w:pPr>
              <w:pStyle w:val="Compact"/>
              <w:rPr>
                <w:sz w:val="20"/>
                <w:szCs w:val="20"/>
              </w:rPr>
            </w:pPr>
            <w:r w:rsidRPr="004D032E">
              <w:rPr>
                <w:sz w:val="20"/>
                <w:szCs w:val="20"/>
              </w:rPr>
              <w:t>BASE+cumcasep100k+cumvaxp100k+per50up</w:t>
            </w:r>
          </w:p>
        </w:tc>
        <w:tc>
          <w:tcPr>
            <w:tcW w:w="1086" w:type="pct"/>
            <w:vAlign w:val="center"/>
          </w:tcPr>
          <w:p w14:paraId="29C001B6"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460E6055" w14:textId="77777777" w:rsidR="00FF0690" w:rsidRPr="004D032E" w:rsidRDefault="00FF0690" w:rsidP="004C7546">
            <w:pPr>
              <w:pStyle w:val="Compact"/>
              <w:rPr>
                <w:sz w:val="20"/>
                <w:szCs w:val="20"/>
              </w:rPr>
            </w:pPr>
          </w:p>
        </w:tc>
      </w:tr>
      <w:tr w:rsidR="00FF0690" w14:paraId="493DC064" w14:textId="77777777" w:rsidTr="004C7546">
        <w:tc>
          <w:tcPr>
            <w:tcW w:w="2829" w:type="pct"/>
            <w:vAlign w:val="center"/>
          </w:tcPr>
          <w:p w14:paraId="002E8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142466E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38D86C3"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7777C7ED" w14:textId="77777777" w:rsidR="00FF0690" w:rsidRPr="004D032E" w:rsidRDefault="00FF0690" w:rsidP="004C7546">
            <w:pPr>
              <w:pStyle w:val="Compact"/>
              <w:rPr>
                <w:sz w:val="20"/>
                <w:szCs w:val="20"/>
              </w:rPr>
            </w:pPr>
          </w:p>
        </w:tc>
      </w:tr>
      <w:tr w:rsidR="00FF0690" w14:paraId="3BAC48DB" w14:textId="77777777" w:rsidTr="004C7546">
        <w:tc>
          <w:tcPr>
            <w:tcW w:w="2829" w:type="pct"/>
            <w:vAlign w:val="center"/>
          </w:tcPr>
          <w:p w14:paraId="610A886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p w14:paraId="6C1ED916"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767B17C0" w14:textId="77777777" w:rsidR="00FF0690" w:rsidRPr="004D032E" w:rsidRDefault="00FF0690" w:rsidP="004C7546">
            <w:pPr>
              <w:pStyle w:val="Compact"/>
              <w:rPr>
                <w:sz w:val="20"/>
                <w:szCs w:val="20"/>
              </w:rPr>
            </w:pPr>
            <w:r w:rsidRPr="004D032E">
              <w:rPr>
                <w:sz w:val="20"/>
                <w:szCs w:val="20"/>
              </w:rPr>
              <w:t>3.13 (3.11 - 3.18)</w:t>
            </w:r>
          </w:p>
        </w:tc>
        <w:tc>
          <w:tcPr>
            <w:tcW w:w="1086" w:type="pct"/>
            <w:vAlign w:val="center"/>
          </w:tcPr>
          <w:p w14:paraId="6B4B1D34" w14:textId="77777777" w:rsidR="00FF0690" w:rsidRPr="004D032E" w:rsidRDefault="00FF0690" w:rsidP="004C7546">
            <w:pPr>
              <w:pStyle w:val="Compact"/>
              <w:rPr>
                <w:sz w:val="20"/>
                <w:szCs w:val="20"/>
              </w:rPr>
            </w:pPr>
          </w:p>
        </w:tc>
      </w:tr>
      <w:tr w:rsidR="00FF0690" w14:paraId="1DE8BD26" w14:textId="77777777" w:rsidTr="004C7546">
        <w:tc>
          <w:tcPr>
            <w:tcW w:w="2829" w:type="pct"/>
            <w:vAlign w:val="center"/>
          </w:tcPr>
          <w:p w14:paraId="5B73C1DD"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int:county</w:t>
            </w:r>
            <w:proofErr w:type="spellEnd"/>
            <w:proofErr w:type="gramEnd"/>
          </w:p>
        </w:tc>
        <w:tc>
          <w:tcPr>
            <w:tcW w:w="1086" w:type="pct"/>
            <w:vAlign w:val="center"/>
          </w:tcPr>
          <w:p w14:paraId="02E11FFE"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11950B8C" w14:textId="77777777" w:rsidR="00FF0690" w:rsidRPr="004D032E" w:rsidRDefault="00FF0690" w:rsidP="004C7546">
            <w:pPr>
              <w:pStyle w:val="Compact"/>
              <w:rPr>
                <w:sz w:val="20"/>
                <w:szCs w:val="20"/>
              </w:rPr>
            </w:pPr>
          </w:p>
        </w:tc>
      </w:tr>
      <w:tr w:rsidR="00FF0690" w14:paraId="79DD1D04" w14:textId="77777777" w:rsidTr="004C7546">
        <w:tc>
          <w:tcPr>
            <w:tcW w:w="2829" w:type="pct"/>
            <w:vAlign w:val="center"/>
          </w:tcPr>
          <w:p w14:paraId="04AD29A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w:t>
            </w:r>
          </w:p>
        </w:tc>
        <w:tc>
          <w:tcPr>
            <w:tcW w:w="1086" w:type="pct"/>
            <w:vAlign w:val="center"/>
          </w:tcPr>
          <w:p w14:paraId="0222E2A1"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0F5CE580" w14:textId="77777777" w:rsidR="00FF0690" w:rsidRPr="004D032E" w:rsidRDefault="00FF0690" w:rsidP="004C7546">
            <w:pPr>
              <w:pStyle w:val="Compact"/>
              <w:rPr>
                <w:sz w:val="20"/>
                <w:szCs w:val="20"/>
              </w:rPr>
            </w:pPr>
          </w:p>
        </w:tc>
      </w:tr>
      <w:tr w:rsidR="00FF0690" w14:paraId="37AEB663" w14:textId="77777777" w:rsidTr="004C7546">
        <w:tc>
          <w:tcPr>
            <w:tcW w:w="2829" w:type="pct"/>
            <w:vAlign w:val="center"/>
          </w:tcPr>
          <w:p w14:paraId="32AF182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tc>
        <w:tc>
          <w:tcPr>
            <w:tcW w:w="1086" w:type="pct"/>
            <w:vAlign w:val="center"/>
          </w:tcPr>
          <w:p w14:paraId="023EEAE3" w14:textId="77777777" w:rsidR="00FF0690" w:rsidRPr="004D032E" w:rsidRDefault="00FF0690" w:rsidP="004C7546">
            <w:pPr>
              <w:pStyle w:val="Compact"/>
              <w:rPr>
                <w:sz w:val="20"/>
                <w:szCs w:val="20"/>
              </w:rPr>
            </w:pPr>
            <w:r w:rsidRPr="004D032E">
              <w:rPr>
                <w:sz w:val="20"/>
                <w:szCs w:val="20"/>
              </w:rPr>
              <w:t>3.14 (3.11 - 3.21)</w:t>
            </w:r>
          </w:p>
        </w:tc>
        <w:tc>
          <w:tcPr>
            <w:tcW w:w="1086" w:type="pct"/>
            <w:vAlign w:val="center"/>
          </w:tcPr>
          <w:p w14:paraId="42C5C1F5" w14:textId="77777777" w:rsidR="00FF0690" w:rsidRPr="004D032E" w:rsidRDefault="00FF0690" w:rsidP="004C7546">
            <w:pPr>
              <w:pStyle w:val="Compact"/>
              <w:rPr>
                <w:sz w:val="20"/>
                <w:szCs w:val="20"/>
              </w:rPr>
            </w:pPr>
          </w:p>
        </w:tc>
      </w:tr>
      <w:tr w:rsidR="00FF0690" w14:paraId="2D063A5C" w14:textId="77777777" w:rsidTr="004C7546">
        <w:tc>
          <w:tcPr>
            <w:tcW w:w="2829" w:type="pct"/>
            <w:vAlign w:val="center"/>
          </w:tcPr>
          <w:p w14:paraId="4497D16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+cumcasep100k+per50up</w:t>
            </w:r>
          </w:p>
        </w:tc>
        <w:tc>
          <w:tcPr>
            <w:tcW w:w="1086" w:type="pct"/>
            <w:vAlign w:val="center"/>
          </w:tcPr>
          <w:p w14:paraId="0F49234E" w14:textId="77777777" w:rsidR="00FF0690" w:rsidRPr="004D032E" w:rsidRDefault="00FF0690" w:rsidP="004C7546">
            <w:pPr>
              <w:pStyle w:val="Compact"/>
              <w:rPr>
                <w:sz w:val="20"/>
                <w:szCs w:val="20"/>
              </w:rPr>
            </w:pPr>
            <w:r w:rsidRPr="004D032E">
              <w:rPr>
                <w:sz w:val="20"/>
                <w:szCs w:val="20"/>
              </w:rPr>
              <w:t>3.14 (3.12 - 3.19)</w:t>
            </w:r>
          </w:p>
        </w:tc>
        <w:tc>
          <w:tcPr>
            <w:tcW w:w="1086" w:type="pct"/>
            <w:vAlign w:val="center"/>
          </w:tcPr>
          <w:p w14:paraId="03DC145F" w14:textId="77777777" w:rsidR="00FF0690" w:rsidRPr="004D032E" w:rsidRDefault="00FF0690" w:rsidP="004C7546">
            <w:pPr>
              <w:pStyle w:val="Compact"/>
              <w:rPr>
                <w:sz w:val="20"/>
                <w:szCs w:val="20"/>
              </w:rPr>
            </w:pPr>
          </w:p>
        </w:tc>
      </w:tr>
      <w:tr w:rsidR="00FF0690" w14:paraId="4AD70D9D" w14:textId="77777777" w:rsidTr="004C7546">
        <w:tc>
          <w:tcPr>
            <w:tcW w:w="2829" w:type="pct"/>
            <w:vAlign w:val="center"/>
          </w:tcPr>
          <w:p w14:paraId="62F9979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+testp100k+per50up</w:t>
            </w:r>
          </w:p>
        </w:tc>
        <w:tc>
          <w:tcPr>
            <w:tcW w:w="1086" w:type="pct"/>
            <w:vAlign w:val="center"/>
          </w:tcPr>
          <w:p w14:paraId="1C39503A" w14:textId="77777777" w:rsidR="00FF0690" w:rsidRPr="004D032E" w:rsidRDefault="00FF0690" w:rsidP="004C7546">
            <w:pPr>
              <w:pStyle w:val="Compact"/>
              <w:rPr>
                <w:sz w:val="20"/>
                <w:szCs w:val="20"/>
              </w:rPr>
            </w:pPr>
            <w:r w:rsidRPr="004D032E">
              <w:rPr>
                <w:sz w:val="20"/>
                <w:szCs w:val="20"/>
              </w:rPr>
              <w:t>3.15 (3.14 - 3.17)</w:t>
            </w:r>
          </w:p>
        </w:tc>
        <w:tc>
          <w:tcPr>
            <w:tcW w:w="1086" w:type="pct"/>
            <w:vAlign w:val="center"/>
          </w:tcPr>
          <w:p w14:paraId="5DC788C6" w14:textId="77777777" w:rsidR="00FF0690" w:rsidRPr="004D032E" w:rsidRDefault="00FF0690" w:rsidP="004C7546">
            <w:pPr>
              <w:pStyle w:val="Compact"/>
              <w:rPr>
                <w:sz w:val="20"/>
                <w:szCs w:val="20"/>
              </w:rPr>
            </w:pPr>
          </w:p>
        </w:tc>
      </w:tr>
      <w:tr w:rsidR="00FF0690" w14:paraId="479C3B5A" w14:textId="77777777" w:rsidTr="004C7546">
        <w:tc>
          <w:tcPr>
            <w:tcW w:w="2829" w:type="pct"/>
            <w:vAlign w:val="center"/>
          </w:tcPr>
          <w:p w14:paraId="3732194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w:t>
            </w:r>
          </w:p>
        </w:tc>
        <w:tc>
          <w:tcPr>
            <w:tcW w:w="1086" w:type="pct"/>
            <w:vAlign w:val="center"/>
          </w:tcPr>
          <w:p w14:paraId="18007916" w14:textId="77777777" w:rsidR="00FF0690" w:rsidRPr="004D032E" w:rsidRDefault="00FF0690" w:rsidP="004C7546">
            <w:pPr>
              <w:pStyle w:val="Compact"/>
              <w:rPr>
                <w:sz w:val="20"/>
                <w:szCs w:val="20"/>
              </w:rPr>
            </w:pPr>
            <w:r w:rsidRPr="004D032E">
              <w:rPr>
                <w:sz w:val="20"/>
                <w:szCs w:val="20"/>
              </w:rPr>
              <w:t>3.15 (3.13 - 3.22)</w:t>
            </w:r>
          </w:p>
        </w:tc>
        <w:tc>
          <w:tcPr>
            <w:tcW w:w="1086" w:type="pct"/>
            <w:vAlign w:val="center"/>
          </w:tcPr>
          <w:p w14:paraId="6531EE9F" w14:textId="77777777" w:rsidR="00FF0690" w:rsidRPr="004D032E" w:rsidRDefault="00FF0690" w:rsidP="004C7546">
            <w:pPr>
              <w:pStyle w:val="Compact"/>
              <w:rPr>
                <w:sz w:val="20"/>
                <w:szCs w:val="20"/>
              </w:rPr>
            </w:pPr>
          </w:p>
        </w:tc>
      </w:tr>
      <w:tr w:rsidR="00FF0690" w14:paraId="4E8B0578" w14:textId="77777777" w:rsidTr="004C7546">
        <w:tc>
          <w:tcPr>
            <w:tcW w:w="2829" w:type="pct"/>
            <w:vAlign w:val="center"/>
          </w:tcPr>
          <w:p w14:paraId="4F9DD39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w:t>
            </w:r>
          </w:p>
        </w:tc>
        <w:tc>
          <w:tcPr>
            <w:tcW w:w="1086" w:type="pct"/>
            <w:vAlign w:val="center"/>
          </w:tcPr>
          <w:p w14:paraId="74CC5220" w14:textId="77777777" w:rsidR="00FF0690" w:rsidRPr="004D032E" w:rsidRDefault="00FF0690" w:rsidP="004C7546">
            <w:pPr>
              <w:pStyle w:val="Compact"/>
              <w:rPr>
                <w:sz w:val="20"/>
                <w:szCs w:val="20"/>
              </w:rPr>
            </w:pPr>
            <w:r w:rsidRPr="004D032E">
              <w:rPr>
                <w:sz w:val="20"/>
                <w:szCs w:val="20"/>
              </w:rPr>
              <w:t>3.15 (3.14 - 3.18)</w:t>
            </w:r>
          </w:p>
        </w:tc>
        <w:tc>
          <w:tcPr>
            <w:tcW w:w="1086" w:type="pct"/>
            <w:vAlign w:val="center"/>
          </w:tcPr>
          <w:p w14:paraId="5D778DE2" w14:textId="77777777" w:rsidR="00FF0690" w:rsidRPr="004D032E" w:rsidRDefault="00FF0690" w:rsidP="004C7546">
            <w:pPr>
              <w:pStyle w:val="Compact"/>
              <w:rPr>
                <w:sz w:val="20"/>
                <w:szCs w:val="20"/>
              </w:rPr>
            </w:pPr>
          </w:p>
        </w:tc>
      </w:tr>
      <w:tr w:rsidR="00FF0690" w14:paraId="6D7A7D8E" w14:textId="77777777" w:rsidTr="004C7546">
        <w:tc>
          <w:tcPr>
            <w:tcW w:w="2829" w:type="pct"/>
            <w:vAlign w:val="center"/>
          </w:tcPr>
          <w:p w14:paraId="465DBBCA" w14:textId="77777777" w:rsidR="00FF0690" w:rsidRPr="004D032E" w:rsidRDefault="00FF0690" w:rsidP="004C7546">
            <w:pPr>
              <w:pStyle w:val="Compact"/>
              <w:rPr>
                <w:sz w:val="20"/>
                <w:szCs w:val="20"/>
              </w:rPr>
            </w:pPr>
            <w:r w:rsidRPr="004D032E">
              <w:rPr>
                <w:sz w:val="20"/>
                <w:szCs w:val="20"/>
              </w:rPr>
              <w:t>BASE+cumcasep100k+cumvaxp100k</w:t>
            </w:r>
          </w:p>
        </w:tc>
        <w:tc>
          <w:tcPr>
            <w:tcW w:w="1086" w:type="pct"/>
            <w:vAlign w:val="center"/>
          </w:tcPr>
          <w:p w14:paraId="14F9FD24"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55710FDD" w14:textId="77777777" w:rsidR="00FF0690" w:rsidRPr="004D032E" w:rsidRDefault="00FF0690" w:rsidP="004C7546">
            <w:pPr>
              <w:pStyle w:val="Compact"/>
              <w:rPr>
                <w:sz w:val="20"/>
                <w:szCs w:val="20"/>
              </w:rPr>
            </w:pPr>
          </w:p>
        </w:tc>
      </w:tr>
      <w:tr w:rsidR="00FF0690" w14:paraId="14EE9899" w14:textId="77777777" w:rsidTr="004C7546">
        <w:tc>
          <w:tcPr>
            <w:tcW w:w="2829" w:type="pct"/>
            <w:vAlign w:val="center"/>
          </w:tcPr>
          <w:p w14:paraId="0F2F9C7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tc>
        <w:tc>
          <w:tcPr>
            <w:tcW w:w="1086" w:type="pct"/>
            <w:vAlign w:val="center"/>
          </w:tcPr>
          <w:p w14:paraId="30930A1A"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13F7651C" w14:textId="77777777" w:rsidR="00FF0690" w:rsidRPr="004D032E" w:rsidRDefault="00FF0690" w:rsidP="004C7546">
            <w:pPr>
              <w:pStyle w:val="Compact"/>
              <w:rPr>
                <w:sz w:val="20"/>
                <w:szCs w:val="20"/>
              </w:rPr>
            </w:pPr>
          </w:p>
        </w:tc>
      </w:tr>
      <w:tr w:rsidR="00FF0690" w14:paraId="19CFF5D1" w14:textId="77777777" w:rsidTr="004C7546">
        <w:tc>
          <w:tcPr>
            <w:tcW w:w="2829" w:type="pct"/>
            <w:vAlign w:val="center"/>
          </w:tcPr>
          <w:p w14:paraId="2060EC9E"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+per50up</w:t>
            </w:r>
          </w:p>
        </w:tc>
        <w:tc>
          <w:tcPr>
            <w:tcW w:w="1086" w:type="pct"/>
            <w:vAlign w:val="center"/>
          </w:tcPr>
          <w:p w14:paraId="4162245E" w14:textId="77777777" w:rsidR="00FF0690" w:rsidRPr="004D032E" w:rsidRDefault="00FF0690" w:rsidP="004C7546">
            <w:pPr>
              <w:pStyle w:val="Compact"/>
              <w:rPr>
                <w:sz w:val="20"/>
                <w:szCs w:val="20"/>
              </w:rPr>
            </w:pPr>
            <w:r w:rsidRPr="004D032E">
              <w:rPr>
                <w:sz w:val="20"/>
                <w:szCs w:val="20"/>
              </w:rPr>
              <w:t>3.18 (3.17 - 3.21)</w:t>
            </w:r>
          </w:p>
        </w:tc>
        <w:tc>
          <w:tcPr>
            <w:tcW w:w="1086" w:type="pct"/>
            <w:vAlign w:val="center"/>
          </w:tcPr>
          <w:p w14:paraId="6D1A021D" w14:textId="77777777" w:rsidR="00FF0690" w:rsidRPr="004D032E" w:rsidRDefault="00FF0690" w:rsidP="004C7546">
            <w:pPr>
              <w:pStyle w:val="Compact"/>
              <w:rPr>
                <w:sz w:val="20"/>
                <w:szCs w:val="20"/>
              </w:rPr>
            </w:pPr>
          </w:p>
        </w:tc>
      </w:tr>
      <w:tr w:rsidR="00FF0690" w14:paraId="5DA539C4" w14:textId="77777777" w:rsidTr="004C7546">
        <w:tc>
          <w:tcPr>
            <w:tcW w:w="2829" w:type="pct"/>
            <w:vAlign w:val="center"/>
          </w:tcPr>
          <w:p w14:paraId="5A162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+testp100k+per50up</w:t>
            </w:r>
          </w:p>
        </w:tc>
        <w:tc>
          <w:tcPr>
            <w:tcW w:w="1086" w:type="pct"/>
            <w:vAlign w:val="center"/>
          </w:tcPr>
          <w:p w14:paraId="1DE30258"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8DDBCEB" w14:textId="77777777" w:rsidR="00FF0690" w:rsidRPr="004D032E" w:rsidRDefault="00FF0690" w:rsidP="004C7546">
            <w:pPr>
              <w:pStyle w:val="Compact"/>
              <w:rPr>
                <w:sz w:val="20"/>
                <w:szCs w:val="20"/>
              </w:rPr>
            </w:pPr>
          </w:p>
        </w:tc>
      </w:tr>
      <w:tr w:rsidR="00FF0690" w14:paraId="2F683440" w14:textId="77777777" w:rsidTr="004C7546">
        <w:tc>
          <w:tcPr>
            <w:tcW w:w="2829" w:type="pct"/>
            <w:vAlign w:val="center"/>
          </w:tcPr>
          <w:p w14:paraId="26A60F76" w14:textId="77777777" w:rsidR="00FF0690" w:rsidRPr="004D032E" w:rsidRDefault="00FF0690" w:rsidP="004C7546">
            <w:pPr>
              <w:pStyle w:val="Compact"/>
              <w:rPr>
                <w:sz w:val="20"/>
                <w:szCs w:val="20"/>
              </w:rPr>
            </w:pPr>
            <w:r w:rsidRPr="004D032E">
              <w:rPr>
                <w:sz w:val="20"/>
                <w:szCs w:val="20"/>
              </w:rPr>
              <w:t>BASE+testp100k+per50up</w:t>
            </w:r>
          </w:p>
        </w:tc>
        <w:tc>
          <w:tcPr>
            <w:tcW w:w="1086" w:type="pct"/>
            <w:vAlign w:val="center"/>
          </w:tcPr>
          <w:p w14:paraId="4BABF3FD"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1EBC0DC0" w14:textId="77777777" w:rsidR="00FF0690" w:rsidRPr="004D032E" w:rsidRDefault="00FF0690" w:rsidP="004C7546">
            <w:pPr>
              <w:pStyle w:val="Compact"/>
              <w:rPr>
                <w:sz w:val="20"/>
                <w:szCs w:val="20"/>
              </w:rPr>
            </w:pPr>
          </w:p>
        </w:tc>
      </w:tr>
      <w:tr w:rsidR="00FF0690" w14:paraId="47D15D03" w14:textId="77777777" w:rsidTr="004C7546">
        <w:tc>
          <w:tcPr>
            <w:tcW w:w="2829" w:type="pct"/>
            <w:vAlign w:val="center"/>
          </w:tcPr>
          <w:p w14:paraId="4BA94940"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int:spline</w:t>
            </w:r>
            <w:proofErr w:type="spellEnd"/>
            <w:proofErr w:type="gramEnd"/>
          </w:p>
        </w:tc>
        <w:tc>
          <w:tcPr>
            <w:tcW w:w="1086" w:type="pct"/>
            <w:vAlign w:val="center"/>
          </w:tcPr>
          <w:p w14:paraId="386BF976"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14DFC36" w14:textId="77777777" w:rsidR="00FF0690" w:rsidRPr="004D032E" w:rsidRDefault="00FF0690" w:rsidP="004C7546">
            <w:pPr>
              <w:pStyle w:val="Compact"/>
              <w:rPr>
                <w:sz w:val="20"/>
                <w:szCs w:val="20"/>
              </w:rPr>
            </w:pPr>
          </w:p>
        </w:tc>
      </w:tr>
      <w:tr w:rsidR="00FF0690" w14:paraId="36E98771" w14:textId="77777777" w:rsidTr="004C7546">
        <w:tc>
          <w:tcPr>
            <w:tcW w:w="2829" w:type="pct"/>
            <w:vAlign w:val="center"/>
          </w:tcPr>
          <w:p w14:paraId="45EA1B2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w:t>
            </w:r>
          </w:p>
        </w:tc>
        <w:tc>
          <w:tcPr>
            <w:tcW w:w="1086" w:type="pct"/>
            <w:vAlign w:val="center"/>
          </w:tcPr>
          <w:p w14:paraId="41215415"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36A36F17" w14:textId="77777777" w:rsidR="00FF0690" w:rsidRPr="004D032E" w:rsidRDefault="00FF0690" w:rsidP="004C7546">
            <w:pPr>
              <w:pStyle w:val="Compact"/>
              <w:rPr>
                <w:sz w:val="20"/>
                <w:szCs w:val="20"/>
              </w:rPr>
            </w:pPr>
          </w:p>
        </w:tc>
      </w:tr>
      <w:tr w:rsidR="00FF0690" w14:paraId="6E31B48B" w14:textId="77777777" w:rsidTr="004C7546">
        <w:tc>
          <w:tcPr>
            <w:tcW w:w="2829" w:type="pct"/>
            <w:vAlign w:val="center"/>
          </w:tcPr>
          <w:p w14:paraId="37FDDBD5" w14:textId="77777777" w:rsidR="00FF0690" w:rsidRPr="004D032E" w:rsidRDefault="00FF0690" w:rsidP="004C7546">
            <w:pPr>
              <w:pStyle w:val="Compact"/>
              <w:rPr>
                <w:sz w:val="20"/>
                <w:szCs w:val="20"/>
              </w:rPr>
            </w:pPr>
            <w:r w:rsidRPr="004D032E">
              <w:rPr>
                <w:sz w:val="20"/>
                <w:szCs w:val="20"/>
              </w:rPr>
              <w:t>BASE+testp100k</w:t>
            </w:r>
          </w:p>
        </w:tc>
        <w:tc>
          <w:tcPr>
            <w:tcW w:w="1086" w:type="pct"/>
            <w:vAlign w:val="center"/>
          </w:tcPr>
          <w:p w14:paraId="20E755CB"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65D3174C" w14:textId="77777777" w:rsidR="00FF0690" w:rsidRPr="004D032E" w:rsidRDefault="00FF0690" w:rsidP="004C7546">
            <w:pPr>
              <w:pStyle w:val="Compact"/>
              <w:rPr>
                <w:sz w:val="20"/>
                <w:szCs w:val="20"/>
              </w:rPr>
            </w:pPr>
          </w:p>
        </w:tc>
      </w:tr>
      <w:tr w:rsidR="00FF0690" w14:paraId="2F7CDD97" w14:textId="77777777" w:rsidTr="004C7546">
        <w:tc>
          <w:tcPr>
            <w:tcW w:w="2829" w:type="pct"/>
            <w:vAlign w:val="center"/>
          </w:tcPr>
          <w:p w14:paraId="03E834F5"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p w14:paraId="7E44433D"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D469C2"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3EE9EED9" w14:textId="77777777" w:rsidR="00FF0690" w:rsidRPr="004D032E" w:rsidRDefault="00FF0690" w:rsidP="004C7546">
            <w:pPr>
              <w:pStyle w:val="Compact"/>
              <w:rPr>
                <w:sz w:val="20"/>
                <w:szCs w:val="20"/>
              </w:rPr>
            </w:pPr>
          </w:p>
        </w:tc>
      </w:tr>
      <w:tr w:rsidR="00FF0690" w14:paraId="3F134008" w14:textId="77777777" w:rsidTr="004C7546">
        <w:tc>
          <w:tcPr>
            <w:tcW w:w="2829" w:type="pct"/>
            <w:vAlign w:val="center"/>
          </w:tcPr>
          <w:p w14:paraId="644DACC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tc>
        <w:tc>
          <w:tcPr>
            <w:tcW w:w="1086" w:type="pct"/>
            <w:vAlign w:val="center"/>
          </w:tcPr>
          <w:p w14:paraId="12E9BCEA"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2C010B17" w14:textId="77777777" w:rsidR="00FF0690" w:rsidRPr="004D032E" w:rsidRDefault="00FF0690" w:rsidP="004C7546">
            <w:pPr>
              <w:pStyle w:val="Compact"/>
              <w:rPr>
                <w:sz w:val="20"/>
                <w:szCs w:val="20"/>
              </w:rPr>
            </w:pPr>
          </w:p>
        </w:tc>
      </w:tr>
      <w:tr w:rsidR="00FF0690" w14:paraId="35F8769D" w14:textId="77777777" w:rsidTr="004C7546">
        <w:tc>
          <w:tcPr>
            <w:tcW w:w="2829" w:type="pct"/>
            <w:vAlign w:val="center"/>
          </w:tcPr>
          <w:p w14:paraId="608C421B" w14:textId="77777777" w:rsidR="00FF0690" w:rsidRPr="004D032E" w:rsidRDefault="00FF0690" w:rsidP="004C7546">
            <w:pPr>
              <w:pStyle w:val="Compact"/>
              <w:rPr>
                <w:sz w:val="20"/>
                <w:szCs w:val="20"/>
              </w:rPr>
            </w:pPr>
            <w:r w:rsidRPr="004D032E">
              <w:rPr>
                <w:sz w:val="20"/>
                <w:szCs w:val="20"/>
              </w:rPr>
              <w:t>BASE+per50up</w:t>
            </w:r>
          </w:p>
        </w:tc>
        <w:tc>
          <w:tcPr>
            <w:tcW w:w="1086" w:type="pct"/>
            <w:vAlign w:val="center"/>
          </w:tcPr>
          <w:p w14:paraId="7FD0DF6B"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0B18155E" w14:textId="77777777" w:rsidR="00FF0690" w:rsidRPr="004D032E" w:rsidRDefault="00FF0690" w:rsidP="004C7546">
            <w:pPr>
              <w:pStyle w:val="Compact"/>
              <w:rPr>
                <w:sz w:val="20"/>
                <w:szCs w:val="20"/>
              </w:rPr>
            </w:pPr>
          </w:p>
        </w:tc>
      </w:tr>
      <w:tr w:rsidR="00FF0690" w14:paraId="6B90565C" w14:textId="77777777" w:rsidTr="004C7546">
        <w:tc>
          <w:tcPr>
            <w:tcW w:w="2829" w:type="pct"/>
            <w:vAlign w:val="center"/>
          </w:tcPr>
          <w:p w14:paraId="17EB391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+per50up</w:t>
            </w:r>
          </w:p>
        </w:tc>
        <w:tc>
          <w:tcPr>
            <w:tcW w:w="1086" w:type="pct"/>
            <w:vAlign w:val="center"/>
          </w:tcPr>
          <w:p w14:paraId="35FA9302"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68E6712A" w14:textId="77777777" w:rsidR="00FF0690" w:rsidRPr="004D032E" w:rsidRDefault="00FF0690" w:rsidP="004C7546">
            <w:pPr>
              <w:pStyle w:val="Compact"/>
              <w:rPr>
                <w:sz w:val="20"/>
                <w:szCs w:val="20"/>
              </w:rPr>
            </w:pPr>
          </w:p>
        </w:tc>
      </w:tr>
      <w:tr w:rsidR="00FF0690" w14:paraId="0179467D" w14:textId="77777777" w:rsidTr="004C7546">
        <w:tc>
          <w:tcPr>
            <w:tcW w:w="2829" w:type="pct"/>
            <w:vAlign w:val="center"/>
          </w:tcPr>
          <w:p w14:paraId="1B4DFC2A" w14:textId="77777777" w:rsidR="00FF0690" w:rsidRPr="004D032E" w:rsidRDefault="00FF0690" w:rsidP="004C7546">
            <w:pPr>
              <w:pStyle w:val="Compact"/>
              <w:rPr>
                <w:sz w:val="20"/>
                <w:szCs w:val="20"/>
              </w:rPr>
            </w:pPr>
            <w:r w:rsidRPr="004D032E">
              <w:rPr>
                <w:sz w:val="20"/>
                <w:szCs w:val="20"/>
              </w:rPr>
              <w:t>BASE</w:t>
            </w:r>
          </w:p>
        </w:tc>
        <w:tc>
          <w:tcPr>
            <w:tcW w:w="1086" w:type="pct"/>
            <w:vAlign w:val="center"/>
          </w:tcPr>
          <w:p w14:paraId="19CF8ABC"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4A0A1FF8" w14:textId="77777777" w:rsidR="00FF0690" w:rsidRPr="004D032E" w:rsidRDefault="00FF0690" w:rsidP="004C7546">
            <w:pPr>
              <w:pStyle w:val="Compact"/>
              <w:rPr>
                <w:sz w:val="20"/>
                <w:szCs w:val="20"/>
              </w:rPr>
            </w:pPr>
          </w:p>
        </w:tc>
      </w:tr>
      <w:tr w:rsidR="00FF0690" w14:paraId="373590C1" w14:textId="77777777" w:rsidTr="004C7546">
        <w:tc>
          <w:tcPr>
            <w:tcW w:w="2829" w:type="pct"/>
            <w:vAlign w:val="center"/>
          </w:tcPr>
          <w:p w14:paraId="2491D146"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int:VEM</w:t>
            </w:r>
            <w:proofErr w:type="spellEnd"/>
            <w:proofErr w:type="gramEnd"/>
          </w:p>
        </w:tc>
        <w:tc>
          <w:tcPr>
            <w:tcW w:w="1086" w:type="pct"/>
            <w:vAlign w:val="center"/>
          </w:tcPr>
          <w:p w14:paraId="09163630"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3429808E" w14:textId="77777777" w:rsidR="00FF0690" w:rsidRPr="004D032E" w:rsidRDefault="00FF0690" w:rsidP="004C7546">
            <w:pPr>
              <w:pStyle w:val="Compact"/>
              <w:rPr>
                <w:sz w:val="20"/>
                <w:szCs w:val="20"/>
              </w:rPr>
            </w:pPr>
          </w:p>
        </w:tc>
      </w:tr>
      <w:tr w:rsidR="00FF0690" w14:paraId="131D3285" w14:textId="77777777" w:rsidTr="004C7546">
        <w:tc>
          <w:tcPr>
            <w:tcW w:w="2829" w:type="pct"/>
            <w:vAlign w:val="center"/>
          </w:tcPr>
          <w:p w14:paraId="1CFF11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003DBBC0"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5B5865AD" w14:textId="77777777" w:rsidR="00FF0690" w:rsidRPr="004D032E" w:rsidRDefault="00FF0690" w:rsidP="004C7546">
            <w:pPr>
              <w:pStyle w:val="Compact"/>
              <w:rPr>
                <w:sz w:val="20"/>
                <w:szCs w:val="20"/>
              </w:rPr>
            </w:pPr>
            <w:r w:rsidRPr="004D032E">
              <w:rPr>
                <w:sz w:val="20"/>
                <w:szCs w:val="20"/>
              </w:rPr>
              <w:t>3.24 (2.98 - 4.28)</w:t>
            </w:r>
          </w:p>
        </w:tc>
        <w:tc>
          <w:tcPr>
            <w:tcW w:w="1086" w:type="pct"/>
            <w:vAlign w:val="center"/>
          </w:tcPr>
          <w:p w14:paraId="69418F23" w14:textId="77777777" w:rsidR="00FF0690" w:rsidRPr="004D032E" w:rsidRDefault="00FF0690" w:rsidP="004C7546">
            <w:pPr>
              <w:pStyle w:val="Compact"/>
              <w:rPr>
                <w:sz w:val="20"/>
                <w:szCs w:val="20"/>
              </w:rPr>
            </w:pPr>
          </w:p>
        </w:tc>
      </w:tr>
      <w:tr w:rsidR="00FF0690" w14:paraId="5BF7D6D0" w14:textId="77777777" w:rsidTr="004C7546">
        <w:tc>
          <w:tcPr>
            <w:tcW w:w="2829" w:type="pct"/>
            <w:vAlign w:val="center"/>
          </w:tcPr>
          <w:p w14:paraId="6227D5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D238C83"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47D24ED0" w14:textId="77777777" w:rsidR="00FF0690" w:rsidRPr="004D032E" w:rsidRDefault="00FF0690" w:rsidP="004C7546">
            <w:pPr>
              <w:pStyle w:val="Compact"/>
              <w:rPr>
                <w:sz w:val="20"/>
                <w:szCs w:val="20"/>
              </w:rPr>
            </w:pPr>
            <w:r w:rsidRPr="004D032E">
              <w:rPr>
                <w:sz w:val="20"/>
                <w:szCs w:val="20"/>
              </w:rPr>
              <w:t>3.26 (2.98 - 4.47)</w:t>
            </w:r>
          </w:p>
        </w:tc>
        <w:tc>
          <w:tcPr>
            <w:tcW w:w="1086" w:type="pct"/>
            <w:vAlign w:val="center"/>
          </w:tcPr>
          <w:p w14:paraId="6A265781" w14:textId="77777777" w:rsidR="00FF0690" w:rsidRPr="004D032E" w:rsidRDefault="00FF0690" w:rsidP="004C7546">
            <w:pPr>
              <w:pStyle w:val="Compact"/>
              <w:rPr>
                <w:sz w:val="20"/>
                <w:szCs w:val="20"/>
              </w:rPr>
            </w:pPr>
          </w:p>
        </w:tc>
      </w:tr>
      <w:tr w:rsidR="00FF0690" w14:paraId="603AA039" w14:textId="77777777" w:rsidTr="004C7546">
        <w:tc>
          <w:tcPr>
            <w:tcW w:w="2829" w:type="pct"/>
            <w:vAlign w:val="center"/>
          </w:tcPr>
          <w:p w14:paraId="4DF8D96E" w14:textId="77777777" w:rsidR="00FF0690" w:rsidRPr="004D032E" w:rsidRDefault="00FF0690" w:rsidP="004C7546">
            <w:pPr>
              <w:pStyle w:val="Compact"/>
              <w:rPr>
                <w:sz w:val="20"/>
                <w:szCs w:val="20"/>
              </w:rPr>
            </w:pPr>
            <w:r w:rsidRPr="004D032E">
              <w:rPr>
                <w:sz w:val="20"/>
                <w:szCs w:val="20"/>
              </w:rPr>
              <w:lastRenderedPageBreak/>
              <w:t>BASE+cumcasep100k+testp100k+per50up</w:t>
            </w:r>
          </w:p>
        </w:tc>
        <w:tc>
          <w:tcPr>
            <w:tcW w:w="1086" w:type="pct"/>
            <w:vAlign w:val="center"/>
          </w:tcPr>
          <w:p w14:paraId="5EBA3211"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281F9F9A" w14:textId="77777777" w:rsidR="00FF0690" w:rsidRPr="004D032E" w:rsidRDefault="00FF0690" w:rsidP="004C7546">
            <w:pPr>
              <w:pStyle w:val="Compact"/>
              <w:rPr>
                <w:sz w:val="20"/>
                <w:szCs w:val="20"/>
              </w:rPr>
            </w:pPr>
          </w:p>
        </w:tc>
      </w:tr>
      <w:tr w:rsidR="00FF0690" w14:paraId="6A25953F" w14:textId="77777777" w:rsidTr="004C7546">
        <w:tc>
          <w:tcPr>
            <w:tcW w:w="2829" w:type="pct"/>
            <w:vAlign w:val="center"/>
          </w:tcPr>
          <w:p w14:paraId="44219D4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+cumcasep100k+testp100k+per50up</w:t>
            </w:r>
          </w:p>
        </w:tc>
        <w:tc>
          <w:tcPr>
            <w:tcW w:w="1086" w:type="pct"/>
            <w:vAlign w:val="center"/>
          </w:tcPr>
          <w:p w14:paraId="589B55DA"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5A397AB7" w14:textId="77777777" w:rsidR="00FF0690" w:rsidRPr="004D032E" w:rsidRDefault="00FF0690" w:rsidP="004C7546">
            <w:pPr>
              <w:pStyle w:val="Compact"/>
              <w:rPr>
                <w:sz w:val="20"/>
                <w:szCs w:val="20"/>
              </w:rPr>
            </w:pPr>
          </w:p>
        </w:tc>
      </w:tr>
      <w:tr w:rsidR="00FF0690" w14:paraId="3CCC2984" w14:textId="77777777" w:rsidTr="004C7546">
        <w:tc>
          <w:tcPr>
            <w:tcW w:w="2829" w:type="pct"/>
            <w:vAlign w:val="center"/>
          </w:tcPr>
          <w:p w14:paraId="3EDB78C3" w14:textId="77777777" w:rsidR="00FF0690" w:rsidRPr="004D032E" w:rsidRDefault="00FF0690" w:rsidP="004C7546">
            <w:pPr>
              <w:pStyle w:val="Compact"/>
              <w:rPr>
                <w:sz w:val="20"/>
                <w:szCs w:val="20"/>
              </w:rPr>
            </w:pPr>
            <w:r w:rsidRPr="004D032E">
              <w:rPr>
                <w:sz w:val="20"/>
                <w:szCs w:val="20"/>
              </w:rPr>
              <w:t>BASE+cumcasep100k+testp100k</w:t>
            </w:r>
          </w:p>
        </w:tc>
        <w:tc>
          <w:tcPr>
            <w:tcW w:w="1086" w:type="pct"/>
            <w:vAlign w:val="center"/>
          </w:tcPr>
          <w:p w14:paraId="04B4B9BE"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24466CE4" w14:textId="77777777" w:rsidR="00FF0690" w:rsidRPr="004D032E" w:rsidRDefault="00FF0690" w:rsidP="004C7546">
            <w:pPr>
              <w:pStyle w:val="Compact"/>
              <w:rPr>
                <w:sz w:val="20"/>
                <w:szCs w:val="20"/>
              </w:rPr>
            </w:pPr>
          </w:p>
        </w:tc>
      </w:tr>
      <w:tr w:rsidR="00FF0690" w14:paraId="63D5F248" w14:textId="77777777" w:rsidTr="004C7546">
        <w:tc>
          <w:tcPr>
            <w:tcW w:w="2829" w:type="pct"/>
            <w:vAlign w:val="center"/>
          </w:tcPr>
          <w:p w14:paraId="7F6179C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w:t>
            </w:r>
          </w:p>
        </w:tc>
        <w:tc>
          <w:tcPr>
            <w:tcW w:w="1086" w:type="pct"/>
            <w:vAlign w:val="center"/>
          </w:tcPr>
          <w:p w14:paraId="5988C1EB"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6E844848" w14:textId="77777777" w:rsidR="00FF0690" w:rsidRPr="004D032E" w:rsidRDefault="00FF0690" w:rsidP="004C7546">
            <w:pPr>
              <w:pStyle w:val="Compact"/>
              <w:rPr>
                <w:sz w:val="20"/>
                <w:szCs w:val="20"/>
              </w:rPr>
            </w:pPr>
          </w:p>
        </w:tc>
      </w:tr>
      <w:tr w:rsidR="00FF0690" w14:paraId="4FF9F8D8" w14:textId="77777777" w:rsidTr="004C7546">
        <w:tc>
          <w:tcPr>
            <w:tcW w:w="2829" w:type="pct"/>
            <w:vAlign w:val="center"/>
          </w:tcPr>
          <w:p w14:paraId="21BCA56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+cumcasep100k+per50up</w:t>
            </w:r>
          </w:p>
        </w:tc>
        <w:tc>
          <w:tcPr>
            <w:tcW w:w="1086" w:type="pct"/>
            <w:vAlign w:val="center"/>
          </w:tcPr>
          <w:p w14:paraId="5D2118F5" w14:textId="77777777" w:rsidR="00FF0690" w:rsidRPr="004D032E" w:rsidRDefault="00FF0690" w:rsidP="004C7546">
            <w:pPr>
              <w:pStyle w:val="Compact"/>
              <w:rPr>
                <w:sz w:val="20"/>
                <w:szCs w:val="20"/>
              </w:rPr>
            </w:pPr>
            <w:r w:rsidRPr="004D032E">
              <w:rPr>
                <w:sz w:val="20"/>
                <w:szCs w:val="20"/>
              </w:rPr>
              <w:t>3.29 (3.27 - 3.3)</w:t>
            </w:r>
          </w:p>
        </w:tc>
        <w:tc>
          <w:tcPr>
            <w:tcW w:w="1086" w:type="pct"/>
            <w:vAlign w:val="center"/>
          </w:tcPr>
          <w:p w14:paraId="59C75AF9" w14:textId="77777777" w:rsidR="00FF0690" w:rsidRPr="004D032E" w:rsidRDefault="00FF0690" w:rsidP="004C7546">
            <w:pPr>
              <w:pStyle w:val="Compact"/>
              <w:rPr>
                <w:sz w:val="20"/>
                <w:szCs w:val="20"/>
              </w:rPr>
            </w:pPr>
          </w:p>
        </w:tc>
      </w:tr>
      <w:tr w:rsidR="00FF0690" w14:paraId="1FD44456" w14:textId="77777777" w:rsidTr="004C7546">
        <w:tc>
          <w:tcPr>
            <w:tcW w:w="2829" w:type="pct"/>
            <w:vAlign w:val="center"/>
          </w:tcPr>
          <w:p w14:paraId="43CC50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w:t>
            </w:r>
          </w:p>
        </w:tc>
        <w:tc>
          <w:tcPr>
            <w:tcW w:w="1086" w:type="pct"/>
            <w:vAlign w:val="center"/>
          </w:tcPr>
          <w:p w14:paraId="102638E4" w14:textId="77777777" w:rsidR="00FF0690" w:rsidRPr="004D032E" w:rsidRDefault="00FF0690" w:rsidP="004C7546">
            <w:pPr>
              <w:pStyle w:val="Compact"/>
              <w:rPr>
                <w:sz w:val="20"/>
                <w:szCs w:val="20"/>
              </w:rPr>
            </w:pPr>
            <w:r w:rsidRPr="004D032E">
              <w:rPr>
                <w:sz w:val="20"/>
                <w:szCs w:val="20"/>
              </w:rPr>
              <w:t>3.29 (3.28 - 3.31)</w:t>
            </w:r>
          </w:p>
        </w:tc>
        <w:tc>
          <w:tcPr>
            <w:tcW w:w="1086" w:type="pct"/>
            <w:vAlign w:val="center"/>
          </w:tcPr>
          <w:p w14:paraId="25614657" w14:textId="77777777" w:rsidR="00FF0690" w:rsidRPr="004D032E" w:rsidRDefault="00FF0690" w:rsidP="004C7546">
            <w:pPr>
              <w:pStyle w:val="Compact"/>
              <w:rPr>
                <w:sz w:val="20"/>
                <w:szCs w:val="20"/>
              </w:rPr>
            </w:pPr>
          </w:p>
        </w:tc>
      </w:tr>
      <w:tr w:rsidR="00FF0690" w14:paraId="18BC7132" w14:textId="77777777" w:rsidTr="004C7546">
        <w:tc>
          <w:tcPr>
            <w:tcW w:w="2829" w:type="pct"/>
            <w:vAlign w:val="center"/>
          </w:tcPr>
          <w:p w14:paraId="2D4E4AB8" w14:textId="77777777" w:rsidR="00FF0690" w:rsidRPr="004D032E" w:rsidRDefault="00FF0690" w:rsidP="004C7546">
            <w:pPr>
              <w:pStyle w:val="Compact"/>
              <w:rPr>
                <w:sz w:val="20"/>
                <w:szCs w:val="20"/>
              </w:rPr>
            </w:pPr>
            <w:r w:rsidRPr="004D032E">
              <w:rPr>
                <w:sz w:val="20"/>
                <w:szCs w:val="20"/>
              </w:rPr>
              <w:t>BASE+cumcasep100k+per50up</w:t>
            </w:r>
          </w:p>
        </w:tc>
        <w:tc>
          <w:tcPr>
            <w:tcW w:w="1086" w:type="pct"/>
            <w:vAlign w:val="center"/>
          </w:tcPr>
          <w:p w14:paraId="2F954684"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0CBF0F59" w14:textId="77777777" w:rsidR="00FF0690" w:rsidRPr="004D032E" w:rsidRDefault="00FF0690" w:rsidP="004C7546">
            <w:pPr>
              <w:pStyle w:val="Compact"/>
              <w:rPr>
                <w:sz w:val="20"/>
                <w:szCs w:val="20"/>
              </w:rPr>
            </w:pPr>
          </w:p>
        </w:tc>
      </w:tr>
      <w:tr w:rsidR="00FF0690" w14:paraId="0E6B1681" w14:textId="77777777" w:rsidTr="004C7546">
        <w:tc>
          <w:tcPr>
            <w:tcW w:w="2829" w:type="pct"/>
            <w:vAlign w:val="center"/>
          </w:tcPr>
          <w:p w14:paraId="104F56E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+cumcasep100k+per50up</w:t>
            </w:r>
          </w:p>
        </w:tc>
        <w:tc>
          <w:tcPr>
            <w:tcW w:w="1086" w:type="pct"/>
            <w:vAlign w:val="center"/>
          </w:tcPr>
          <w:p w14:paraId="4EC64159"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26C5D437" w14:textId="77777777" w:rsidR="00FF0690" w:rsidRPr="004D032E" w:rsidRDefault="00FF0690" w:rsidP="004C7546">
            <w:pPr>
              <w:pStyle w:val="Compact"/>
              <w:rPr>
                <w:sz w:val="20"/>
                <w:szCs w:val="20"/>
              </w:rPr>
            </w:pPr>
          </w:p>
        </w:tc>
      </w:tr>
      <w:tr w:rsidR="00FF0690" w14:paraId="3A9BC7F2" w14:textId="77777777" w:rsidTr="004C7546">
        <w:tc>
          <w:tcPr>
            <w:tcW w:w="2829" w:type="pct"/>
            <w:vAlign w:val="center"/>
          </w:tcPr>
          <w:p w14:paraId="3D4B0225" w14:textId="77777777" w:rsidR="00FF0690" w:rsidRPr="004D032E" w:rsidRDefault="00FF0690" w:rsidP="004C7546">
            <w:pPr>
              <w:pStyle w:val="Compact"/>
              <w:rPr>
                <w:sz w:val="20"/>
                <w:szCs w:val="20"/>
              </w:rPr>
            </w:pPr>
            <w:r w:rsidRPr="004D032E">
              <w:rPr>
                <w:sz w:val="20"/>
                <w:szCs w:val="20"/>
              </w:rPr>
              <w:t>BASE+cumcasep100k</w:t>
            </w:r>
          </w:p>
        </w:tc>
        <w:tc>
          <w:tcPr>
            <w:tcW w:w="1086" w:type="pct"/>
            <w:vAlign w:val="center"/>
          </w:tcPr>
          <w:p w14:paraId="019E1086"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27EC984F" w14:textId="77777777" w:rsidR="00FF0690" w:rsidRPr="004D032E" w:rsidRDefault="00FF0690" w:rsidP="004C7546">
            <w:pPr>
              <w:pStyle w:val="Compact"/>
              <w:rPr>
                <w:sz w:val="20"/>
                <w:szCs w:val="20"/>
              </w:rPr>
            </w:pPr>
          </w:p>
        </w:tc>
      </w:tr>
      <w:tr w:rsidR="00FF0690" w14:paraId="288403EC" w14:textId="77777777" w:rsidTr="004C7546">
        <w:tc>
          <w:tcPr>
            <w:tcW w:w="2829" w:type="pct"/>
            <w:vAlign w:val="center"/>
          </w:tcPr>
          <w:p w14:paraId="05526B9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w:t>
            </w:r>
          </w:p>
        </w:tc>
        <w:tc>
          <w:tcPr>
            <w:tcW w:w="1086" w:type="pct"/>
            <w:vAlign w:val="center"/>
          </w:tcPr>
          <w:p w14:paraId="45F550F9"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6F303C3E" w14:textId="77777777" w:rsidR="00FF0690" w:rsidRPr="004D032E" w:rsidRDefault="00FF0690" w:rsidP="004C7546">
            <w:pPr>
              <w:pStyle w:val="Compact"/>
              <w:rPr>
                <w:sz w:val="20"/>
                <w:szCs w:val="20"/>
              </w:rPr>
            </w:pPr>
          </w:p>
        </w:tc>
      </w:tr>
      <w:tr w:rsidR="00FF0690" w14:paraId="6D0AD176" w14:textId="77777777" w:rsidTr="004C7546">
        <w:tc>
          <w:tcPr>
            <w:tcW w:w="2829" w:type="pct"/>
            <w:vAlign w:val="center"/>
          </w:tcPr>
          <w:p w14:paraId="6B972FB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20DE45C"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09FE5A7E" w14:textId="77777777" w:rsidR="00FF0690" w:rsidRPr="004D032E" w:rsidRDefault="00FF0690" w:rsidP="004C7546">
            <w:pPr>
              <w:pStyle w:val="Compact"/>
              <w:rPr>
                <w:sz w:val="20"/>
                <w:szCs w:val="20"/>
              </w:rPr>
            </w:pPr>
            <w:r w:rsidRPr="004D032E">
              <w:rPr>
                <w:sz w:val="20"/>
                <w:szCs w:val="20"/>
              </w:rPr>
              <w:t>3.68 (3.01 - 6.42)</w:t>
            </w:r>
          </w:p>
        </w:tc>
        <w:tc>
          <w:tcPr>
            <w:tcW w:w="1086" w:type="pct"/>
            <w:vAlign w:val="center"/>
          </w:tcPr>
          <w:p w14:paraId="7DE248AB" w14:textId="77777777" w:rsidR="00FF0690" w:rsidRPr="004D032E" w:rsidRDefault="00FF0690" w:rsidP="004C7546">
            <w:pPr>
              <w:pStyle w:val="Compact"/>
              <w:rPr>
                <w:sz w:val="20"/>
                <w:szCs w:val="20"/>
              </w:rPr>
            </w:pPr>
          </w:p>
        </w:tc>
      </w:tr>
      <w:tr w:rsidR="00FF0690" w14:paraId="12D49C93" w14:textId="77777777" w:rsidTr="004C7546">
        <w:tc>
          <w:tcPr>
            <w:tcW w:w="2829" w:type="pct"/>
            <w:vAlign w:val="center"/>
          </w:tcPr>
          <w:p w14:paraId="53129A1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tc>
        <w:tc>
          <w:tcPr>
            <w:tcW w:w="1086" w:type="pct"/>
            <w:vAlign w:val="center"/>
          </w:tcPr>
          <w:p w14:paraId="0BAF73A7" w14:textId="77777777" w:rsidR="00FF0690" w:rsidRPr="004D032E" w:rsidRDefault="00FF0690" w:rsidP="004C7546">
            <w:pPr>
              <w:pStyle w:val="Compact"/>
              <w:rPr>
                <w:sz w:val="20"/>
                <w:szCs w:val="20"/>
              </w:rPr>
            </w:pPr>
            <w:r w:rsidRPr="004D032E">
              <w:rPr>
                <w:sz w:val="20"/>
                <w:szCs w:val="20"/>
              </w:rPr>
              <w:t>3.78 (3.01 - 6.96)</w:t>
            </w:r>
          </w:p>
        </w:tc>
        <w:tc>
          <w:tcPr>
            <w:tcW w:w="1086" w:type="pct"/>
            <w:vAlign w:val="center"/>
          </w:tcPr>
          <w:p w14:paraId="64F47FB8" w14:textId="77777777" w:rsidR="00FF0690" w:rsidRPr="004D032E" w:rsidRDefault="00FF0690" w:rsidP="004C7546">
            <w:pPr>
              <w:pStyle w:val="Compact"/>
              <w:rPr>
                <w:sz w:val="20"/>
                <w:szCs w:val="20"/>
              </w:rPr>
            </w:pPr>
          </w:p>
        </w:tc>
      </w:tr>
      <w:tr w:rsidR="00FF0690" w14:paraId="2F1DC480" w14:textId="77777777" w:rsidTr="004C7546">
        <w:tc>
          <w:tcPr>
            <w:tcW w:w="2829" w:type="pct"/>
            <w:vAlign w:val="center"/>
          </w:tcPr>
          <w:p w14:paraId="01876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+cumvaxp100k+per50up</w:t>
            </w:r>
          </w:p>
        </w:tc>
        <w:tc>
          <w:tcPr>
            <w:tcW w:w="1086" w:type="pct"/>
            <w:vAlign w:val="center"/>
          </w:tcPr>
          <w:p w14:paraId="42ADB578" w14:textId="77777777" w:rsidR="00FF0690" w:rsidRPr="004D032E" w:rsidRDefault="00FF0690" w:rsidP="004C7546">
            <w:pPr>
              <w:pStyle w:val="Compact"/>
              <w:rPr>
                <w:sz w:val="20"/>
                <w:szCs w:val="20"/>
              </w:rPr>
            </w:pPr>
            <w:r w:rsidRPr="004D032E">
              <w:rPr>
                <w:sz w:val="20"/>
                <w:szCs w:val="20"/>
              </w:rPr>
              <w:t>5.83 (2.91 - 18.66)</w:t>
            </w:r>
          </w:p>
        </w:tc>
        <w:tc>
          <w:tcPr>
            <w:tcW w:w="1086" w:type="pct"/>
            <w:vAlign w:val="center"/>
          </w:tcPr>
          <w:p w14:paraId="1D17A4E6" w14:textId="77777777" w:rsidR="00FF0690" w:rsidRPr="004D032E" w:rsidRDefault="00FF0690" w:rsidP="004C7546">
            <w:pPr>
              <w:pStyle w:val="Compact"/>
              <w:rPr>
                <w:sz w:val="20"/>
                <w:szCs w:val="20"/>
              </w:rPr>
            </w:pPr>
          </w:p>
        </w:tc>
      </w:tr>
      <w:tr w:rsidR="00FF0690" w14:paraId="1856E63E" w14:textId="77777777" w:rsidTr="004C7546">
        <w:tc>
          <w:tcPr>
            <w:tcW w:w="2829" w:type="pct"/>
            <w:vAlign w:val="center"/>
          </w:tcPr>
          <w:p w14:paraId="24083E2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+cumvaxp100k+testp100k+per50up</w:t>
            </w:r>
          </w:p>
        </w:tc>
        <w:tc>
          <w:tcPr>
            <w:tcW w:w="1086" w:type="pct"/>
            <w:vAlign w:val="center"/>
          </w:tcPr>
          <w:p w14:paraId="6B44A42C" w14:textId="77777777" w:rsidR="00FF0690" w:rsidRPr="004D032E" w:rsidRDefault="00FF0690" w:rsidP="004C7546">
            <w:pPr>
              <w:pStyle w:val="Compact"/>
              <w:rPr>
                <w:sz w:val="20"/>
                <w:szCs w:val="20"/>
              </w:rPr>
            </w:pPr>
            <w:r w:rsidRPr="004D032E">
              <w:rPr>
                <w:sz w:val="20"/>
                <w:szCs w:val="20"/>
              </w:rPr>
              <w:t>6.01 (2.92 - 18.94)</w:t>
            </w:r>
          </w:p>
        </w:tc>
        <w:tc>
          <w:tcPr>
            <w:tcW w:w="1086" w:type="pct"/>
            <w:vAlign w:val="center"/>
          </w:tcPr>
          <w:p w14:paraId="435B158F" w14:textId="77777777" w:rsidR="00FF0690" w:rsidRPr="004D032E" w:rsidRDefault="00FF0690" w:rsidP="004C7546">
            <w:pPr>
              <w:pStyle w:val="Compact"/>
              <w:rPr>
                <w:sz w:val="20"/>
                <w:szCs w:val="20"/>
              </w:rPr>
            </w:pPr>
          </w:p>
        </w:tc>
      </w:tr>
      <w:tr w:rsidR="00FF0690" w14:paraId="03D50712" w14:textId="77777777" w:rsidTr="004C7546">
        <w:tc>
          <w:tcPr>
            <w:tcW w:w="2829" w:type="pct"/>
            <w:vAlign w:val="center"/>
          </w:tcPr>
          <w:p w14:paraId="58CBA37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w:t>
            </w:r>
          </w:p>
        </w:tc>
        <w:tc>
          <w:tcPr>
            <w:tcW w:w="1086" w:type="pct"/>
            <w:vAlign w:val="center"/>
          </w:tcPr>
          <w:p w14:paraId="174A6532" w14:textId="77777777" w:rsidR="00FF0690" w:rsidRPr="004D032E" w:rsidRDefault="00FF0690" w:rsidP="004C7546">
            <w:pPr>
              <w:pStyle w:val="Compact"/>
              <w:rPr>
                <w:sz w:val="20"/>
                <w:szCs w:val="20"/>
              </w:rPr>
            </w:pPr>
            <w:r w:rsidRPr="004D032E">
              <w:rPr>
                <w:sz w:val="20"/>
                <w:szCs w:val="20"/>
              </w:rPr>
              <w:t>7.06 (2.95 - 24.46)</w:t>
            </w:r>
          </w:p>
        </w:tc>
        <w:tc>
          <w:tcPr>
            <w:tcW w:w="1086" w:type="pct"/>
            <w:vAlign w:val="center"/>
          </w:tcPr>
          <w:p w14:paraId="1C18F0A7" w14:textId="77777777" w:rsidR="00FF0690" w:rsidRPr="004D032E" w:rsidRDefault="00FF0690" w:rsidP="004C7546">
            <w:pPr>
              <w:pStyle w:val="Compact"/>
              <w:rPr>
                <w:sz w:val="20"/>
                <w:szCs w:val="20"/>
              </w:rPr>
            </w:pPr>
          </w:p>
        </w:tc>
      </w:tr>
      <w:tr w:rsidR="00FF0690" w14:paraId="39011657" w14:textId="77777777" w:rsidTr="004C7546">
        <w:tc>
          <w:tcPr>
            <w:tcW w:w="2829" w:type="pct"/>
            <w:vAlign w:val="center"/>
          </w:tcPr>
          <w:p w14:paraId="1E7CED3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w:t>
            </w:r>
          </w:p>
        </w:tc>
        <w:tc>
          <w:tcPr>
            <w:tcW w:w="1086" w:type="pct"/>
            <w:vAlign w:val="center"/>
          </w:tcPr>
          <w:p w14:paraId="39A45EB9" w14:textId="77777777" w:rsidR="00FF0690" w:rsidRPr="004D032E" w:rsidRDefault="00FF0690" w:rsidP="004C7546">
            <w:pPr>
              <w:pStyle w:val="Compact"/>
              <w:rPr>
                <w:sz w:val="20"/>
                <w:szCs w:val="20"/>
              </w:rPr>
            </w:pPr>
            <w:r w:rsidRPr="004D032E">
              <w:rPr>
                <w:sz w:val="20"/>
                <w:szCs w:val="20"/>
              </w:rPr>
              <w:t>7.18 (2.95 - 24.03)</w:t>
            </w:r>
          </w:p>
        </w:tc>
        <w:tc>
          <w:tcPr>
            <w:tcW w:w="1086" w:type="pct"/>
            <w:vAlign w:val="center"/>
          </w:tcPr>
          <w:p w14:paraId="71D2A497" w14:textId="77777777" w:rsidR="00FF0690" w:rsidRPr="004D032E" w:rsidRDefault="00FF0690" w:rsidP="004C7546">
            <w:pPr>
              <w:pStyle w:val="Compact"/>
              <w:rPr>
                <w:sz w:val="20"/>
                <w:szCs w:val="20"/>
              </w:rPr>
            </w:pPr>
          </w:p>
        </w:tc>
      </w:tr>
    </w:tbl>
    <w:p w14:paraId="719432F3" w14:textId="77777777" w:rsidR="00CC2EB2" w:rsidRDefault="00CC2EB2" w:rsidP="0047165F">
      <w:pPr>
        <w:rPr>
          <w:sz w:val="20"/>
          <w:szCs w:val="20"/>
        </w:rPr>
      </w:pPr>
    </w:p>
    <w:p w14:paraId="42141019" w14:textId="77777777" w:rsidR="0047165F" w:rsidRDefault="0047165F" w:rsidP="00C66730"/>
    <w:p w14:paraId="2B331D8F" w14:textId="478E3054" w:rsidR="00E56FDC" w:rsidRDefault="00E56FDC" w:rsidP="00C66730">
      <w:r w:rsidRPr="00CF5071">
        <w:rPr>
          <w:b/>
          <w:bCs/>
          <w:sz w:val="20"/>
          <w:szCs w:val="20"/>
        </w:rPr>
        <w:t>Table S</w:t>
      </w:r>
      <w:r>
        <w:rPr>
          <w:b/>
          <w:bCs/>
          <w:sz w:val="20"/>
          <w:szCs w:val="20"/>
        </w:rPr>
        <w:t>4</w:t>
      </w:r>
      <w:r w:rsidRPr="00CF5071">
        <w:rPr>
          <w:b/>
          <w:bCs/>
          <w:sz w:val="20"/>
          <w:szCs w:val="20"/>
        </w:rPr>
        <w:t>:</w:t>
      </w:r>
      <w:r w:rsidRPr="00CF5071">
        <w:rPr>
          <w:sz w:val="20"/>
          <w:szCs w:val="20"/>
        </w:rPr>
        <w:t xml:space="preserve"> </w:t>
      </w:r>
      <w:r w:rsidR="00CD5FEB">
        <w:rPr>
          <w:sz w:val="20"/>
          <w:szCs w:val="20"/>
        </w:rPr>
        <w:t>Model formulas, performance across 10 rounds of 10-fold cross validation, and resulting deaths averted estimates for the top ten best performing models</w:t>
      </w:r>
      <w:r w:rsidR="00CD5FEB" w:rsidRPr="00CF5071">
        <w:rPr>
          <w:sz w:val="20"/>
          <w:szCs w:val="20"/>
        </w:rPr>
        <w:t>.</w:t>
      </w:r>
      <w:r w:rsidR="00CD5FEB">
        <w:rPr>
          <w:sz w:val="20"/>
          <w:szCs w:val="20"/>
        </w:rPr>
        <w:t xml:space="preserve"> The table is ordered by descending performance in terms of the mean </w:t>
      </w:r>
      <w:proofErr w:type="spellStart"/>
      <w:r w:rsidR="00CD5FEB">
        <w:rPr>
          <w:sz w:val="20"/>
          <w:szCs w:val="20"/>
        </w:rPr>
        <w:t>mean</w:t>
      </w:r>
      <w:proofErr w:type="spellEnd"/>
      <w:r w:rsidR="00CD5FEB">
        <w:rPr>
          <w:sz w:val="20"/>
          <w:szCs w:val="20"/>
        </w:rPr>
        <w:t xml:space="preserve"> squared error</w:t>
      </w:r>
      <w:r w:rsidR="00CD5FEB" w:rsidRPr="00EC475C">
        <w:rPr>
          <w:sz w:val="20"/>
          <w:szCs w:val="20"/>
        </w:rPr>
        <w:t xml:space="preserve"> </w:t>
      </w:r>
      <w:r w:rsidR="00CD5FEB">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CD5FEB">
        <w:rPr>
          <w:sz w:val="20"/>
          <w:szCs w:val="20"/>
        </w:rPr>
        <w:t>mean</w:t>
      </w:r>
      <w:proofErr w:type="spellEnd"/>
      <w:proofErr w:type="gramEnd"/>
      <w:r w:rsidR="00CD5FEB">
        <w:rPr>
          <w:sz w:val="20"/>
          <w:szCs w:val="20"/>
        </w:rPr>
        <w:t xml:space="preserve"> squared error was used to estimate counterfactual deaths in the absence of the equity allocation and resulting deaths averted reported in the main analysis. The next nine top models were also used to estimate </w:t>
      </w:r>
      <w:r w:rsidR="00A6496A">
        <w:rPr>
          <w:sz w:val="20"/>
          <w:szCs w:val="20"/>
        </w:rPr>
        <w:t>deaths</w:t>
      </w:r>
      <w:r w:rsidR="00CD5FEB">
        <w:rPr>
          <w:sz w:val="20"/>
          <w:szCs w:val="20"/>
        </w:rPr>
        <w:t xml:space="preserve"> averted shown in column three as a sensitivity analysis to ensure </w:t>
      </w:r>
      <w:r w:rsidR="00A6496A">
        <w:rPr>
          <w:sz w:val="20"/>
          <w:szCs w:val="20"/>
        </w:rPr>
        <w:t>deaths</w:t>
      </w:r>
      <w:r w:rsidR="00CD5FEB">
        <w:rPr>
          <w:sz w:val="20"/>
          <w:szCs w:val="20"/>
        </w:rPr>
        <w:t xml:space="preserve"> averted estimates were not unique to the top model. Column three shows the median </w:t>
      </w:r>
      <w:r w:rsidR="00A6496A">
        <w:rPr>
          <w:sz w:val="20"/>
          <w:szCs w:val="20"/>
        </w:rPr>
        <w:t>deaths</w:t>
      </w:r>
      <w:r w:rsidR="00CD5FEB">
        <w:rPr>
          <w:sz w:val="20"/>
          <w:szCs w:val="20"/>
        </w:rPr>
        <w:t xml:space="preserve"> averted and 95% confidence interval from 100 bootstrapped samples as described in the main text.</w:t>
      </w:r>
    </w:p>
    <w:p w14:paraId="52CE5F71" w14:textId="77777777" w:rsidR="00E56FDC" w:rsidRDefault="00E56FDC" w:rsidP="00C66730"/>
    <w:tbl>
      <w:tblPr>
        <w:tblStyle w:val="Table"/>
        <w:tblW w:w="5000" w:type="pct"/>
        <w:tblLook w:val="0020" w:firstRow="1" w:lastRow="0" w:firstColumn="0" w:lastColumn="0" w:noHBand="0" w:noVBand="0"/>
      </w:tblPr>
      <w:tblGrid>
        <w:gridCol w:w="5351"/>
        <w:gridCol w:w="2205"/>
        <w:gridCol w:w="1804"/>
      </w:tblGrid>
      <w:tr w:rsidR="00F264AD" w:rsidRPr="002D6D66" w14:paraId="0103403C" w14:textId="77777777" w:rsidTr="00FF50CA">
        <w:trPr>
          <w:cnfStyle w:val="100000000000" w:firstRow="1" w:lastRow="0" w:firstColumn="0" w:lastColumn="0" w:oddVBand="0" w:evenVBand="0" w:oddHBand="0" w:evenHBand="0" w:firstRowFirstColumn="0" w:firstRowLastColumn="0" w:lastRowFirstColumn="0" w:lastRowLastColumn="0"/>
          <w:tblHeader/>
        </w:trPr>
        <w:tc>
          <w:tcPr>
            <w:tcW w:w="2644" w:type="pct"/>
          </w:tcPr>
          <w:p w14:paraId="2720942E" w14:textId="77777777" w:rsidR="00F264AD" w:rsidRPr="002D6D66" w:rsidRDefault="00F264AD" w:rsidP="00542E04">
            <w:pPr>
              <w:pStyle w:val="Compact"/>
              <w:rPr>
                <w:b/>
                <w:bCs/>
                <w:sz w:val="22"/>
                <w:szCs w:val="22"/>
              </w:rPr>
            </w:pPr>
            <w:r w:rsidRPr="002D6D66">
              <w:rPr>
                <w:b/>
                <w:bCs/>
                <w:sz w:val="22"/>
                <w:szCs w:val="22"/>
              </w:rPr>
              <w:t>Model Terms</w:t>
            </w:r>
          </w:p>
        </w:tc>
        <w:tc>
          <w:tcPr>
            <w:tcW w:w="1285" w:type="pct"/>
          </w:tcPr>
          <w:p w14:paraId="27E173B7" w14:textId="77777777" w:rsidR="00F264AD" w:rsidRPr="002D6D66" w:rsidRDefault="00F264AD" w:rsidP="00542E04">
            <w:pPr>
              <w:pStyle w:val="Compact"/>
              <w:rPr>
                <w:b/>
                <w:bCs/>
                <w:sz w:val="22"/>
                <w:szCs w:val="22"/>
              </w:rPr>
            </w:pPr>
            <w:r w:rsidRPr="002D6D66">
              <w:rPr>
                <w:b/>
                <w:bCs/>
                <w:sz w:val="22"/>
                <w:szCs w:val="22"/>
              </w:rPr>
              <w:t>Mortalities MSE (range)</w:t>
            </w:r>
          </w:p>
        </w:tc>
        <w:tc>
          <w:tcPr>
            <w:tcW w:w="1071" w:type="pct"/>
          </w:tcPr>
          <w:p w14:paraId="0F210681" w14:textId="77777777" w:rsidR="00F264AD" w:rsidRPr="002D6D66" w:rsidRDefault="00F264AD" w:rsidP="00542E04">
            <w:pPr>
              <w:pStyle w:val="Compact"/>
              <w:rPr>
                <w:b/>
                <w:bCs/>
                <w:sz w:val="22"/>
                <w:szCs w:val="22"/>
              </w:rPr>
            </w:pPr>
            <w:r w:rsidRPr="002D6D66">
              <w:rPr>
                <w:b/>
                <w:bCs/>
                <w:sz w:val="22"/>
                <w:szCs w:val="22"/>
              </w:rPr>
              <w:t>Estimated Deaths Avoided* (95%CI)</w:t>
            </w:r>
          </w:p>
        </w:tc>
      </w:tr>
      <w:tr w:rsidR="002D6D66" w14:paraId="49DD4563" w14:textId="77777777" w:rsidTr="00FF50CA">
        <w:tc>
          <w:tcPr>
            <w:tcW w:w="2644" w:type="pct"/>
          </w:tcPr>
          <w:p w14:paraId="74C3E834"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+cumvaxp100k+per50up</w:t>
            </w:r>
          </w:p>
        </w:tc>
        <w:tc>
          <w:tcPr>
            <w:tcW w:w="1285" w:type="pct"/>
          </w:tcPr>
          <w:p w14:paraId="1AB00BC1" w14:textId="77777777" w:rsidR="002D6D66" w:rsidRPr="00371910" w:rsidRDefault="002D6D66" w:rsidP="002D6D66">
            <w:pPr>
              <w:pStyle w:val="Compact"/>
              <w:rPr>
                <w:sz w:val="20"/>
                <w:szCs w:val="20"/>
              </w:rPr>
            </w:pPr>
            <w:r w:rsidRPr="00371910">
              <w:rPr>
                <w:sz w:val="20"/>
                <w:szCs w:val="20"/>
              </w:rPr>
              <w:t>0.312 (0.31 - 0.32)</w:t>
            </w:r>
          </w:p>
        </w:tc>
        <w:tc>
          <w:tcPr>
            <w:tcW w:w="1071" w:type="pct"/>
          </w:tcPr>
          <w:p w14:paraId="53D4D21E" w14:textId="77777777" w:rsidR="002D6D66" w:rsidRDefault="002D6D66" w:rsidP="002D6D66">
            <w:pPr>
              <w:pStyle w:val="Compact"/>
              <w:rPr>
                <w:sz w:val="20"/>
                <w:szCs w:val="20"/>
              </w:rPr>
            </w:pPr>
            <w:r w:rsidRPr="00A45D1A">
              <w:rPr>
                <w:sz w:val="20"/>
                <w:szCs w:val="20"/>
              </w:rPr>
              <w:t xml:space="preserve">679 </w:t>
            </w:r>
          </w:p>
          <w:p w14:paraId="6EBFA9AD" w14:textId="268DB386" w:rsidR="002D6D66" w:rsidRPr="00371910" w:rsidRDefault="002D6D66" w:rsidP="002D6D66">
            <w:pPr>
              <w:pStyle w:val="Compact"/>
              <w:rPr>
                <w:sz w:val="20"/>
                <w:szCs w:val="20"/>
              </w:rPr>
            </w:pPr>
            <w:r w:rsidRPr="00A45D1A">
              <w:rPr>
                <w:sz w:val="20"/>
                <w:szCs w:val="20"/>
              </w:rPr>
              <w:t xml:space="preserve">(-32 </w:t>
            </w:r>
            <w:r>
              <w:rPr>
                <w:sz w:val="20"/>
                <w:szCs w:val="20"/>
              </w:rPr>
              <w:t>–</w:t>
            </w:r>
            <w:r w:rsidRPr="00A45D1A">
              <w:rPr>
                <w:sz w:val="20"/>
                <w:szCs w:val="20"/>
              </w:rPr>
              <w:t xml:space="preserve"> 1451)</w:t>
            </w:r>
          </w:p>
        </w:tc>
      </w:tr>
      <w:tr w:rsidR="002D6D66" w14:paraId="2091F95C" w14:textId="77777777" w:rsidTr="00FF50CA">
        <w:tc>
          <w:tcPr>
            <w:tcW w:w="2644" w:type="pct"/>
          </w:tcPr>
          <w:p w14:paraId="48BBC466"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+cumvaxp100k+testp100k+per50up</w:t>
            </w:r>
          </w:p>
        </w:tc>
        <w:tc>
          <w:tcPr>
            <w:tcW w:w="1285" w:type="pct"/>
          </w:tcPr>
          <w:p w14:paraId="666A6A4C" w14:textId="77777777" w:rsidR="002D6D66" w:rsidRPr="00371910" w:rsidRDefault="002D6D66" w:rsidP="002D6D66">
            <w:pPr>
              <w:pStyle w:val="Compact"/>
              <w:rPr>
                <w:sz w:val="20"/>
                <w:szCs w:val="20"/>
              </w:rPr>
            </w:pPr>
            <w:r w:rsidRPr="00371910">
              <w:rPr>
                <w:sz w:val="20"/>
                <w:szCs w:val="20"/>
              </w:rPr>
              <w:t>0.314 (0.312 - 0.322)</w:t>
            </w:r>
          </w:p>
        </w:tc>
        <w:tc>
          <w:tcPr>
            <w:tcW w:w="1071" w:type="pct"/>
          </w:tcPr>
          <w:p w14:paraId="45CE83C7" w14:textId="77777777" w:rsidR="002D6D66" w:rsidRDefault="002D6D66" w:rsidP="002D6D66">
            <w:pPr>
              <w:pStyle w:val="Compact"/>
              <w:rPr>
                <w:sz w:val="20"/>
                <w:szCs w:val="20"/>
              </w:rPr>
            </w:pPr>
            <w:r w:rsidRPr="00A45D1A">
              <w:rPr>
                <w:sz w:val="20"/>
                <w:szCs w:val="20"/>
              </w:rPr>
              <w:t xml:space="preserve">770 </w:t>
            </w:r>
          </w:p>
          <w:p w14:paraId="1B7CDF5F" w14:textId="1EA23EB7" w:rsidR="002D6D66" w:rsidRPr="00371910" w:rsidRDefault="002D6D66" w:rsidP="002D6D66">
            <w:pPr>
              <w:pStyle w:val="Compact"/>
              <w:rPr>
                <w:sz w:val="20"/>
                <w:szCs w:val="20"/>
              </w:rPr>
            </w:pPr>
            <w:r w:rsidRPr="00A45D1A">
              <w:rPr>
                <w:sz w:val="20"/>
                <w:szCs w:val="20"/>
              </w:rPr>
              <w:t xml:space="preserve">(160 </w:t>
            </w:r>
            <w:r>
              <w:rPr>
                <w:sz w:val="20"/>
                <w:szCs w:val="20"/>
              </w:rPr>
              <w:t>–</w:t>
            </w:r>
            <w:r w:rsidRPr="00A45D1A">
              <w:rPr>
                <w:sz w:val="20"/>
                <w:szCs w:val="20"/>
              </w:rPr>
              <w:t xml:space="preserve"> 1694)</w:t>
            </w:r>
          </w:p>
        </w:tc>
      </w:tr>
      <w:tr w:rsidR="002D6D66" w14:paraId="39C6FC9E" w14:textId="77777777" w:rsidTr="00FF50CA">
        <w:tc>
          <w:tcPr>
            <w:tcW w:w="2644" w:type="pct"/>
          </w:tcPr>
          <w:p w14:paraId="1B17FA9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+per50up</w:t>
            </w:r>
          </w:p>
        </w:tc>
        <w:tc>
          <w:tcPr>
            <w:tcW w:w="1285" w:type="pct"/>
          </w:tcPr>
          <w:p w14:paraId="01F5473B" w14:textId="77777777" w:rsidR="002D6D66" w:rsidRPr="00371910" w:rsidRDefault="002D6D66" w:rsidP="002D6D66">
            <w:pPr>
              <w:pStyle w:val="Compact"/>
              <w:rPr>
                <w:sz w:val="20"/>
                <w:szCs w:val="20"/>
              </w:rPr>
            </w:pPr>
            <w:r w:rsidRPr="00371910">
              <w:rPr>
                <w:sz w:val="20"/>
                <w:szCs w:val="20"/>
              </w:rPr>
              <w:t>0.317 (0.314 - 0.327)</w:t>
            </w:r>
          </w:p>
        </w:tc>
        <w:tc>
          <w:tcPr>
            <w:tcW w:w="1071" w:type="pct"/>
          </w:tcPr>
          <w:p w14:paraId="04EEF506" w14:textId="77777777" w:rsidR="002D6D66" w:rsidRDefault="002D6D66" w:rsidP="002D6D66">
            <w:pPr>
              <w:pStyle w:val="Compact"/>
              <w:rPr>
                <w:sz w:val="20"/>
                <w:szCs w:val="20"/>
              </w:rPr>
            </w:pPr>
            <w:r w:rsidRPr="00A45D1A">
              <w:rPr>
                <w:sz w:val="20"/>
                <w:szCs w:val="20"/>
              </w:rPr>
              <w:t>-354</w:t>
            </w:r>
          </w:p>
          <w:p w14:paraId="39BA43C7" w14:textId="5E3A9F4D" w:rsidR="002D6D66" w:rsidRPr="00371910" w:rsidRDefault="002D6D66" w:rsidP="002D6D66">
            <w:pPr>
              <w:pStyle w:val="Compact"/>
              <w:rPr>
                <w:sz w:val="20"/>
                <w:szCs w:val="20"/>
              </w:rPr>
            </w:pPr>
            <w:r w:rsidRPr="00A45D1A">
              <w:rPr>
                <w:sz w:val="20"/>
                <w:szCs w:val="20"/>
              </w:rPr>
              <w:t xml:space="preserve">(-978 </w:t>
            </w:r>
            <w:r>
              <w:rPr>
                <w:sz w:val="20"/>
                <w:szCs w:val="20"/>
              </w:rPr>
              <w:t>–</w:t>
            </w:r>
            <w:r w:rsidRPr="00A45D1A">
              <w:rPr>
                <w:sz w:val="20"/>
                <w:szCs w:val="20"/>
              </w:rPr>
              <w:t xml:space="preserve"> 280)</w:t>
            </w:r>
          </w:p>
        </w:tc>
      </w:tr>
      <w:tr w:rsidR="002D6D66" w14:paraId="372B889A" w14:textId="77777777" w:rsidTr="00FF50CA">
        <w:tc>
          <w:tcPr>
            <w:tcW w:w="2644" w:type="pct"/>
          </w:tcPr>
          <w:p w14:paraId="21D6034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w:t>
            </w:r>
          </w:p>
        </w:tc>
        <w:tc>
          <w:tcPr>
            <w:tcW w:w="1285" w:type="pct"/>
          </w:tcPr>
          <w:p w14:paraId="2A489861" w14:textId="77777777" w:rsidR="002D6D66" w:rsidRPr="00371910" w:rsidRDefault="002D6D66" w:rsidP="002D6D66">
            <w:pPr>
              <w:pStyle w:val="Compact"/>
              <w:rPr>
                <w:sz w:val="20"/>
                <w:szCs w:val="20"/>
              </w:rPr>
            </w:pPr>
            <w:r w:rsidRPr="00371910">
              <w:rPr>
                <w:sz w:val="20"/>
                <w:szCs w:val="20"/>
              </w:rPr>
              <w:t>0.317 (0.312 - 0.332)</w:t>
            </w:r>
          </w:p>
        </w:tc>
        <w:tc>
          <w:tcPr>
            <w:tcW w:w="1071" w:type="pct"/>
          </w:tcPr>
          <w:p w14:paraId="766BA800" w14:textId="77777777" w:rsidR="002D6D66" w:rsidRDefault="002D6D66" w:rsidP="002D6D66">
            <w:pPr>
              <w:pStyle w:val="Compact"/>
              <w:rPr>
                <w:sz w:val="20"/>
                <w:szCs w:val="20"/>
              </w:rPr>
            </w:pPr>
            <w:r w:rsidRPr="00A45D1A">
              <w:rPr>
                <w:sz w:val="20"/>
                <w:szCs w:val="20"/>
              </w:rPr>
              <w:t xml:space="preserve">492 </w:t>
            </w:r>
          </w:p>
          <w:p w14:paraId="3E0A960F" w14:textId="1B18ED75" w:rsidR="002D6D66" w:rsidRPr="00371910" w:rsidRDefault="002D6D66" w:rsidP="002D6D66">
            <w:pPr>
              <w:pStyle w:val="Compact"/>
              <w:rPr>
                <w:sz w:val="20"/>
                <w:szCs w:val="20"/>
              </w:rPr>
            </w:pPr>
            <w:r w:rsidRPr="00A45D1A">
              <w:rPr>
                <w:sz w:val="20"/>
                <w:szCs w:val="20"/>
              </w:rPr>
              <w:lastRenderedPageBreak/>
              <w:t xml:space="preserve">(-204 </w:t>
            </w:r>
            <w:r>
              <w:rPr>
                <w:sz w:val="20"/>
                <w:szCs w:val="20"/>
              </w:rPr>
              <w:t>–</w:t>
            </w:r>
            <w:r w:rsidRPr="00A45D1A">
              <w:rPr>
                <w:sz w:val="20"/>
                <w:szCs w:val="20"/>
              </w:rPr>
              <w:t xml:space="preserve"> 1354)</w:t>
            </w:r>
          </w:p>
        </w:tc>
      </w:tr>
      <w:tr w:rsidR="002D6D66" w14:paraId="1FE4B3CA" w14:textId="77777777" w:rsidTr="00D94F94">
        <w:tc>
          <w:tcPr>
            <w:tcW w:w="2644" w:type="pct"/>
            <w:vAlign w:val="center"/>
          </w:tcPr>
          <w:p w14:paraId="1C245CE8" w14:textId="77777777" w:rsidR="002D6D66" w:rsidRPr="00371910" w:rsidRDefault="002D6D66" w:rsidP="00D94F94">
            <w:pPr>
              <w:pStyle w:val="Compact"/>
              <w:rPr>
                <w:sz w:val="20"/>
                <w:szCs w:val="20"/>
              </w:rPr>
            </w:pPr>
            <w:r w:rsidRPr="00371910">
              <w:rPr>
                <w:sz w:val="20"/>
                <w:szCs w:val="20"/>
              </w:rPr>
              <w:lastRenderedPageBreak/>
              <w:t>BASE+</w:t>
            </w:r>
            <w:proofErr w:type="gramStart"/>
            <w:r w:rsidRPr="00371910">
              <w:rPr>
                <w:sz w:val="20"/>
                <w:szCs w:val="20"/>
              </w:rPr>
              <w:t>int:county</w:t>
            </w:r>
            <w:proofErr w:type="gramEnd"/>
            <w:r w:rsidRPr="00371910">
              <w:rPr>
                <w:sz w:val="20"/>
                <w:szCs w:val="20"/>
              </w:rPr>
              <w:t>+cumcasep100k+cumvaxp100k+per50up</w:t>
            </w:r>
          </w:p>
        </w:tc>
        <w:tc>
          <w:tcPr>
            <w:tcW w:w="1285" w:type="pct"/>
            <w:vAlign w:val="center"/>
          </w:tcPr>
          <w:p w14:paraId="3A0CE568" w14:textId="77777777" w:rsidR="002D6D66" w:rsidRPr="00371910" w:rsidRDefault="002D6D66" w:rsidP="00D94F94">
            <w:pPr>
              <w:pStyle w:val="Compact"/>
              <w:rPr>
                <w:sz w:val="20"/>
                <w:szCs w:val="20"/>
              </w:rPr>
            </w:pPr>
            <w:r w:rsidRPr="00371910">
              <w:rPr>
                <w:sz w:val="20"/>
                <w:szCs w:val="20"/>
              </w:rPr>
              <w:t>0.318 (0.313 - 0.327)</w:t>
            </w:r>
          </w:p>
        </w:tc>
        <w:tc>
          <w:tcPr>
            <w:tcW w:w="1071" w:type="pct"/>
            <w:vAlign w:val="center"/>
          </w:tcPr>
          <w:p w14:paraId="722A7679" w14:textId="77777777" w:rsidR="002D6D66" w:rsidRDefault="002D6D66" w:rsidP="00D94F94">
            <w:pPr>
              <w:pStyle w:val="Compact"/>
              <w:rPr>
                <w:sz w:val="20"/>
                <w:szCs w:val="20"/>
              </w:rPr>
            </w:pPr>
            <w:r w:rsidRPr="00A45D1A">
              <w:rPr>
                <w:sz w:val="20"/>
                <w:szCs w:val="20"/>
              </w:rPr>
              <w:t xml:space="preserve">962 </w:t>
            </w:r>
          </w:p>
          <w:p w14:paraId="1BC9984E" w14:textId="62100002" w:rsidR="002D6D66" w:rsidRPr="00371910" w:rsidRDefault="002D6D66" w:rsidP="00D94F94">
            <w:pPr>
              <w:pStyle w:val="Compact"/>
              <w:rPr>
                <w:sz w:val="20"/>
                <w:szCs w:val="20"/>
              </w:rPr>
            </w:pPr>
            <w:r w:rsidRPr="00A45D1A">
              <w:rPr>
                <w:sz w:val="20"/>
                <w:szCs w:val="20"/>
              </w:rPr>
              <w:t xml:space="preserve">(187 </w:t>
            </w:r>
            <w:r>
              <w:rPr>
                <w:sz w:val="20"/>
                <w:szCs w:val="20"/>
              </w:rPr>
              <w:t>–</w:t>
            </w:r>
            <w:r w:rsidRPr="00A45D1A">
              <w:rPr>
                <w:sz w:val="20"/>
                <w:szCs w:val="20"/>
              </w:rPr>
              <w:t xml:space="preserve"> 1718)</w:t>
            </w:r>
          </w:p>
        </w:tc>
      </w:tr>
      <w:tr w:rsidR="002D6D66" w14:paraId="4FB56997" w14:textId="77777777" w:rsidTr="00D94F94">
        <w:tc>
          <w:tcPr>
            <w:tcW w:w="2644" w:type="pct"/>
            <w:vAlign w:val="center"/>
          </w:tcPr>
          <w:p w14:paraId="45E93F94"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p w14:paraId="23D222DA" w14:textId="1ADDB158" w:rsidR="002D6D66" w:rsidRPr="00371910" w:rsidRDefault="002D6D66" w:rsidP="00D94F94">
            <w:pPr>
              <w:pStyle w:val="Compact"/>
              <w:rPr>
                <w:sz w:val="20"/>
                <w:szCs w:val="20"/>
              </w:rPr>
            </w:pPr>
            <w:r w:rsidRPr="00371910">
              <w:rPr>
                <w:sz w:val="20"/>
                <w:szCs w:val="20"/>
              </w:rPr>
              <w:t>testp100k+per50up</w:t>
            </w:r>
          </w:p>
        </w:tc>
        <w:tc>
          <w:tcPr>
            <w:tcW w:w="1285" w:type="pct"/>
            <w:vAlign w:val="center"/>
          </w:tcPr>
          <w:p w14:paraId="4F8FD033" w14:textId="77777777" w:rsidR="002D6D66" w:rsidRPr="00371910" w:rsidRDefault="002D6D66" w:rsidP="00D94F94">
            <w:pPr>
              <w:pStyle w:val="Compact"/>
              <w:rPr>
                <w:sz w:val="20"/>
                <w:szCs w:val="20"/>
              </w:rPr>
            </w:pPr>
            <w:r w:rsidRPr="00371910">
              <w:rPr>
                <w:sz w:val="20"/>
                <w:szCs w:val="20"/>
              </w:rPr>
              <w:t>0.319 (0.315 - 0.329)</w:t>
            </w:r>
          </w:p>
        </w:tc>
        <w:tc>
          <w:tcPr>
            <w:tcW w:w="1071" w:type="pct"/>
            <w:vAlign w:val="center"/>
          </w:tcPr>
          <w:p w14:paraId="338FFE28" w14:textId="77777777" w:rsidR="002D6D66" w:rsidRDefault="002D6D66" w:rsidP="00D94F94">
            <w:pPr>
              <w:pStyle w:val="Compact"/>
              <w:rPr>
                <w:sz w:val="20"/>
                <w:szCs w:val="20"/>
              </w:rPr>
            </w:pPr>
            <w:r w:rsidRPr="00A45D1A">
              <w:rPr>
                <w:sz w:val="20"/>
                <w:szCs w:val="20"/>
              </w:rPr>
              <w:t xml:space="preserve">969 </w:t>
            </w:r>
          </w:p>
          <w:p w14:paraId="5B33078C" w14:textId="36160DE3" w:rsidR="002D6D66" w:rsidRPr="00371910" w:rsidRDefault="002D6D66" w:rsidP="00D94F94">
            <w:pPr>
              <w:pStyle w:val="Compact"/>
              <w:rPr>
                <w:sz w:val="20"/>
                <w:szCs w:val="20"/>
              </w:rPr>
            </w:pPr>
            <w:r w:rsidRPr="00A45D1A">
              <w:rPr>
                <w:sz w:val="20"/>
                <w:szCs w:val="20"/>
              </w:rPr>
              <w:t xml:space="preserve">(212 </w:t>
            </w:r>
            <w:r>
              <w:rPr>
                <w:sz w:val="20"/>
                <w:szCs w:val="20"/>
              </w:rPr>
              <w:t>–</w:t>
            </w:r>
            <w:r w:rsidRPr="00A45D1A">
              <w:rPr>
                <w:sz w:val="20"/>
                <w:szCs w:val="20"/>
              </w:rPr>
              <w:t xml:space="preserve"> 1824)</w:t>
            </w:r>
          </w:p>
        </w:tc>
      </w:tr>
      <w:tr w:rsidR="002D6D66" w14:paraId="2FBA616A" w14:textId="77777777" w:rsidTr="00D94F94">
        <w:tc>
          <w:tcPr>
            <w:tcW w:w="2644" w:type="pct"/>
            <w:vAlign w:val="center"/>
          </w:tcPr>
          <w:p w14:paraId="7DA096A0"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+testp100k+per50up</w:t>
            </w:r>
          </w:p>
        </w:tc>
        <w:tc>
          <w:tcPr>
            <w:tcW w:w="1285" w:type="pct"/>
            <w:vAlign w:val="center"/>
          </w:tcPr>
          <w:p w14:paraId="14BF70FD" w14:textId="77777777" w:rsidR="002D6D66" w:rsidRPr="00371910" w:rsidRDefault="002D6D66" w:rsidP="00D94F94">
            <w:pPr>
              <w:pStyle w:val="Compact"/>
              <w:rPr>
                <w:sz w:val="20"/>
                <w:szCs w:val="20"/>
              </w:rPr>
            </w:pPr>
            <w:r w:rsidRPr="00371910">
              <w:rPr>
                <w:sz w:val="20"/>
                <w:szCs w:val="20"/>
              </w:rPr>
              <w:t>0.319 (0.317 - 0.329)</w:t>
            </w:r>
          </w:p>
        </w:tc>
        <w:tc>
          <w:tcPr>
            <w:tcW w:w="1071" w:type="pct"/>
            <w:vAlign w:val="center"/>
          </w:tcPr>
          <w:p w14:paraId="60FC8884" w14:textId="77777777" w:rsidR="002D6D66" w:rsidRDefault="002D6D66" w:rsidP="00D94F94">
            <w:pPr>
              <w:pStyle w:val="Compact"/>
              <w:rPr>
                <w:sz w:val="20"/>
                <w:szCs w:val="20"/>
              </w:rPr>
            </w:pPr>
            <w:r w:rsidRPr="00A45D1A">
              <w:rPr>
                <w:sz w:val="20"/>
                <w:szCs w:val="20"/>
              </w:rPr>
              <w:t xml:space="preserve">-298 </w:t>
            </w:r>
          </w:p>
          <w:p w14:paraId="0F5E4CF1" w14:textId="530E1ED9" w:rsidR="002D6D66" w:rsidRPr="00371910" w:rsidRDefault="002D6D66" w:rsidP="00D94F94">
            <w:pPr>
              <w:pStyle w:val="Compact"/>
              <w:rPr>
                <w:sz w:val="20"/>
                <w:szCs w:val="20"/>
              </w:rPr>
            </w:pPr>
            <w:r w:rsidRPr="00A45D1A">
              <w:rPr>
                <w:sz w:val="20"/>
                <w:szCs w:val="20"/>
              </w:rPr>
              <w:t xml:space="preserve">(-948 </w:t>
            </w:r>
            <w:r>
              <w:rPr>
                <w:sz w:val="20"/>
                <w:szCs w:val="20"/>
              </w:rPr>
              <w:t>–</w:t>
            </w:r>
            <w:r w:rsidRPr="00A45D1A">
              <w:rPr>
                <w:sz w:val="20"/>
                <w:szCs w:val="20"/>
              </w:rPr>
              <w:t xml:space="preserve"> 200)</w:t>
            </w:r>
          </w:p>
        </w:tc>
      </w:tr>
      <w:tr w:rsidR="002D6D66" w14:paraId="6262BC37" w14:textId="77777777" w:rsidTr="00D94F94">
        <w:tc>
          <w:tcPr>
            <w:tcW w:w="2644" w:type="pct"/>
            <w:vAlign w:val="center"/>
          </w:tcPr>
          <w:p w14:paraId="1C37EB43"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w:t>
            </w:r>
          </w:p>
        </w:tc>
        <w:tc>
          <w:tcPr>
            <w:tcW w:w="1285" w:type="pct"/>
            <w:vAlign w:val="center"/>
          </w:tcPr>
          <w:p w14:paraId="28493552" w14:textId="77777777" w:rsidR="002D6D66" w:rsidRPr="00371910" w:rsidRDefault="002D6D66" w:rsidP="00D94F94">
            <w:pPr>
              <w:pStyle w:val="Compact"/>
              <w:rPr>
                <w:sz w:val="20"/>
                <w:szCs w:val="20"/>
              </w:rPr>
            </w:pPr>
            <w:r w:rsidRPr="00371910">
              <w:rPr>
                <w:sz w:val="20"/>
                <w:szCs w:val="20"/>
              </w:rPr>
              <w:t>0.32 (0.314 - 0.335)</w:t>
            </w:r>
          </w:p>
        </w:tc>
        <w:tc>
          <w:tcPr>
            <w:tcW w:w="1071" w:type="pct"/>
            <w:vAlign w:val="center"/>
          </w:tcPr>
          <w:p w14:paraId="39D4578A" w14:textId="77777777" w:rsidR="002D6D66" w:rsidRDefault="002D6D66" w:rsidP="00D94F94">
            <w:pPr>
              <w:pStyle w:val="Compact"/>
              <w:rPr>
                <w:sz w:val="20"/>
                <w:szCs w:val="20"/>
              </w:rPr>
            </w:pPr>
            <w:r w:rsidRPr="00A45D1A">
              <w:rPr>
                <w:sz w:val="20"/>
                <w:szCs w:val="20"/>
              </w:rPr>
              <w:t xml:space="preserve">535 </w:t>
            </w:r>
          </w:p>
          <w:p w14:paraId="1B8F4550" w14:textId="222F0D8B" w:rsidR="002D6D66" w:rsidRPr="00371910" w:rsidRDefault="002D6D66" w:rsidP="00D94F94">
            <w:pPr>
              <w:pStyle w:val="Compact"/>
              <w:rPr>
                <w:sz w:val="20"/>
                <w:szCs w:val="20"/>
              </w:rPr>
            </w:pPr>
            <w:r w:rsidRPr="00A45D1A">
              <w:rPr>
                <w:sz w:val="20"/>
                <w:szCs w:val="20"/>
              </w:rPr>
              <w:t xml:space="preserve">(-201 </w:t>
            </w:r>
            <w:r>
              <w:rPr>
                <w:sz w:val="20"/>
                <w:szCs w:val="20"/>
              </w:rPr>
              <w:t>–</w:t>
            </w:r>
            <w:r w:rsidRPr="00A45D1A">
              <w:rPr>
                <w:sz w:val="20"/>
                <w:szCs w:val="20"/>
              </w:rPr>
              <w:t xml:space="preserve"> 1224)</w:t>
            </w:r>
          </w:p>
        </w:tc>
      </w:tr>
      <w:tr w:rsidR="002D6D66" w14:paraId="3E7726AA" w14:textId="77777777" w:rsidTr="00D94F94">
        <w:tc>
          <w:tcPr>
            <w:tcW w:w="2644" w:type="pct"/>
            <w:vAlign w:val="center"/>
          </w:tcPr>
          <w:p w14:paraId="00DB85FE" w14:textId="77777777" w:rsidR="002D6D66" w:rsidRPr="00371910" w:rsidRDefault="002D6D66" w:rsidP="00D94F94">
            <w:pPr>
              <w:pStyle w:val="Compact"/>
              <w:rPr>
                <w:sz w:val="20"/>
                <w:szCs w:val="20"/>
              </w:rPr>
            </w:pPr>
            <w:proofErr w:type="spellStart"/>
            <w:r w:rsidRPr="00371910">
              <w:rPr>
                <w:sz w:val="20"/>
                <w:szCs w:val="20"/>
              </w:rPr>
              <w:t>BASE+</w:t>
            </w:r>
            <w:proofErr w:type="gramStart"/>
            <w:r w:rsidRPr="00371910">
              <w:rPr>
                <w:sz w:val="20"/>
                <w:szCs w:val="20"/>
              </w:rPr>
              <w:t>int:county</w:t>
            </w:r>
            <w:proofErr w:type="spellEnd"/>
            <w:proofErr w:type="gramEnd"/>
          </w:p>
        </w:tc>
        <w:tc>
          <w:tcPr>
            <w:tcW w:w="1285" w:type="pct"/>
            <w:vAlign w:val="center"/>
          </w:tcPr>
          <w:p w14:paraId="00B005FE" w14:textId="77777777" w:rsidR="002D6D66" w:rsidRPr="00371910" w:rsidRDefault="002D6D66" w:rsidP="00D94F94">
            <w:pPr>
              <w:pStyle w:val="Compact"/>
              <w:rPr>
                <w:sz w:val="20"/>
                <w:szCs w:val="20"/>
              </w:rPr>
            </w:pPr>
            <w:r w:rsidRPr="00371910">
              <w:rPr>
                <w:sz w:val="20"/>
                <w:szCs w:val="20"/>
              </w:rPr>
              <w:t>0.321 (0.315 - 0.337)</w:t>
            </w:r>
          </w:p>
        </w:tc>
        <w:tc>
          <w:tcPr>
            <w:tcW w:w="1071" w:type="pct"/>
            <w:vAlign w:val="center"/>
          </w:tcPr>
          <w:p w14:paraId="3BC58AA6" w14:textId="77777777" w:rsidR="002D6D66" w:rsidRDefault="002D6D66" w:rsidP="00D94F94">
            <w:pPr>
              <w:pStyle w:val="Compact"/>
              <w:rPr>
                <w:sz w:val="20"/>
                <w:szCs w:val="20"/>
              </w:rPr>
            </w:pPr>
            <w:r w:rsidRPr="00A45D1A">
              <w:rPr>
                <w:sz w:val="20"/>
                <w:szCs w:val="20"/>
              </w:rPr>
              <w:t xml:space="preserve">-329 </w:t>
            </w:r>
          </w:p>
          <w:p w14:paraId="7BE294E6" w14:textId="2464D87A" w:rsidR="002D6D66" w:rsidRPr="00371910" w:rsidRDefault="002D6D66" w:rsidP="00D94F94">
            <w:pPr>
              <w:pStyle w:val="Compact"/>
              <w:rPr>
                <w:sz w:val="20"/>
                <w:szCs w:val="20"/>
              </w:rPr>
            </w:pPr>
            <w:r w:rsidRPr="00A45D1A">
              <w:rPr>
                <w:sz w:val="20"/>
                <w:szCs w:val="20"/>
              </w:rPr>
              <w:t xml:space="preserve">(-937 </w:t>
            </w:r>
            <w:r>
              <w:rPr>
                <w:sz w:val="20"/>
                <w:szCs w:val="20"/>
              </w:rPr>
              <w:t>–</w:t>
            </w:r>
            <w:r w:rsidRPr="00A45D1A">
              <w:rPr>
                <w:sz w:val="20"/>
                <w:szCs w:val="20"/>
              </w:rPr>
              <w:t xml:space="preserve"> 175)</w:t>
            </w:r>
          </w:p>
        </w:tc>
      </w:tr>
      <w:tr w:rsidR="002D6D66" w14:paraId="28889DC4" w14:textId="77777777" w:rsidTr="00D94F94">
        <w:tc>
          <w:tcPr>
            <w:tcW w:w="2644" w:type="pct"/>
            <w:vAlign w:val="center"/>
          </w:tcPr>
          <w:p w14:paraId="7C1310A9"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+cumcasep100k+per50up</w:t>
            </w:r>
          </w:p>
        </w:tc>
        <w:tc>
          <w:tcPr>
            <w:tcW w:w="1285" w:type="pct"/>
            <w:vAlign w:val="center"/>
          </w:tcPr>
          <w:p w14:paraId="0273197C" w14:textId="77777777" w:rsidR="002D6D66" w:rsidRPr="00371910" w:rsidRDefault="002D6D66" w:rsidP="00D94F94">
            <w:pPr>
              <w:pStyle w:val="Compact"/>
              <w:rPr>
                <w:sz w:val="20"/>
                <w:szCs w:val="20"/>
              </w:rPr>
            </w:pPr>
            <w:r w:rsidRPr="00371910">
              <w:rPr>
                <w:sz w:val="20"/>
                <w:szCs w:val="20"/>
              </w:rPr>
              <w:t>0.322 (0.317 - 0.335)</w:t>
            </w:r>
          </w:p>
        </w:tc>
        <w:tc>
          <w:tcPr>
            <w:tcW w:w="1071" w:type="pct"/>
            <w:vAlign w:val="center"/>
          </w:tcPr>
          <w:p w14:paraId="401FEA94" w14:textId="77777777" w:rsidR="002D6D66" w:rsidRDefault="002D6D66" w:rsidP="00D94F94">
            <w:pPr>
              <w:pStyle w:val="Compact"/>
              <w:rPr>
                <w:sz w:val="20"/>
                <w:szCs w:val="20"/>
              </w:rPr>
            </w:pPr>
            <w:r w:rsidRPr="00A45D1A">
              <w:rPr>
                <w:sz w:val="20"/>
                <w:szCs w:val="20"/>
              </w:rPr>
              <w:t xml:space="preserve">-134 </w:t>
            </w:r>
          </w:p>
          <w:p w14:paraId="14A567B7" w14:textId="237712D3" w:rsidR="002D6D66" w:rsidRPr="00371910" w:rsidRDefault="002D6D66" w:rsidP="00D94F94">
            <w:pPr>
              <w:pStyle w:val="Compact"/>
              <w:rPr>
                <w:sz w:val="20"/>
                <w:szCs w:val="20"/>
              </w:rPr>
            </w:pPr>
            <w:r w:rsidRPr="00A45D1A">
              <w:rPr>
                <w:sz w:val="20"/>
                <w:szCs w:val="20"/>
              </w:rPr>
              <w:t xml:space="preserve">(-683 </w:t>
            </w:r>
            <w:r>
              <w:rPr>
                <w:sz w:val="20"/>
                <w:szCs w:val="20"/>
              </w:rPr>
              <w:t>–</w:t>
            </w:r>
            <w:r w:rsidRPr="00A45D1A">
              <w:rPr>
                <w:sz w:val="20"/>
                <w:szCs w:val="20"/>
              </w:rPr>
              <w:t xml:space="preserve"> 594)</w:t>
            </w:r>
          </w:p>
        </w:tc>
      </w:tr>
      <w:tr w:rsidR="00F264AD" w14:paraId="6D0DAB95" w14:textId="77777777" w:rsidTr="00D94F94">
        <w:tc>
          <w:tcPr>
            <w:tcW w:w="2644" w:type="pct"/>
            <w:vAlign w:val="center"/>
          </w:tcPr>
          <w:p w14:paraId="1C19413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w:t>
            </w:r>
          </w:p>
        </w:tc>
        <w:tc>
          <w:tcPr>
            <w:tcW w:w="1285" w:type="pct"/>
            <w:vAlign w:val="center"/>
          </w:tcPr>
          <w:p w14:paraId="0FE7D318" w14:textId="77777777" w:rsidR="00F264AD" w:rsidRPr="00371910" w:rsidRDefault="00F264AD" w:rsidP="00D94F94">
            <w:pPr>
              <w:pStyle w:val="Compact"/>
              <w:rPr>
                <w:sz w:val="20"/>
                <w:szCs w:val="20"/>
              </w:rPr>
            </w:pPr>
            <w:r w:rsidRPr="00371910">
              <w:rPr>
                <w:sz w:val="20"/>
                <w:szCs w:val="20"/>
              </w:rPr>
              <w:t>0.323 (0.317 - 0.339)</w:t>
            </w:r>
          </w:p>
        </w:tc>
        <w:tc>
          <w:tcPr>
            <w:tcW w:w="1071" w:type="pct"/>
            <w:vAlign w:val="center"/>
          </w:tcPr>
          <w:p w14:paraId="4B99F9B6" w14:textId="77777777" w:rsidR="00F264AD" w:rsidRPr="00371910" w:rsidRDefault="00F264AD" w:rsidP="00D94F94">
            <w:pPr>
              <w:pStyle w:val="Compact"/>
              <w:rPr>
                <w:sz w:val="20"/>
                <w:szCs w:val="20"/>
              </w:rPr>
            </w:pPr>
          </w:p>
        </w:tc>
      </w:tr>
      <w:tr w:rsidR="00F264AD" w14:paraId="02378F4F" w14:textId="77777777" w:rsidTr="00D94F94">
        <w:tc>
          <w:tcPr>
            <w:tcW w:w="2644" w:type="pct"/>
            <w:vAlign w:val="center"/>
          </w:tcPr>
          <w:p w14:paraId="407C659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+cumvaxp100k+per50up</w:t>
            </w:r>
          </w:p>
        </w:tc>
        <w:tc>
          <w:tcPr>
            <w:tcW w:w="1285" w:type="pct"/>
            <w:vAlign w:val="center"/>
          </w:tcPr>
          <w:p w14:paraId="7F534D37" w14:textId="77777777" w:rsidR="00F264AD" w:rsidRPr="00371910" w:rsidRDefault="00F264AD" w:rsidP="00D94F94">
            <w:pPr>
              <w:pStyle w:val="Compact"/>
              <w:rPr>
                <w:sz w:val="20"/>
                <w:szCs w:val="20"/>
              </w:rPr>
            </w:pPr>
            <w:r w:rsidRPr="00371910">
              <w:rPr>
                <w:sz w:val="20"/>
                <w:szCs w:val="20"/>
              </w:rPr>
              <w:t>0.323 (0.32 - 0.325)</w:t>
            </w:r>
          </w:p>
        </w:tc>
        <w:tc>
          <w:tcPr>
            <w:tcW w:w="1071" w:type="pct"/>
            <w:vAlign w:val="center"/>
          </w:tcPr>
          <w:p w14:paraId="39C6299F" w14:textId="77777777" w:rsidR="00F264AD" w:rsidRPr="00371910" w:rsidRDefault="00F264AD" w:rsidP="00D94F94">
            <w:pPr>
              <w:pStyle w:val="Compact"/>
              <w:rPr>
                <w:sz w:val="20"/>
                <w:szCs w:val="20"/>
              </w:rPr>
            </w:pPr>
          </w:p>
        </w:tc>
      </w:tr>
      <w:tr w:rsidR="00F264AD" w14:paraId="3BBC687C" w14:textId="77777777" w:rsidTr="00D94F94">
        <w:tc>
          <w:tcPr>
            <w:tcW w:w="2644" w:type="pct"/>
            <w:vAlign w:val="center"/>
          </w:tcPr>
          <w:p w14:paraId="2881754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+cumcasep100k+testp100k+per50up</w:t>
            </w:r>
          </w:p>
        </w:tc>
        <w:tc>
          <w:tcPr>
            <w:tcW w:w="1285" w:type="pct"/>
            <w:vAlign w:val="center"/>
          </w:tcPr>
          <w:p w14:paraId="097E269B" w14:textId="77777777" w:rsidR="00F264AD" w:rsidRPr="00371910" w:rsidRDefault="00F264AD" w:rsidP="00D94F94">
            <w:pPr>
              <w:pStyle w:val="Compact"/>
              <w:rPr>
                <w:sz w:val="20"/>
                <w:szCs w:val="20"/>
              </w:rPr>
            </w:pPr>
            <w:r w:rsidRPr="00371910">
              <w:rPr>
                <w:sz w:val="20"/>
                <w:szCs w:val="20"/>
              </w:rPr>
              <w:t>0.324 (0.318 - 0.336)</w:t>
            </w:r>
          </w:p>
        </w:tc>
        <w:tc>
          <w:tcPr>
            <w:tcW w:w="1071" w:type="pct"/>
            <w:vAlign w:val="center"/>
          </w:tcPr>
          <w:p w14:paraId="479BB6B0" w14:textId="77777777" w:rsidR="00F264AD" w:rsidRPr="00371910" w:rsidRDefault="00F264AD" w:rsidP="00D94F94">
            <w:pPr>
              <w:pStyle w:val="Compact"/>
              <w:rPr>
                <w:sz w:val="20"/>
                <w:szCs w:val="20"/>
              </w:rPr>
            </w:pPr>
          </w:p>
        </w:tc>
      </w:tr>
      <w:tr w:rsidR="00F264AD" w14:paraId="76E4A472" w14:textId="77777777" w:rsidTr="00D94F94">
        <w:tc>
          <w:tcPr>
            <w:tcW w:w="2644" w:type="pct"/>
            <w:vAlign w:val="center"/>
          </w:tcPr>
          <w:p w14:paraId="46014220" w14:textId="77777777" w:rsidR="00F264AD" w:rsidRPr="00371910" w:rsidRDefault="00F264AD" w:rsidP="00D94F94">
            <w:pPr>
              <w:pStyle w:val="Compact"/>
              <w:rPr>
                <w:sz w:val="20"/>
                <w:szCs w:val="20"/>
              </w:rPr>
            </w:pPr>
            <w:r w:rsidRPr="00371910">
              <w:rPr>
                <w:sz w:val="20"/>
                <w:szCs w:val="20"/>
              </w:rPr>
              <w:t>BASE+cumvaxp100k+per50up</w:t>
            </w:r>
          </w:p>
        </w:tc>
        <w:tc>
          <w:tcPr>
            <w:tcW w:w="1285" w:type="pct"/>
            <w:vAlign w:val="center"/>
          </w:tcPr>
          <w:p w14:paraId="3952A0BD"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31ED47B4" w14:textId="77777777" w:rsidR="00F264AD" w:rsidRPr="00371910" w:rsidRDefault="00F264AD" w:rsidP="00D94F94">
            <w:pPr>
              <w:pStyle w:val="Compact"/>
              <w:rPr>
                <w:sz w:val="20"/>
                <w:szCs w:val="20"/>
              </w:rPr>
            </w:pPr>
          </w:p>
        </w:tc>
      </w:tr>
      <w:tr w:rsidR="00F264AD" w14:paraId="2DEF7762" w14:textId="77777777" w:rsidTr="00D94F94">
        <w:tc>
          <w:tcPr>
            <w:tcW w:w="2644" w:type="pct"/>
            <w:vAlign w:val="center"/>
          </w:tcPr>
          <w:p w14:paraId="3C85A45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+cumvaxp100k+per50up</w:t>
            </w:r>
          </w:p>
        </w:tc>
        <w:tc>
          <w:tcPr>
            <w:tcW w:w="1285" w:type="pct"/>
            <w:vAlign w:val="center"/>
          </w:tcPr>
          <w:p w14:paraId="6DFFAD32"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04A44B75" w14:textId="77777777" w:rsidR="00F264AD" w:rsidRPr="00371910" w:rsidRDefault="00F264AD" w:rsidP="00D94F94">
            <w:pPr>
              <w:pStyle w:val="Compact"/>
              <w:rPr>
                <w:sz w:val="20"/>
                <w:szCs w:val="20"/>
              </w:rPr>
            </w:pPr>
          </w:p>
        </w:tc>
      </w:tr>
      <w:tr w:rsidR="00F264AD" w14:paraId="220A50E8" w14:textId="77777777" w:rsidTr="00D94F94">
        <w:tc>
          <w:tcPr>
            <w:tcW w:w="2644" w:type="pct"/>
            <w:vAlign w:val="center"/>
          </w:tcPr>
          <w:p w14:paraId="56C3C71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tc>
        <w:tc>
          <w:tcPr>
            <w:tcW w:w="1285" w:type="pct"/>
            <w:vAlign w:val="center"/>
          </w:tcPr>
          <w:p w14:paraId="2FB89033" w14:textId="77777777" w:rsidR="00F264AD" w:rsidRPr="00371910" w:rsidRDefault="00F264AD" w:rsidP="00D94F94">
            <w:pPr>
              <w:pStyle w:val="Compact"/>
              <w:rPr>
                <w:sz w:val="20"/>
                <w:szCs w:val="20"/>
              </w:rPr>
            </w:pPr>
            <w:r w:rsidRPr="00371910">
              <w:rPr>
                <w:sz w:val="20"/>
                <w:szCs w:val="20"/>
              </w:rPr>
              <w:t>0.324 (0.315 - 0.347)</w:t>
            </w:r>
          </w:p>
        </w:tc>
        <w:tc>
          <w:tcPr>
            <w:tcW w:w="1071" w:type="pct"/>
            <w:vAlign w:val="center"/>
          </w:tcPr>
          <w:p w14:paraId="5680B0C5" w14:textId="77777777" w:rsidR="00F264AD" w:rsidRPr="00371910" w:rsidRDefault="00F264AD" w:rsidP="00D94F94">
            <w:pPr>
              <w:pStyle w:val="Compact"/>
              <w:rPr>
                <w:sz w:val="20"/>
                <w:szCs w:val="20"/>
              </w:rPr>
            </w:pPr>
          </w:p>
        </w:tc>
      </w:tr>
      <w:tr w:rsidR="00F264AD" w14:paraId="7642D97C" w14:textId="77777777" w:rsidTr="00D94F94">
        <w:tc>
          <w:tcPr>
            <w:tcW w:w="2644" w:type="pct"/>
            <w:vAlign w:val="center"/>
          </w:tcPr>
          <w:p w14:paraId="00CE97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+cumcasep100k+cumvaxp100k+testp100k</w:t>
            </w:r>
          </w:p>
        </w:tc>
        <w:tc>
          <w:tcPr>
            <w:tcW w:w="1285" w:type="pct"/>
            <w:vAlign w:val="center"/>
          </w:tcPr>
          <w:p w14:paraId="10A4F359" w14:textId="77777777" w:rsidR="00F264AD" w:rsidRPr="00371910" w:rsidRDefault="00F264AD" w:rsidP="00D94F94">
            <w:pPr>
              <w:pStyle w:val="Compact"/>
              <w:rPr>
                <w:sz w:val="20"/>
                <w:szCs w:val="20"/>
              </w:rPr>
            </w:pPr>
            <w:r w:rsidRPr="00371910">
              <w:rPr>
                <w:sz w:val="20"/>
                <w:szCs w:val="20"/>
              </w:rPr>
              <w:t>0.326 (0.316 - 0.349)</w:t>
            </w:r>
          </w:p>
        </w:tc>
        <w:tc>
          <w:tcPr>
            <w:tcW w:w="1071" w:type="pct"/>
            <w:vAlign w:val="center"/>
          </w:tcPr>
          <w:p w14:paraId="23184CB1" w14:textId="77777777" w:rsidR="00F264AD" w:rsidRPr="00371910" w:rsidRDefault="00F264AD" w:rsidP="00D94F94">
            <w:pPr>
              <w:pStyle w:val="Compact"/>
              <w:rPr>
                <w:sz w:val="20"/>
                <w:szCs w:val="20"/>
              </w:rPr>
            </w:pPr>
          </w:p>
        </w:tc>
      </w:tr>
      <w:tr w:rsidR="00F264AD" w14:paraId="5487A0BE" w14:textId="77777777" w:rsidTr="00D94F94">
        <w:tc>
          <w:tcPr>
            <w:tcW w:w="2644" w:type="pct"/>
            <w:vAlign w:val="center"/>
          </w:tcPr>
          <w:p w14:paraId="7D9E4E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+cumvaxp100k+testp100k+per50up</w:t>
            </w:r>
          </w:p>
        </w:tc>
        <w:tc>
          <w:tcPr>
            <w:tcW w:w="1285" w:type="pct"/>
            <w:vAlign w:val="center"/>
          </w:tcPr>
          <w:p w14:paraId="3D38CABF" w14:textId="77777777" w:rsidR="00F264AD" w:rsidRPr="00371910" w:rsidRDefault="00F264AD" w:rsidP="00D94F94">
            <w:pPr>
              <w:pStyle w:val="Compact"/>
              <w:rPr>
                <w:sz w:val="20"/>
                <w:szCs w:val="20"/>
              </w:rPr>
            </w:pPr>
            <w:r w:rsidRPr="00371910">
              <w:rPr>
                <w:sz w:val="20"/>
                <w:szCs w:val="20"/>
              </w:rPr>
              <w:t>0.327 (0.323 - 0.329)</w:t>
            </w:r>
          </w:p>
        </w:tc>
        <w:tc>
          <w:tcPr>
            <w:tcW w:w="1071" w:type="pct"/>
            <w:vAlign w:val="center"/>
          </w:tcPr>
          <w:p w14:paraId="46C6D289" w14:textId="77777777" w:rsidR="00F264AD" w:rsidRPr="00371910" w:rsidRDefault="00F264AD" w:rsidP="00D94F94">
            <w:pPr>
              <w:pStyle w:val="Compact"/>
              <w:rPr>
                <w:sz w:val="20"/>
                <w:szCs w:val="20"/>
              </w:rPr>
            </w:pPr>
          </w:p>
        </w:tc>
      </w:tr>
      <w:tr w:rsidR="00F264AD" w14:paraId="598930A0" w14:textId="77777777" w:rsidTr="00D94F94">
        <w:tc>
          <w:tcPr>
            <w:tcW w:w="2644" w:type="pct"/>
            <w:vAlign w:val="center"/>
          </w:tcPr>
          <w:p w14:paraId="722E8418" w14:textId="77777777" w:rsidR="00F264AD" w:rsidRPr="00371910" w:rsidRDefault="00F264AD" w:rsidP="00D94F94">
            <w:pPr>
              <w:pStyle w:val="Compact"/>
              <w:rPr>
                <w:sz w:val="20"/>
                <w:szCs w:val="20"/>
              </w:rPr>
            </w:pPr>
            <w:r w:rsidRPr="00371910">
              <w:rPr>
                <w:sz w:val="20"/>
                <w:szCs w:val="20"/>
              </w:rPr>
              <w:t>BASE+cumvaxp100k+testp100k+per50up</w:t>
            </w:r>
          </w:p>
        </w:tc>
        <w:tc>
          <w:tcPr>
            <w:tcW w:w="1285" w:type="pct"/>
            <w:vAlign w:val="center"/>
          </w:tcPr>
          <w:p w14:paraId="7D8E7C35"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5E40083F" w14:textId="77777777" w:rsidR="00F264AD" w:rsidRPr="00371910" w:rsidRDefault="00F264AD" w:rsidP="00D94F94">
            <w:pPr>
              <w:pStyle w:val="Compact"/>
              <w:rPr>
                <w:sz w:val="20"/>
                <w:szCs w:val="20"/>
              </w:rPr>
            </w:pPr>
          </w:p>
        </w:tc>
      </w:tr>
      <w:tr w:rsidR="00F264AD" w14:paraId="576AE016" w14:textId="77777777" w:rsidTr="00D94F94">
        <w:tc>
          <w:tcPr>
            <w:tcW w:w="2644" w:type="pct"/>
            <w:vAlign w:val="center"/>
          </w:tcPr>
          <w:p w14:paraId="7F1B5E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+cumvaxp100k+testp100k+per50up</w:t>
            </w:r>
          </w:p>
        </w:tc>
        <w:tc>
          <w:tcPr>
            <w:tcW w:w="1285" w:type="pct"/>
            <w:vAlign w:val="center"/>
          </w:tcPr>
          <w:p w14:paraId="58131DF9"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7071C3A1" w14:textId="77777777" w:rsidR="00F264AD" w:rsidRPr="00371910" w:rsidRDefault="00F264AD" w:rsidP="00D94F94">
            <w:pPr>
              <w:pStyle w:val="Compact"/>
              <w:rPr>
                <w:sz w:val="20"/>
                <w:szCs w:val="20"/>
              </w:rPr>
            </w:pPr>
          </w:p>
        </w:tc>
      </w:tr>
      <w:tr w:rsidR="00F264AD" w14:paraId="4707BBF8" w14:textId="77777777" w:rsidTr="00D94F94">
        <w:tc>
          <w:tcPr>
            <w:tcW w:w="2644" w:type="pct"/>
            <w:vAlign w:val="center"/>
          </w:tcPr>
          <w:p w14:paraId="3A239BB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w:t>
            </w:r>
          </w:p>
        </w:tc>
        <w:tc>
          <w:tcPr>
            <w:tcW w:w="1285" w:type="pct"/>
            <w:vAlign w:val="center"/>
          </w:tcPr>
          <w:p w14:paraId="0319684B" w14:textId="77777777" w:rsidR="00F264AD" w:rsidRPr="00371910" w:rsidRDefault="00F264AD" w:rsidP="00D94F94">
            <w:pPr>
              <w:pStyle w:val="Compact"/>
              <w:rPr>
                <w:sz w:val="20"/>
                <w:szCs w:val="20"/>
              </w:rPr>
            </w:pPr>
            <w:r w:rsidRPr="00371910">
              <w:rPr>
                <w:sz w:val="20"/>
                <w:szCs w:val="20"/>
              </w:rPr>
              <w:t>0.327 (0.318 - 0.352)</w:t>
            </w:r>
          </w:p>
        </w:tc>
        <w:tc>
          <w:tcPr>
            <w:tcW w:w="1071" w:type="pct"/>
            <w:vAlign w:val="center"/>
          </w:tcPr>
          <w:p w14:paraId="00C2AA31" w14:textId="77777777" w:rsidR="00F264AD" w:rsidRPr="00371910" w:rsidRDefault="00F264AD" w:rsidP="00D94F94">
            <w:pPr>
              <w:pStyle w:val="Compact"/>
              <w:rPr>
                <w:sz w:val="20"/>
                <w:szCs w:val="20"/>
              </w:rPr>
            </w:pPr>
          </w:p>
        </w:tc>
      </w:tr>
      <w:tr w:rsidR="00F264AD" w14:paraId="4A150C89" w14:textId="77777777" w:rsidTr="00D94F94">
        <w:tc>
          <w:tcPr>
            <w:tcW w:w="2644" w:type="pct"/>
            <w:vAlign w:val="center"/>
          </w:tcPr>
          <w:p w14:paraId="0EC3035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w:t>
            </w:r>
          </w:p>
        </w:tc>
        <w:tc>
          <w:tcPr>
            <w:tcW w:w="1285" w:type="pct"/>
            <w:vAlign w:val="center"/>
          </w:tcPr>
          <w:p w14:paraId="6A63D6B4" w14:textId="77777777" w:rsidR="00F264AD" w:rsidRPr="00371910" w:rsidRDefault="00F264AD" w:rsidP="00D94F94">
            <w:pPr>
              <w:pStyle w:val="Compact"/>
              <w:rPr>
                <w:sz w:val="20"/>
                <w:szCs w:val="20"/>
              </w:rPr>
            </w:pPr>
            <w:r w:rsidRPr="00371910">
              <w:rPr>
                <w:sz w:val="20"/>
                <w:szCs w:val="20"/>
              </w:rPr>
              <w:t>0.328 (0.324 - 0.329)</w:t>
            </w:r>
          </w:p>
        </w:tc>
        <w:tc>
          <w:tcPr>
            <w:tcW w:w="1071" w:type="pct"/>
            <w:vAlign w:val="center"/>
          </w:tcPr>
          <w:p w14:paraId="133096C7" w14:textId="77777777" w:rsidR="00F264AD" w:rsidRPr="00371910" w:rsidRDefault="00F264AD" w:rsidP="00D94F94">
            <w:pPr>
              <w:pStyle w:val="Compact"/>
              <w:rPr>
                <w:sz w:val="20"/>
                <w:szCs w:val="20"/>
              </w:rPr>
            </w:pPr>
          </w:p>
        </w:tc>
      </w:tr>
      <w:tr w:rsidR="00F264AD" w14:paraId="6AA313B3" w14:textId="77777777" w:rsidTr="00D94F94">
        <w:tc>
          <w:tcPr>
            <w:tcW w:w="2644" w:type="pct"/>
            <w:vAlign w:val="center"/>
          </w:tcPr>
          <w:p w14:paraId="248EBF1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w:t>
            </w:r>
          </w:p>
        </w:tc>
        <w:tc>
          <w:tcPr>
            <w:tcW w:w="1285" w:type="pct"/>
            <w:vAlign w:val="center"/>
          </w:tcPr>
          <w:p w14:paraId="134658C3"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0CC7DE2D" w14:textId="77777777" w:rsidR="00F264AD" w:rsidRPr="00371910" w:rsidRDefault="00F264AD" w:rsidP="00D94F94">
            <w:pPr>
              <w:pStyle w:val="Compact"/>
              <w:rPr>
                <w:sz w:val="20"/>
                <w:szCs w:val="20"/>
              </w:rPr>
            </w:pPr>
          </w:p>
        </w:tc>
      </w:tr>
      <w:tr w:rsidR="00F264AD" w14:paraId="0D6261AB" w14:textId="77777777" w:rsidTr="00D94F94">
        <w:tc>
          <w:tcPr>
            <w:tcW w:w="2644" w:type="pct"/>
            <w:vAlign w:val="center"/>
          </w:tcPr>
          <w:p w14:paraId="0D37B271" w14:textId="77777777" w:rsidR="00F264AD" w:rsidRPr="00371910" w:rsidRDefault="00F264AD" w:rsidP="00D94F94">
            <w:pPr>
              <w:pStyle w:val="Compact"/>
              <w:rPr>
                <w:sz w:val="20"/>
                <w:szCs w:val="20"/>
              </w:rPr>
            </w:pPr>
            <w:r w:rsidRPr="00371910">
              <w:rPr>
                <w:sz w:val="20"/>
                <w:szCs w:val="20"/>
              </w:rPr>
              <w:t>BASE+cumvaxp100k</w:t>
            </w:r>
          </w:p>
        </w:tc>
        <w:tc>
          <w:tcPr>
            <w:tcW w:w="1285" w:type="pct"/>
            <w:vAlign w:val="center"/>
          </w:tcPr>
          <w:p w14:paraId="2CC5488F"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277D4F92" w14:textId="77777777" w:rsidR="00F264AD" w:rsidRPr="00371910" w:rsidRDefault="00F264AD" w:rsidP="00D94F94">
            <w:pPr>
              <w:pStyle w:val="Compact"/>
              <w:rPr>
                <w:sz w:val="20"/>
                <w:szCs w:val="20"/>
              </w:rPr>
            </w:pPr>
          </w:p>
        </w:tc>
      </w:tr>
      <w:tr w:rsidR="00F264AD" w14:paraId="341C693E" w14:textId="77777777" w:rsidTr="00D94F94">
        <w:tc>
          <w:tcPr>
            <w:tcW w:w="2644" w:type="pct"/>
            <w:vAlign w:val="center"/>
          </w:tcPr>
          <w:p w14:paraId="124997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w:t>
            </w:r>
          </w:p>
        </w:tc>
        <w:tc>
          <w:tcPr>
            <w:tcW w:w="1285" w:type="pct"/>
            <w:vAlign w:val="center"/>
          </w:tcPr>
          <w:p w14:paraId="2C45835B" w14:textId="77777777" w:rsidR="00F264AD" w:rsidRPr="00371910" w:rsidRDefault="00F264AD" w:rsidP="00D94F94">
            <w:pPr>
              <w:pStyle w:val="Compact"/>
              <w:rPr>
                <w:sz w:val="20"/>
                <w:szCs w:val="20"/>
              </w:rPr>
            </w:pPr>
            <w:r w:rsidRPr="00371910">
              <w:rPr>
                <w:sz w:val="20"/>
                <w:szCs w:val="20"/>
              </w:rPr>
              <w:t>0.329 (0.319 - 0.353)</w:t>
            </w:r>
          </w:p>
        </w:tc>
        <w:tc>
          <w:tcPr>
            <w:tcW w:w="1071" w:type="pct"/>
            <w:vAlign w:val="center"/>
          </w:tcPr>
          <w:p w14:paraId="01CD17F3" w14:textId="77777777" w:rsidR="00F264AD" w:rsidRPr="00371910" w:rsidRDefault="00F264AD" w:rsidP="00D94F94">
            <w:pPr>
              <w:pStyle w:val="Compact"/>
              <w:rPr>
                <w:sz w:val="20"/>
                <w:szCs w:val="20"/>
              </w:rPr>
            </w:pPr>
          </w:p>
        </w:tc>
      </w:tr>
      <w:tr w:rsidR="00F264AD" w14:paraId="132B6252" w14:textId="77777777" w:rsidTr="00D94F94">
        <w:tc>
          <w:tcPr>
            <w:tcW w:w="2644" w:type="pct"/>
            <w:vAlign w:val="center"/>
          </w:tcPr>
          <w:p w14:paraId="40FE50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+cumcasep100k+cumvaxp100k+per50up</w:t>
            </w:r>
          </w:p>
        </w:tc>
        <w:tc>
          <w:tcPr>
            <w:tcW w:w="1285" w:type="pct"/>
            <w:vAlign w:val="center"/>
          </w:tcPr>
          <w:p w14:paraId="7765510B"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04E2FDB3" w14:textId="77777777" w:rsidR="00F264AD" w:rsidRPr="00371910" w:rsidRDefault="00F264AD" w:rsidP="00D94F94">
            <w:pPr>
              <w:pStyle w:val="Compact"/>
              <w:rPr>
                <w:sz w:val="20"/>
                <w:szCs w:val="20"/>
              </w:rPr>
            </w:pPr>
          </w:p>
        </w:tc>
      </w:tr>
      <w:tr w:rsidR="00F264AD" w14:paraId="7AB34412" w14:textId="77777777" w:rsidTr="00D94F94">
        <w:tc>
          <w:tcPr>
            <w:tcW w:w="2644" w:type="pct"/>
            <w:vAlign w:val="center"/>
          </w:tcPr>
          <w:p w14:paraId="0267904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w:t>
            </w:r>
          </w:p>
        </w:tc>
        <w:tc>
          <w:tcPr>
            <w:tcW w:w="1285" w:type="pct"/>
            <w:vAlign w:val="center"/>
          </w:tcPr>
          <w:p w14:paraId="5A178967"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53FF0D6F" w14:textId="77777777" w:rsidR="00F264AD" w:rsidRPr="00371910" w:rsidRDefault="00F264AD" w:rsidP="00D94F94">
            <w:pPr>
              <w:pStyle w:val="Compact"/>
              <w:rPr>
                <w:sz w:val="20"/>
                <w:szCs w:val="20"/>
              </w:rPr>
            </w:pPr>
          </w:p>
        </w:tc>
      </w:tr>
      <w:tr w:rsidR="00F264AD" w14:paraId="2694704F" w14:textId="77777777" w:rsidTr="00D94F94">
        <w:tc>
          <w:tcPr>
            <w:tcW w:w="2644" w:type="pct"/>
            <w:vAlign w:val="center"/>
          </w:tcPr>
          <w:p w14:paraId="4A476432" w14:textId="77777777" w:rsidR="00F264AD" w:rsidRPr="00371910" w:rsidRDefault="00F264AD" w:rsidP="00D94F94">
            <w:pPr>
              <w:pStyle w:val="Compact"/>
              <w:rPr>
                <w:sz w:val="20"/>
                <w:szCs w:val="20"/>
              </w:rPr>
            </w:pPr>
            <w:r w:rsidRPr="00371910">
              <w:rPr>
                <w:sz w:val="20"/>
                <w:szCs w:val="20"/>
              </w:rPr>
              <w:t>BASE+cumvaxp100k+testp100k</w:t>
            </w:r>
          </w:p>
        </w:tc>
        <w:tc>
          <w:tcPr>
            <w:tcW w:w="1285" w:type="pct"/>
            <w:vAlign w:val="center"/>
          </w:tcPr>
          <w:p w14:paraId="2FDB9D2B"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17294DA5" w14:textId="77777777" w:rsidR="00F264AD" w:rsidRPr="00371910" w:rsidRDefault="00F264AD" w:rsidP="00D94F94">
            <w:pPr>
              <w:pStyle w:val="Compact"/>
              <w:rPr>
                <w:sz w:val="20"/>
                <w:szCs w:val="20"/>
              </w:rPr>
            </w:pPr>
          </w:p>
        </w:tc>
      </w:tr>
      <w:tr w:rsidR="00F264AD" w14:paraId="4A8005C3" w14:textId="77777777" w:rsidTr="00D94F94">
        <w:tc>
          <w:tcPr>
            <w:tcW w:w="2644" w:type="pct"/>
            <w:vAlign w:val="center"/>
          </w:tcPr>
          <w:p w14:paraId="27A5577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w:t>
            </w:r>
          </w:p>
        </w:tc>
        <w:tc>
          <w:tcPr>
            <w:tcW w:w="1285" w:type="pct"/>
            <w:vAlign w:val="center"/>
          </w:tcPr>
          <w:p w14:paraId="0D198F7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28A12E75" w14:textId="77777777" w:rsidR="00F264AD" w:rsidRPr="00371910" w:rsidRDefault="00F264AD" w:rsidP="00D94F94">
            <w:pPr>
              <w:pStyle w:val="Compact"/>
              <w:rPr>
                <w:sz w:val="20"/>
                <w:szCs w:val="20"/>
              </w:rPr>
            </w:pPr>
          </w:p>
        </w:tc>
      </w:tr>
      <w:tr w:rsidR="00F264AD" w14:paraId="07E2F309" w14:textId="77777777" w:rsidTr="00D94F94">
        <w:tc>
          <w:tcPr>
            <w:tcW w:w="2644" w:type="pct"/>
            <w:vAlign w:val="center"/>
          </w:tcPr>
          <w:p w14:paraId="2C69D9B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+cumcasep100k+cumvaxp100k+per50up</w:t>
            </w:r>
          </w:p>
        </w:tc>
        <w:tc>
          <w:tcPr>
            <w:tcW w:w="1285" w:type="pct"/>
            <w:vAlign w:val="center"/>
          </w:tcPr>
          <w:p w14:paraId="73D20D1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5C4CC308" w14:textId="77777777" w:rsidR="00F264AD" w:rsidRPr="00371910" w:rsidRDefault="00F264AD" w:rsidP="00D94F94">
            <w:pPr>
              <w:pStyle w:val="Compact"/>
              <w:rPr>
                <w:sz w:val="20"/>
                <w:szCs w:val="20"/>
              </w:rPr>
            </w:pPr>
          </w:p>
        </w:tc>
      </w:tr>
      <w:tr w:rsidR="00F264AD" w14:paraId="61BDB5E8" w14:textId="77777777" w:rsidTr="00D94F94">
        <w:tc>
          <w:tcPr>
            <w:tcW w:w="2644" w:type="pct"/>
            <w:vAlign w:val="center"/>
          </w:tcPr>
          <w:p w14:paraId="28924DAE" w14:textId="77777777" w:rsidR="00F264AD" w:rsidRPr="00371910" w:rsidRDefault="00F264AD" w:rsidP="00D94F94">
            <w:pPr>
              <w:pStyle w:val="Compact"/>
              <w:rPr>
                <w:sz w:val="20"/>
                <w:szCs w:val="20"/>
              </w:rPr>
            </w:pPr>
            <w:r w:rsidRPr="00371910">
              <w:rPr>
                <w:sz w:val="20"/>
                <w:szCs w:val="20"/>
              </w:rPr>
              <w:t>BASE+cumcasep100k+cumvaxp100k+per50up</w:t>
            </w:r>
          </w:p>
        </w:tc>
        <w:tc>
          <w:tcPr>
            <w:tcW w:w="1285" w:type="pct"/>
            <w:vAlign w:val="center"/>
          </w:tcPr>
          <w:p w14:paraId="0FBAC28A"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0AC5CFB3" w14:textId="77777777" w:rsidR="00F264AD" w:rsidRPr="00371910" w:rsidRDefault="00F264AD" w:rsidP="00D94F94">
            <w:pPr>
              <w:pStyle w:val="Compact"/>
              <w:rPr>
                <w:sz w:val="20"/>
                <w:szCs w:val="20"/>
              </w:rPr>
            </w:pPr>
          </w:p>
        </w:tc>
      </w:tr>
      <w:tr w:rsidR="00F264AD" w14:paraId="0C53464E" w14:textId="77777777" w:rsidTr="00D94F94">
        <w:tc>
          <w:tcPr>
            <w:tcW w:w="2644" w:type="pct"/>
            <w:vAlign w:val="center"/>
          </w:tcPr>
          <w:p w14:paraId="45361541"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w:t>
            </w:r>
          </w:p>
          <w:p w14:paraId="45F861BE" w14:textId="3EB1C742"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64CA9568" w14:textId="77777777" w:rsidR="00F264AD" w:rsidRPr="00371910" w:rsidRDefault="00F264AD" w:rsidP="00D94F94">
            <w:pPr>
              <w:pStyle w:val="Compact"/>
              <w:rPr>
                <w:sz w:val="20"/>
                <w:szCs w:val="20"/>
              </w:rPr>
            </w:pPr>
            <w:r w:rsidRPr="00371910">
              <w:rPr>
                <w:sz w:val="20"/>
                <w:szCs w:val="20"/>
              </w:rPr>
              <w:t>0.332 (0.328 - 0.334)</w:t>
            </w:r>
          </w:p>
        </w:tc>
        <w:tc>
          <w:tcPr>
            <w:tcW w:w="1071" w:type="pct"/>
            <w:vAlign w:val="center"/>
          </w:tcPr>
          <w:p w14:paraId="4AD29963" w14:textId="77777777" w:rsidR="00F264AD" w:rsidRPr="00371910" w:rsidRDefault="00F264AD" w:rsidP="00D94F94">
            <w:pPr>
              <w:pStyle w:val="Compact"/>
              <w:rPr>
                <w:sz w:val="20"/>
                <w:szCs w:val="20"/>
              </w:rPr>
            </w:pPr>
          </w:p>
        </w:tc>
      </w:tr>
      <w:tr w:rsidR="00F264AD" w14:paraId="06521035" w14:textId="77777777" w:rsidTr="00D94F94">
        <w:tc>
          <w:tcPr>
            <w:tcW w:w="2644" w:type="pct"/>
            <w:vAlign w:val="center"/>
          </w:tcPr>
          <w:p w14:paraId="3C5B6FD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p w14:paraId="71BCE1EB" w14:textId="46DA3621"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7633EE6D"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414EC7C1" w14:textId="77777777" w:rsidR="00F264AD" w:rsidRPr="00371910" w:rsidRDefault="00F264AD" w:rsidP="00D94F94">
            <w:pPr>
              <w:pStyle w:val="Compact"/>
              <w:rPr>
                <w:sz w:val="20"/>
                <w:szCs w:val="20"/>
              </w:rPr>
            </w:pPr>
          </w:p>
        </w:tc>
      </w:tr>
      <w:tr w:rsidR="00F264AD" w14:paraId="045DE85D" w14:textId="77777777" w:rsidTr="00D94F94">
        <w:tc>
          <w:tcPr>
            <w:tcW w:w="2644" w:type="pct"/>
            <w:vAlign w:val="center"/>
          </w:tcPr>
          <w:p w14:paraId="1544739C" w14:textId="77777777" w:rsidR="00F264AD" w:rsidRPr="00371910" w:rsidRDefault="00F264AD" w:rsidP="00D94F94">
            <w:pPr>
              <w:pStyle w:val="Compact"/>
              <w:rPr>
                <w:sz w:val="20"/>
                <w:szCs w:val="20"/>
              </w:rPr>
            </w:pPr>
            <w:r w:rsidRPr="00371910">
              <w:rPr>
                <w:sz w:val="20"/>
                <w:szCs w:val="20"/>
              </w:rPr>
              <w:t>BASE+cumcasep100k+cumvaxp100k+testp100k+per50up</w:t>
            </w:r>
          </w:p>
        </w:tc>
        <w:tc>
          <w:tcPr>
            <w:tcW w:w="1285" w:type="pct"/>
            <w:vAlign w:val="center"/>
          </w:tcPr>
          <w:p w14:paraId="7E13DD8B"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5B270E56" w14:textId="77777777" w:rsidR="00F264AD" w:rsidRPr="00371910" w:rsidRDefault="00F264AD" w:rsidP="00D94F94">
            <w:pPr>
              <w:pStyle w:val="Compact"/>
              <w:rPr>
                <w:sz w:val="20"/>
                <w:szCs w:val="20"/>
              </w:rPr>
            </w:pPr>
          </w:p>
        </w:tc>
      </w:tr>
      <w:tr w:rsidR="00F264AD" w14:paraId="306A02A3" w14:textId="77777777" w:rsidTr="00D94F94">
        <w:tc>
          <w:tcPr>
            <w:tcW w:w="2644" w:type="pct"/>
            <w:vAlign w:val="center"/>
          </w:tcPr>
          <w:p w14:paraId="21A7F993" w14:textId="77777777" w:rsidR="00F264AD" w:rsidRPr="00371910" w:rsidRDefault="00F264AD" w:rsidP="00D94F94">
            <w:pPr>
              <w:pStyle w:val="Compact"/>
              <w:rPr>
                <w:sz w:val="20"/>
                <w:szCs w:val="20"/>
              </w:rPr>
            </w:pPr>
            <w:r w:rsidRPr="00371910">
              <w:rPr>
                <w:sz w:val="20"/>
                <w:szCs w:val="20"/>
              </w:rPr>
              <w:lastRenderedPageBreak/>
              <w:t>BASE+</w:t>
            </w:r>
            <w:proofErr w:type="gramStart"/>
            <w:r w:rsidRPr="00371910">
              <w:rPr>
                <w:sz w:val="20"/>
                <w:szCs w:val="20"/>
              </w:rPr>
              <w:t>int:spline</w:t>
            </w:r>
            <w:proofErr w:type="gramEnd"/>
            <w:r w:rsidRPr="00371910">
              <w:rPr>
                <w:sz w:val="20"/>
                <w:szCs w:val="20"/>
              </w:rPr>
              <w:t>+cumcasep100k+cumvaxp100k</w:t>
            </w:r>
          </w:p>
        </w:tc>
        <w:tc>
          <w:tcPr>
            <w:tcW w:w="1285" w:type="pct"/>
            <w:vAlign w:val="center"/>
          </w:tcPr>
          <w:p w14:paraId="441E424F" w14:textId="77777777" w:rsidR="00F264AD" w:rsidRPr="00371910" w:rsidRDefault="00F264AD" w:rsidP="00D94F94">
            <w:pPr>
              <w:pStyle w:val="Compact"/>
              <w:rPr>
                <w:sz w:val="20"/>
                <w:szCs w:val="20"/>
              </w:rPr>
            </w:pPr>
            <w:r w:rsidRPr="00371910">
              <w:rPr>
                <w:sz w:val="20"/>
                <w:szCs w:val="20"/>
              </w:rPr>
              <w:t>0.333 (0.33 - 0.335)</w:t>
            </w:r>
          </w:p>
        </w:tc>
        <w:tc>
          <w:tcPr>
            <w:tcW w:w="1071" w:type="pct"/>
            <w:vAlign w:val="center"/>
          </w:tcPr>
          <w:p w14:paraId="57E2BC98" w14:textId="77777777" w:rsidR="00F264AD" w:rsidRPr="00371910" w:rsidRDefault="00F264AD" w:rsidP="00D94F94">
            <w:pPr>
              <w:pStyle w:val="Compact"/>
              <w:rPr>
                <w:sz w:val="20"/>
                <w:szCs w:val="20"/>
              </w:rPr>
            </w:pPr>
          </w:p>
        </w:tc>
      </w:tr>
      <w:tr w:rsidR="00F264AD" w14:paraId="4B850B16" w14:textId="77777777" w:rsidTr="00D94F94">
        <w:tc>
          <w:tcPr>
            <w:tcW w:w="2644" w:type="pct"/>
            <w:vAlign w:val="center"/>
          </w:tcPr>
          <w:p w14:paraId="6DF404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tc>
        <w:tc>
          <w:tcPr>
            <w:tcW w:w="1285" w:type="pct"/>
            <w:vAlign w:val="center"/>
          </w:tcPr>
          <w:p w14:paraId="456BE12A"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56A9CF5D" w14:textId="77777777" w:rsidR="00F264AD" w:rsidRPr="00371910" w:rsidRDefault="00F264AD" w:rsidP="00D94F94">
            <w:pPr>
              <w:pStyle w:val="Compact"/>
              <w:rPr>
                <w:sz w:val="20"/>
                <w:szCs w:val="20"/>
              </w:rPr>
            </w:pPr>
          </w:p>
        </w:tc>
      </w:tr>
      <w:tr w:rsidR="00F264AD" w14:paraId="2CCD4B8A" w14:textId="77777777" w:rsidTr="00D94F94">
        <w:tc>
          <w:tcPr>
            <w:tcW w:w="2644" w:type="pct"/>
            <w:vAlign w:val="center"/>
          </w:tcPr>
          <w:p w14:paraId="4A071ED6" w14:textId="77777777" w:rsidR="00F264AD" w:rsidRPr="00371910" w:rsidRDefault="00F264AD" w:rsidP="00D94F94">
            <w:pPr>
              <w:pStyle w:val="Compact"/>
              <w:rPr>
                <w:sz w:val="20"/>
                <w:szCs w:val="20"/>
              </w:rPr>
            </w:pPr>
            <w:r w:rsidRPr="00371910">
              <w:rPr>
                <w:sz w:val="20"/>
                <w:szCs w:val="20"/>
              </w:rPr>
              <w:t>BASE+cumcasep100k+cumvaxp100k</w:t>
            </w:r>
          </w:p>
        </w:tc>
        <w:tc>
          <w:tcPr>
            <w:tcW w:w="1285" w:type="pct"/>
            <w:vAlign w:val="center"/>
          </w:tcPr>
          <w:p w14:paraId="0E36DB66"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698BA1DB" w14:textId="77777777" w:rsidR="00F264AD" w:rsidRPr="00371910" w:rsidRDefault="00F264AD" w:rsidP="00D94F94">
            <w:pPr>
              <w:pStyle w:val="Compact"/>
              <w:rPr>
                <w:sz w:val="20"/>
                <w:szCs w:val="20"/>
              </w:rPr>
            </w:pPr>
          </w:p>
        </w:tc>
      </w:tr>
      <w:tr w:rsidR="00F264AD" w14:paraId="337DE408" w14:textId="77777777" w:rsidTr="00D94F94">
        <w:tc>
          <w:tcPr>
            <w:tcW w:w="2644" w:type="pct"/>
            <w:vAlign w:val="center"/>
          </w:tcPr>
          <w:p w14:paraId="5AD7C61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+cumcasep100k+cumvaxp100k+testp100k</w:t>
            </w:r>
          </w:p>
        </w:tc>
        <w:tc>
          <w:tcPr>
            <w:tcW w:w="1285" w:type="pct"/>
            <w:vAlign w:val="center"/>
          </w:tcPr>
          <w:p w14:paraId="22D691AF" w14:textId="77777777" w:rsidR="00F264AD" w:rsidRPr="00371910" w:rsidRDefault="00F264AD" w:rsidP="00D94F94">
            <w:pPr>
              <w:pStyle w:val="Compact"/>
              <w:rPr>
                <w:sz w:val="20"/>
                <w:szCs w:val="20"/>
              </w:rPr>
            </w:pPr>
            <w:r w:rsidRPr="00371910">
              <w:rPr>
                <w:sz w:val="20"/>
                <w:szCs w:val="20"/>
              </w:rPr>
              <w:t>0.334 (0.33 - 0.336)</w:t>
            </w:r>
          </w:p>
        </w:tc>
        <w:tc>
          <w:tcPr>
            <w:tcW w:w="1071" w:type="pct"/>
            <w:vAlign w:val="center"/>
          </w:tcPr>
          <w:p w14:paraId="1C9FA4B1" w14:textId="77777777" w:rsidR="00F264AD" w:rsidRPr="00371910" w:rsidRDefault="00F264AD" w:rsidP="00D94F94">
            <w:pPr>
              <w:pStyle w:val="Compact"/>
              <w:rPr>
                <w:sz w:val="20"/>
                <w:szCs w:val="20"/>
              </w:rPr>
            </w:pPr>
          </w:p>
        </w:tc>
      </w:tr>
      <w:tr w:rsidR="00F264AD" w14:paraId="3CD3FB92" w14:textId="77777777" w:rsidTr="00D94F94">
        <w:tc>
          <w:tcPr>
            <w:tcW w:w="2644" w:type="pct"/>
            <w:vAlign w:val="center"/>
          </w:tcPr>
          <w:p w14:paraId="7FA1D68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+per50up</w:t>
            </w:r>
          </w:p>
        </w:tc>
        <w:tc>
          <w:tcPr>
            <w:tcW w:w="1285" w:type="pct"/>
            <w:vAlign w:val="center"/>
          </w:tcPr>
          <w:p w14:paraId="7EB0E2A5" w14:textId="77777777" w:rsidR="00F264AD" w:rsidRPr="00371910" w:rsidRDefault="00F264AD" w:rsidP="00D94F94">
            <w:pPr>
              <w:pStyle w:val="Compact"/>
              <w:rPr>
                <w:sz w:val="20"/>
                <w:szCs w:val="20"/>
              </w:rPr>
            </w:pPr>
            <w:r w:rsidRPr="00371910">
              <w:rPr>
                <w:sz w:val="20"/>
                <w:szCs w:val="20"/>
              </w:rPr>
              <w:t>0.334 (0.329 - 0.336)</w:t>
            </w:r>
          </w:p>
        </w:tc>
        <w:tc>
          <w:tcPr>
            <w:tcW w:w="1071" w:type="pct"/>
            <w:vAlign w:val="center"/>
          </w:tcPr>
          <w:p w14:paraId="62F3C4DB" w14:textId="77777777" w:rsidR="00F264AD" w:rsidRPr="00371910" w:rsidRDefault="00F264AD" w:rsidP="00D94F94">
            <w:pPr>
              <w:pStyle w:val="Compact"/>
              <w:rPr>
                <w:sz w:val="20"/>
                <w:szCs w:val="20"/>
              </w:rPr>
            </w:pPr>
          </w:p>
        </w:tc>
      </w:tr>
      <w:tr w:rsidR="00F264AD" w14:paraId="742C0DB6" w14:textId="77777777" w:rsidTr="00D94F94">
        <w:tc>
          <w:tcPr>
            <w:tcW w:w="2644" w:type="pct"/>
            <w:vAlign w:val="center"/>
          </w:tcPr>
          <w:p w14:paraId="2B66ED1A"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+per50up</w:t>
            </w:r>
          </w:p>
        </w:tc>
        <w:tc>
          <w:tcPr>
            <w:tcW w:w="1285" w:type="pct"/>
            <w:vAlign w:val="center"/>
          </w:tcPr>
          <w:p w14:paraId="26A2C8DA"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4E0014D5" w14:textId="77777777" w:rsidR="00F264AD" w:rsidRPr="00371910" w:rsidRDefault="00F264AD" w:rsidP="00D94F94">
            <w:pPr>
              <w:pStyle w:val="Compact"/>
              <w:rPr>
                <w:sz w:val="20"/>
                <w:szCs w:val="20"/>
              </w:rPr>
            </w:pPr>
          </w:p>
        </w:tc>
      </w:tr>
      <w:tr w:rsidR="00F264AD" w14:paraId="1D3CAB57" w14:textId="77777777" w:rsidTr="00D94F94">
        <w:tc>
          <w:tcPr>
            <w:tcW w:w="2644" w:type="pct"/>
            <w:vAlign w:val="center"/>
          </w:tcPr>
          <w:p w14:paraId="5916F341" w14:textId="77777777" w:rsidR="00F264AD" w:rsidRPr="00371910" w:rsidRDefault="00F264AD" w:rsidP="00D94F94">
            <w:pPr>
              <w:pStyle w:val="Compact"/>
              <w:rPr>
                <w:sz w:val="20"/>
                <w:szCs w:val="20"/>
              </w:rPr>
            </w:pPr>
            <w:r w:rsidRPr="00371910">
              <w:rPr>
                <w:sz w:val="20"/>
                <w:szCs w:val="20"/>
              </w:rPr>
              <w:t>BASE+per50up</w:t>
            </w:r>
          </w:p>
        </w:tc>
        <w:tc>
          <w:tcPr>
            <w:tcW w:w="1285" w:type="pct"/>
            <w:vAlign w:val="center"/>
          </w:tcPr>
          <w:p w14:paraId="607EF36E"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014DB59B" w14:textId="77777777" w:rsidR="00F264AD" w:rsidRPr="00371910" w:rsidRDefault="00F264AD" w:rsidP="00D94F94">
            <w:pPr>
              <w:pStyle w:val="Compact"/>
              <w:rPr>
                <w:sz w:val="20"/>
                <w:szCs w:val="20"/>
              </w:rPr>
            </w:pPr>
          </w:p>
        </w:tc>
      </w:tr>
      <w:tr w:rsidR="00F264AD" w14:paraId="6D251AF9" w14:textId="77777777" w:rsidTr="00D94F94">
        <w:tc>
          <w:tcPr>
            <w:tcW w:w="2644" w:type="pct"/>
            <w:vAlign w:val="center"/>
          </w:tcPr>
          <w:p w14:paraId="3B85ECA4"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+cumcasep100k+cumvaxp100k+testp100k</w:t>
            </w:r>
          </w:p>
        </w:tc>
        <w:tc>
          <w:tcPr>
            <w:tcW w:w="1285" w:type="pct"/>
            <w:vAlign w:val="center"/>
          </w:tcPr>
          <w:p w14:paraId="1BD43239"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36978063" w14:textId="77777777" w:rsidR="00F264AD" w:rsidRPr="00371910" w:rsidRDefault="00F264AD" w:rsidP="00D94F94">
            <w:pPr>
              <w:pStyle w:val="Compact"/>
              <w:rPr>
                <w:sz w:val="20"/>
                <w:szCs w:val="20"/>
              </w:rPr>
            </w:pPr>
          </w:p>
        </w:tc>
      </w:tr>
      <w:tr w:rsidR="00F264AD" w14:paraId="30025773" w14:textId="77777777" w:rsidTr="00D94F94">
        <w:tc>
          <w:tcPr>
            <w:tcW w:w="2644" w:type="pct"/>
            <w:vAlign w:val="center"/>
          </w:tcPr>
          <w:p w14:paraId="4388A776" w14:textId="77777777" w:rsidR="00F264AD" w:rsidRPr="00371910" w:rsidRDefault="00F264AD" w:rsidP="00D94F94">
            <w:pPr>
              <w:pStyle w:val="Compact"/>
              <w:rPr>
                <w:sz w:val="20"/>
                <w:szCs w:val="20"/>
              </w:rPr>
            </w:pPr>
            <w:r w:rsidRPr="00371910">
              <w:rPr>
                <w:sz w:val="20"/>
                <w:szCs w:val="20"/>
              </w:rPr>
              <w:t>BASE+cumcasep100k+cumvaxp100k+testp100k</w:t>
            </w:r>
          </w:p>
        </w:tc>
        <w:tc>
          <w:tcPr>
            <w:tcW w:w="1285" w:type="pct"/>
            <w:vAlign w:val="center"/>
          </w:tcPr>
          <w:p w14:paraId="6C8D2E02"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7F2B0240" w14:textId="77777777" w:rsidR="00F264AD" w:rsidRPr="00371910" w:rsidRDefault="00F264AD" w:rsidP="00D94F94">
            <w:pPr>
              <w:pStyle w:val="Compact"/>
              <w:rPr>
                <w:sz w:val="20"/>
                <w:szCs w:val="20"/>
              </w:rPr>
            </w:pPr>
          </w:p>
        </w:tc>
      </w:tr>
      <w:tr w:rsidR="00F264AD" w14:paraId="1F0E1820" w14:textId="77777777" w:rsidTr="00D94F94">
        <w:tc>
          <w:tcPr>
            <w:tcW w:w="2644" w:type="pct"/>
            <w:vAlign w:val="center"/>
          </w:tcPr>
          <w:p w14:paraId="64E1968A"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int:spline</w:t>
            </w:r>
            <w:proofErr w:type="spellEnd"/>
            <w:proofErr w:type="gramEnd"/>
          </w:p>
        </w:tc>
        <w:tc>
          <w:tcPr>
            <w:tcW w:w="1285" w:type="pct"/>
            <w:vAlign w:val="center"/>
          </w:tcPr>
          <w:p w14:paraId="3D591C13" w14:textId="77777777" w:rsidR="00F264AD" w:rsidRPr="00371910" w:rsidRDefault="00F264AD" w:rsidP="00D94F94">
            <w:pPr>
              <w:pStyle w:val="Compact"/>
              <w:rPr>
                <w:sz w:val="20"/>
                <w:szCs w:val="20"/>
              </w:rPr>
            </w:pPr>
            <w:r w:rsidRPr="00371910">
              <w:rPr>
                <w:sz w:val="20"/>
                <w:szCs w:val="20"/>
              </w:rPr>
              <w:t>0.336 (0.331 - 0.338)</w:t>
            </w:r>
          </w:p>
        </w:tc>
        <w:tc>
          <w:tcPr>
            <w:tcW w:w="1071" w:type="pct"/>
            <w:vAlign w:val="center"/>
          </w:tcPr>
          <w:p w14:paraId="1E96ECFB" w14:textId="77777777" w:rsidR="00F264AD" w:rsidRPr="00371910" w:rsidRDefault="00F264AD" w:rsidP="00D94F94">
            <w:pPr>
              <w:pStyle w:val="Compact"/>
              <w:rPr>
                <w:sz w:val="20"/>
                <w:szCs w:val="20"/>
              </w:rPr>
            </w:pPr>
          </w:p>
        </w:tc>
      </w:tr>
      <w:tr w:rsidR="00F264AD" w14:paraId="59AB1ADE" w14:textId="77777777" w:rsidTr="00D94F94">
        <w:tc>
          <w:tcPr>
            <w:tcW w:w="2644" w:type="pct"/>
            <w:vAlign w:val="center"/>
          </w:tcPr>
          <w:p w14:paraId="7AC04D4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+testp100k+per50up</w:t>
            </w:r>
          </w:p>
        </w:tc>
        <w:tc>
          <w:tcPr>
            <w:tcW w:w="1285" w:type="pct"/>
            <w:vAlign w:val="center"/>
          </w:tcPr>
          <w:p w14:paraId="3E618BD6" w14:textId="77777777" w:rsidR="00F264AD" w:rsidRPr="00371910" w:rsidRDefault="00F264AD" w:rsidP="00D94F94">
            <w:pPr>
              <w:pStyle w:val="Compact"/>
              <w:rPr>
                <w:sz w:val="20"/>
                <w:szCs w:val="20"/>
              </w:rPr>
            </w:pPr>
            <w:r w:rsidRPr="00371910">
              <w:rPr>
                <w:sz w:val="20"/>
                <w:szCs w:val="20"/>
              </w:rPr>
              <w:t>0.337 (0.331 - 0.339)</w:t>
            </w:r>
          </w:p>
        </w:tc>
        <w:tc>
          <w:tcPr>
            <w:tcW w:w="1071" w:type="pct"/>
            <w:vAlign w:val="center"/>
          </w:tcPr>
          <w:p w14:paraId="3F3E7213" w14:textId="77777777" w:rsidR="00F264AD" w:rsidRPr="00371910" w:rsidRDefault="00F264AD" w:rsidP="00D94F94">
            <w:pPr>
              <w:pStyle w:val="Compact"/>
              <w:rPr>
                <w:sz w:val="20"/>
                <w:szCs w:val="20"/>
              </w:rPr>
            </w:pPr>
          </w:p>
        </w:tc>
      </w:tr>
      <w:tr w:rsidR="00F264AD" w14:paraId="4EA22FAA" w14:textId="77777777" w:rsidTr="00D94F94">
        <w:tc>
          <w:tcPr>
            <w:tcW w:w="2644" w:type="pct"/>
            <w:vAlign w:val="center"/>
          </w:tcPr>
          <w:p w14:paraId="143299EE" w14:textId="77777777" w:rsidR="00F264AD" w:rsidRPr="00371910" w:rsidRDefault="00F264AD" w:rsidP="00D94F94">
            <w:pPr>
              <w:pStyle w:val="Compact"/>
              <w:rPr>
                <w:sz w:val="20"/>
                <w:szCs w:val="20"/>
              </w:rPr>
            </w:pPr>
            <w:r w:rsidRPr="00371910">
              <w:rPr>
                <w:sz w:val="20"/>
                <w:szCs w:val="20"/>
              </w:rPr>
              <w:t>BASE</w:t>
            </w:r>
          </w:p>
        </w:tc>
        <w:tc>
          <w:tcPr>
            <w:tcW w:w="1285" w:type="pct"/>
            <w:vAlign w:val="center"/>
          </w:tcPr>
          <w:p w14:paraId="74480CC9"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0B1F663F" w14:textId="77777777" w:rsidR="00F264AD" w:rsidRPr="00371910" w:rsidRDefault="00F264AD" w:rsidP="00D94F94">
            <w:pPr>
              <w:pStyle w:val="Compact"/>
              <w:rPr>
                <w:sz w:val="20"/>
                <w:szCs w:val="20"/>
              </w:rPr>
            </w:pPr>
          </w:p>
        </w:tc>
      </w:tr>
      <w:tr w:rsidR="00F264AD" w14:paraId="58848E57" w14:textId="77777777" w:rsidTr="00D94F94">
        <w:tc>
          <w:tcPr>
            <w:tcW w:w="2644" w:type="pct"/>
            <w:vAlign w:val="center"/>
          </w:tcPr>
          <w:p w14:paraId="3F0B701D"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int:VEM</w:t>
            </w:r>
            <w:proofErr w:type="spellEnd"/>
            <w:proofErr w:type="gramEnd"/>
          </w:p>
        </w:tc>
        <w:tc>
          <w:tcPr>
            <w:tcW w:w="1285" w:type="pct"/>
            <w:vAlign w:val="center"/>
          </w:tcPr>
          <w:p w14:paraId="34D8DCD5"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7E9C981D" w14:textId="77777777" w:rsidR="00F264AD" w:rsidRPr="00371910" w:rsidRDefault="00F264AD" w:rsidP="00D94F94">
            <w:pPr>
              <w:pStyle w:val="Compact"/>
              <w:rPr>
                <w:sz w:val="20"/>
                <w:szCs w:val="20"/>
              </w:rPr>
            </w:pPr>
          </w:p>
        </w:tc>
      </w:tr>
      <w:tr w:rsidR="00F264AD" w14:paraId="1821A823" w14:textId="77777777" w:rsidTr="00D94F94">
        <w:tc>
          <w:tcPr>
            <w:tcW w:w="2644" w:type="pct"/>
            <w:vAlign w:val="center"/>
          </w:tcPr>
          <w:p w14:paraId="7055788B" w14:textId="77777777" w:rsidR="00F264AD" w:rsidRPr="00371910" w:rsidRDefault="00F264AD" w:rsidP="00D94F94">
            <w:pPr>
              <w:pStyle w:val="Compact"/>
              <w:rPr>
                <w:sz w:val="20"/>
                <w:szCs w:val="20"/>
              </w:rPr>
            </w:pPr>
            <w:r w:rsidRPr="00371910">
              <w:rPr>
                <w:sz w:val="20"/>
                <w:szCs w:val="20"/>
              </w:rPr>
              <w:t>BASE+testp100k+per50up</w:t>
            </w:r>
          </w:p>
        </w:tc>
        <w:tc>
          <w:tcPr>
            <w:tcW w:w="1285" w:type="pct"/>
            <w:vAlign w:val="center"/>
          </w:tcPr>
          <w:p w14:paraId="19FE5DA4"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E5B1AD8" w14:textId="77777777" w:rsidR="00F264AD" w:rsidRPr="00371910" w:rsidRDefault="00F264AD" w:rsidP="00D94F94">
            <w:pPr>
              <w:pStyle w:val="Compact"/>
              <w:rPr>
                <w:sz w:val="20"/>
                <w:szCs w:val="20"/>
              </w:rPr>
            </w:pPr>
          </w:p>
        </w:tc>
      </w:tr>
      <w:tr w:rsidR="00F264AD" w14:paraId="787DBC7D" w14:textId="77777777" w:rsidTr="00D94F94">
        <w:tc>
          <w:tcPr>
            <w:tcW w:w="2644" w:type="pct"/>
            <w:vAlign w:val="center"/>
          </w:tcPr>
          <w:p w14:paraId="5E3C0E1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+testp100k+per50up</w:t>
            </w:r>
          </w:p>
        </w:tc>
        <w:tc>
          <w:tcPr>
            <w:tcW w:w="1285" w:type="pct"/>
            <w:vAlign w:val="center"/>
          </w:tcPr>
          <w:p w14:paraId="40F69912"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F5B3143" w14:textId="77777777" w:rsidR="00F264AD" w:rsidRPr="00371910" w:rsidRDefault="00F264AD" w:rsidP="00D94F94">
            <w:pPr>
              <w:pStyle w:val="Compact"/>
              <w:rPr>
                <w:sz w:val="20"/>
                <w:szCs w:val="20"/>
              </w:rPr>
            </w:pPr>
          </w:p>
        </w:tc>
      </w:tr>
      <w:tr w:rsidR="00F264AD" w14:paraId="7520E9DC" w14:textId="77777777" w:rsidTr="00D94F94">
        <w:tc>
          <w:tcPr>
            <w:tcW w:w="2644" w:type="pct"/>
            <w:vAlign w:val="center"/>
          </w:tcPr>
          <w:p w14:paraId="0AB50F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w:t>
            </w:r>
          </w:p>
        </w:tc>
        <w:tc>
          <w:tcPr>
            <w:tcW w:w="1285" w:type="pct"/>
            <w:vAlign w:val="center"/>
          </w:tcPr>
          <w:p w14:paraId="5F2E158E"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05FDCFFE" w14:textId="77777777" w:rsidR="00F264AD" w:rsidRPr="00371910" w:rsidRDefault="00F264AD" w:rsidP="00D94F94">
            <w:pPr>
              <w:pStyle w:val="Compact"/>
              <w:rPr>
                <w:sz w:val="20"/>
                <w:szCs w:val="20"/>
              </w:rPr>
            </w:pPr>
          </w:p>
        </w:tc>
      </w:tr>
      <w:tr w:rsidR="00F264AD" w14:paraId="240121C4" w14:textId="77777777" w:rsidTr="00D94F94">
        <w:tc>
          <w:tcPr>
            <w:tcW w:w="2644" w:type="pct"/>
            <w:vAlign w:val="center"/>
          </w:tcPr>
          <w:p w14:paraId="0AB88BAB" w14:textId="77777777" w:rsidR="00F264AD" w:rsidRPr="00371910" w:rsidRDefault="00F264AD" w:rsidP="00D94F94">
            <w:pPr>
              <w:pStyle w:val="Compact"/>
              <w:rPr>
                <w:sz w:val="20"/>
                <w:szCs w:val="20"/>
              </w:rPr>
            </w:pPr>
            <w:r w:rsidRPr="00371910">
              <w:rPr>
                <w:sz w:val="20"/>
                <w:szCs w:val="20"/>
              </w:rPr>
              <w:t>BASE+testp100k</w:t>
            </w:r>
          </w:p>
        </w:tc>
        <w:tc>
          <w:tcPr>
            <w:tcW w:w="1285" w:type="pct"/>
            <w:vAlign w:val="center"/>
          </w:tcPr>
          <w:p w14:paraId="64D2E494"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0997EA38" w14:textId="77777777" w:rsidR="00F264AD" w:rsidRPr="00371910" w:rsidRDefault="00F264AD" w:rsidP="00D94F94">
            <w:pPr>
              <w:pStyle w:val="Compact"/>
              <w:rPr>
                <w:sz w:val="20"/>
                <w:szCs w:val="20"/>
              </w:rPr>
            </w:pPr>
          </w:p>
        </w:tc>
      </w:tr>
      <w:tr w:rsidR="00F264AD" w14:paraId="08770E69" w14:textId="77777777" w:rsidTr="00D94F94">
        <w:tc>
          <w:tcPr>
            <w:tcW w:w="2644" w:type="pct"/>
            <w:vAlign w:val="center"/>
          </w:tcPr>
          <w:p w14:paraId="5A79114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w:t>
            </w:r>
          </w:p>
        </w:tc>
        <w:tc>
          <w:tcPr>
            <w:tcW w:w="1285" w:type="pct"/>
            <w:vAlign w:val="center"/>
          </w:tcPr>
          <w:p w14:paraId="7197B52A"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640E0231" w14:textId="77777777" w:rsidR="00F264AD" w:rsidRPr="00371910" w:rsidRDefault="00F264AD" w:rsidP="00D94F94">
            <w:pPr>
              <w:pStyle w:val="Compact"/>
              <w:rPr>
                <w:sz w:val="20"/>
                <w:szCs w:val="20"/>
              </w:rPr>
            </w:pPr>
          </w:p>
        </w:tc>
      </w:tr>
      <w:tr w:rsidR="00F264AD" w14:paraId="0C4006CE" w14:textId="77777777" w:rsidTr="00D94F94">
        <w:tc>
          <w:tcPr>
            <w:tcW w:w="2644" w:type="pct"/>
            <w:vAlign w:val="center"/>
          </w:tcPr>
          <w:p w14:paraId="5A70883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w:t>
            </w:r>
          </w:p>
        </w:tc>
        <w:tc>
          <w:tcPr>
            <w:tcW w:w="1285" w:type="pct"/>
            <w:vAlign w:val="center"/>
          </w:tcPr>
          <w:p w14:paraId="2A2791E9"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4B1553E3" w14:textId="77777777" w:rsidR="00F264AD" w:rsidRPr="00371910" w:rsidRDefault="00F264AD" w:rsidP="00D94F94">
            <w:pPr>
              <w:pStyle w:val="Compact"/>
              <w:rPr>
                <w:sz w:val="20"/>
                <w:szCs w:val="20"/>
              </w:rPr>
            </w:pPr>
          </w:p>
        </w:tc>
      </w:tr>
      <w:tr w:rsidR="00F264AD" w14:paraId="080BD8C3" w14:textId="77777777" w:rsidTr="00D94F94">
        <w:tc>
          <w:tcPr>
            <w:tcW w:w="2644" w:type="pct"/>
            <w:vAlign w:val="center"/>
          </w:tcPr>
          <w:p w14:paraId="0F51D06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+cumcasep100k+testp100k+per50up</w:t>
            </w:r>
          </w:p>
        </w:tc>
        <w:tc>
          <w:tcPr>
            <w:tcW w:w="1285" w:type="pct"/>
            <w:vAlign w:val="center"/>
          </w:tcPr>
          <w:p w14:paraId="50B592EE" w14:textId="77777777" w:rsidR="00F264AD" w:rsidRPr="00371910" w:rsidRDefault="00F264AD" w:rsidP="00D94F94">
            <w:pPr>
              <w:pStyle w:val="Compact"/>
              <w:rPr>
                <w:sz w:val="20"/>
                <w:szCs w:val="20"/>
              </w:rPr>
            </w:pPr>
            <w:r w:rsidRPr="00371910">
              <w:rPr>
                <w:sz w:val="20"/>
                <w:szCs w:val="20"/>
              </w:rPr>
              <w:t>0.341 (0.335 - 0.343)</w:t>
            </w:r>
          </w:p>
        </w:tc>
        <w:tc>
          <w:tcPr>
            <w:tcW w:w="1071" w:type="pct"/>
            <w:vAlign w:val="center"/>
          </w:tcPr>
          <w:p w14:paraId="60D28A2D" w14:textId="77777777" w:rsidR="00F264AD" w:rsidRPr="00371910" w:rsidRDefault="00F264AD" w:rsidP="00D94F94">
            <w:pPr>
              <w:pStyle w:val="Compact"/>
              <w:rPr>
                <w:sz w:val="20"/>
                <w:szCs w:val="20"/>
              </w:rPr>
            </w:pPr>
          </w:p>
        </w:tc>
      </w:tr>
      <w:tr w:rsidR="00F264AD" w14:paraId="5827DE6F" w14:textId="77777777" w:rsidTr="00D94F94">
        <w:tc>
          <w:tcPr>
            <w:tcW w:w="2644" w:type="pct"/>
            <w:vAlign w:val="center"/>
          </w:tcPr>
          <w:p w14:paraId="4987605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+cumcasep100k+per50up</w:t>
            </w:r>
          </w:p>
        </w:tc>
        <w:tc>
          <w:tcPr>
            <w:tcW w:w="1285" w:type="pct"/>
            <w:vAlign w:val="center"/>
          </w:tcPr>
          <w:p w14:paraId="6987EFF3"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1F0D3145" w14:textId="77777777" w:rsidR="00F264AD" w:rsidRPr="00371910" w:rsidRDefault="00F264AD" w:rsidP="00D94F94">
            <w:pPr>
              <w:pStyle w:val="Compact"/>
              <w:rPr>
                <w:sz w:val="20"/>
                <w:szCs w:val="20"/>
              </w:rPr>
            </w:pPr>
          </w:p>
        </w:tc>
      </w:tr>
      <w:tr w:rsidR="00F264AD" w14:paraId="41419A20" w14:textId="77777777" w:rsidTr="00D94F94">
        <w:tc>
          <w:tcPr>
            <w:tcW w:w="2644" w:type="pct"/>
            <w:vAlign w:val="center"/>
          </w:tcPr>
          <w:p w14:paraId="0C8D354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w:t>
            </w:r>
          </w:p>
        </w:tc>
        <w:tc>
          <w:tcPr>
            <w:tcW w:w="1285" w:type="pct"/>
            <w:vAlign w:val="center"/>
          </w:tcPr>
          <w:p w14:paraId="204175F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0A56DBF9" w14:textId="77777777" w:rsidR="00F264AD" w:rsidRPr="00371910" w:rsidRDefault="00F264AD" w:rsidP="00D94F94">
            <w:pPr>
              <w:pStyle w:val="Compact"/>
              <w:rPr>
                <w:sz w:val="20"/>
                <w:szCs w:val="20"/>
              </w:rPr>
            </w:pPr>
          </w:p>
        </w:tc>
      </w:tr>
      <w:tr w:rsidR="00F264AD" w14:paraId="02AC303F" w14:textId="77777777" w:rsidTr="00D94F94">
        <w:tc>
          <w:tcPr>
            <w:tcW w:w="2644" w:type="pct"/>
            <w:vAlign w:val="center"/>
          </w:tcPr>
          <w:p w14:paraId="0CC2A016" w14:textId="77777777" w:rsidR="00F264AD" w:rsidRPr="00371910" w:rsidRDefault="00F264AD" w:rsidP="00D94F94">
            <w:pPr>
              <w:pStyle w:val="Compact"/>
              <w:rPr>
                <w:sz w:val="20"/>
                <w:szCs w:val="20"/>
              </w:rPr>
            </w:pPr>
            <w:r w:rsidRPr="00371910">
              <w:rPr>
                <w:sz w:val="20"/>
                <w:szCs w:val="20"/>
              </w:rPr>
              <w:t>BASE+cumcasep100k+testp100k</w:t>
            </w:r>
          </w:p>
        </w:tc>
        <w:tc>
          <w:tcPr>
            <w:tcW w:w="1285" w:type="pct"/>
            <w:vAlign w:val="center"/>
          </w:tcPr>
          <w:p w14:paraId="2184130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2DAE5BB" w14:textId="77777777" w:rsidR="00F264AD" w:rsidRPr="00371910" w:rsidRDefault="00F264AD" w:rsidP="00D94F94">
            <w:pPr>
              <w:pStyle w:val="Compact"/>
              <w:rPr>
                <w:sz w:val="20"/>
                <w:szCs w:val="20"/>
              </w:rPr>
            </w:pPr>
          </w:p>
        </w:tc>
      </w:tr>
      <w:tr w:rsidR="00F264AD" w14:paraId="78A1799E" w14:textId="77777777" w:rsidTr="00D94F94">
        <w:tc>
          <w:tcPr>
            <w:tcW w:w="2644" w:type="pct"/>
            <w:vAlign w:val="center"/>
          </w:tcPr>
          <w:p w14:paraId="22C3974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+cumcasep100k+per50up</w:t>
            </w:r>
          </w:p>
        </w:tc>
        <w:tc>
          <w:tcPr>
            <w:tcW w:w="1285" w:type="pct"/>
            <w:vAlign w:val="center"/>
          </w:tcPr>
          <w:p w14:paraId="448FA06A"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509EBA2" w14:textId="77777777" w:rsidR="00F264AD" w:rsidRPr="00371910" w:rsidRDefault="00F264AD" w:rsidP="00D94F94">
            <w:pPr>
              <w:pStyle w:val="Compact"/>
              <w:rPr>
                <w:sz w:val="20"/>
                <w:szCs w:val="20"/>
              </w:rPr>
            </w:pPr>
          </w:p>
        </w:tc>
      </w:tr>
      <w:tr w:rsidR="00F264AD" w14:paraId="52900A34" w14:textId="77777777" w:rsidTr="00D94F94">
        <w:tc>
          <w:tcPr>
            <w:tcW w:w="2644" w:type="pct"/>
            <w:vAlign w:val="center"/>
          </w:tcPr>
          <w:p w14:paraId="65C3A572" w14:textId="77777777" w:rsidR="00F264AD" w:rsidRPr="00371910" w:rsidRDefault="00F264AD" w:rsidP="00D94F94">
            <w:pPr>
              <w:pStyle w:val="Compact"/>
              <w:rPr>
                <w:sz w:val="20"/>
                <w:szCs w:val="20"/>
              </w:rPr>
            </w:pPr>
            <w:r w:rsidRPr="00371910">
              <w:rPr>
                <w:sz w:val="20"/>
                <w:szCs w:val="20"/>
              </w:rPr>
              <w:t>BASE+cumcasep100k+per50up</w:t>
            </w:r>
          </w:p>
        </w:tc>
        <w:tc>
          <w:tcPr>
            <w:tcW w:w="1285" w:type="pct"/>
            <w:vAlign w:val="center"/>
          </w:tcPr>
          <w:p w14:paraId="1DAEFAC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CD78181" w14:textId="77777777" w:rsidR="00F264AD" w:rsidRPr="00371910" w:rsidRDefault="00F264AD" w:rsidP="00D94F94">
            <w:pPr>
              <w:pStyle w:val="Compact"/>
              <w:rPr>
                <w:sz w:val="20"/>
                <w:szCs w:val="20"/>
              </w:rPr>
            </w:pPr>
          </w:p>
        </w:tc>
      </w:tr>
      <w:tr w:rsidR="00F264AD" w14:paraId="28955525" w14:textId="77777777" w:rsidTr="00D94F94">
        <w:tc>
          <w:tcPr>
            <w:tcW w:w="2644" w:type="pct"/>
            <w:vAlign w:val="center"/>
          </w:tcPr>
          <w:p w14:paraId="7AE44CA5" w14:textId="77777777" w:rsidR="00F264AD" w:rsidRPr="00371910" w:rsidRDefault="00F264AD" w:rsidP="00D94F94">
            <w:pPr>
              <w:pStyle w:val="Compact"/>
              <w:rPr>
                <w:sz w:val="20"/>
                <w:szCs w:val="20"/>
              </w:rPr>
            </w:pPr>
            <w:r w:rsidRPr="00371910">
              <w:rPr>
                <w:sz w:val="20"/>
                <w:szCs w:val="20"/>
              </w:rPr>
              <w:t>BASE+cumcasep100k+testp100k+per50up</w:t>
            </w:r>
          </w:p>
        </w:tc>
        <w:tc>
          <w:tcPr>
            <w:tcW w:w="1285" w:type="pct"/>
            <w:vAlign w:val="center"/>
          </w:tcPr>
          <w:p w14:paraId="235D5B6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4F87D222" w14:textId="77777777" w:rsidR="00F264AD" w:rsidRPr="00371910" w:rsidRDefault="00F264AD" w:rsidP="00D94F94">
            <w:pPr>
              <w:pStyle w:val="Compact"/>
              <w:rPr>
                <w:sz w:val="20"/>
                <w:szCs w:val="20"/>
              </w:rPr>
            </w:pPr>
          </w:p>
        </w:tc>
      </w:tr>
      <w:tr w:rsidR="00F264AD" w14:paraId="233A4F94" w14:textId="77777777" w:rsidTr="00D94F94">
        <w:tc>
          <w:tcPr>
            <w:tcW w:w="2644" w:type="pct"/>
            <w:vAlign w:val="center"/>
          </w:tcPr>
          <w:p w14:paraId="03F02A6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+cumcasep100k+testp100k+per50up</w:t>
            </w:r>
          </w:p>
        </w:tc>
        <w:tc>
          <w:tcPr>
            <w:tcW w:w="1285" w:type="pct"/>
            <w:vAlign w:val="center"/>
          </w:tcPr>
          <w:p w14:paraId="2F97B9F0"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AC50413" w14:textId="77777777" w:rsidR="00F264AD" w:rsidRPr="00371910" w:rsidRDefault="00F264AD" w:rsidP="00D94F94">
            <w:pPr>
              <w:pStyle w:val="Compact"/>
              <w:rPr>
                <w:sz w:val="20"/>
                <w:szCs w:val="20"/>
              </w:rPr>
            </w:pPr>
          </w:p>
        </w:tc>
      </w:tr>
      <w:tr w:rsidR="00F264AD" w14:paraId="6B8EE1EA" w14:textId="77777777" w:rsidTr="00D94F94">
        <w:tc>
          <w:tcPr>
            <w:tcW w:w="2644" w:type="pct"/>
            <w:vAlign w:val="center"/>
          </w:tcPr>
          <w:p w14:paraId="0F0BB23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w:t>
            </w:r>
          </w:p>
        </w:tc>
        <w:tc>
          <w:tcPr>
            <w:tcW w:w="1285" w:type="pct"/>
            <w:vAlign w:val="center"/>
          </w:tcPr>
          <w:p w14:paraId="4EC0AC77"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0A52BD1" w14:textId="77777777" w:rsidR="00F264AD" w:rsidRPr="00371910" w:rsidRDefault="00F264AD" w:rsidP="00D94F94">
            <w:pPr>
              <w:pStyle w:val="Compact"/>
              <w:rPr>
                <w:sz w:val="20"/>
                <w:szCs w:val="20"/>
              </w:rPr>
            </w:pPr>
          </w:p>
        </w:tc>
      </w:tr>
      <w:tr w:rsidR="00F264AD" w14:paraId="6C6713C5" w14:textId="77777777" w:rsidTr="00D94F94">
        <w:tc>
          <w:tcPr>
            <w:tcW w:w="2644" w:type="pct"/>
            <w:vAlign w:val="center"/>
          </w:tcPr>
          <w:p w14:paraId="637DCAE9" w14:textId="77777777" w:rsidR="00F264AD" w:rsidRPr="00371910" w:rsidRDefault="00F264AD" w:rsidP="00D94F94">
            <w:pPr>
              <w:pStyle w:val="Compact"/>
              <w:rPr>
                <w:sz w:val="20"/>
                <w:szCs w:val="20"/>
              </w:rPr>
            </w:pPr>
            <w:r w:rsidRPr="00371910">
              <w:rPr>
                <w:sz w:val="20"/>
                <w:szCs w:val="20"/>
              </w:rPr>
              <w:t>BASE+cumcasep100k</w:t>
            </w:r>
          </w:p>
        </w:tc>
        <w:tc>
          <w:tcPr>
            <w:tcW w:w="1285" w:type="pct"/>
            <w:vAlign w:val="center"/>
          </w:tcPr>
          <w:p w14:paraId="6BDE450D"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490BFFF4" w14:textId="77777777" w:rsidR="00F264AD" w:rsidRPr="00371910" w:rsidRDefault="00F264AD" w:rsidP="00D94F94">
            <w:pPr>
              <w:pStyle w:val="Compact"/>
              <w:rPr>
                <w:sz w:val="20"/>
                <w:szCs w:val="20"/>
              </w:rPr>
            </w:pPr>
          </w:p>
        </w:tc>
      </w:tr>
      <w:tr w:rsidR="00F264AD" w14:paraId="15164BE5" w14:textId="77777777" w:rsidTr="00D94F94">
        <w:tc>
          <w:tcPr>
            <w:tcW w:w="2644" w:type="pct"/>
            <w:vAlign w:val="center"/>
          </w:tcPr>
          <w:p w14:paraId="496E6E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w:t>
            </w:r>
          </w:p>
        </w:tc>
        <w:tc>
          <w:tcPr>
            <w:tcW w:w="1285" w:type="pct"/>
            <w:vAlign w:val="center"/>
          </w:tcPr>
          <w:p w14:paraId="2C91B06A"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6C29A7C6" w14:textId="77777777" w:rsidR="00F264AD" w:rsidRPr="00371910" w:rsidRDefault="00F264AD" w:rsidP="00D94F94">
            <w:pPr>
              <w:pStyle w:val="Compact"/>
              <w:rPr>
                <w:sz w:val="20"/>
                <w:szCs w:val="20"/>
              </w:rPr>
            </w:pPr>
          </w:p>
        </w:tc>
      </w:tr>
    </w:tbl>
    <w:p w14:paraId="58A0AD2E" w14:textId="42C257E7" w:rsidR="00F264AD" w:rsidRDefault="00F264AD" w:rsidP="00C66730"/>
    <w:p w14:paraId="6BE5E470" w14:textId="0B06C028" w:rsidR="00D51B89" w:rsidRDefault="00D51B89" w:rsidP="00C66730"/>
    <w:sectPr w:rsidR="00D51B89">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991E" w14:textId="77777777" w:rsidR="002070DF" w:rsidRDefault="002070DF" w:rsidP="0047165F">
      <w:pPr>
        <w:spacing w:line="240" w:lineRule="auto"/>
      </w:pPr>
      <w:r>
        <w:separator/>
      </w:r>
    </w:p>
  </w:endnote>
  <w:endnote w:type="continuationSeparator" w:id="0">
    <w:p w14:paraId="1ECE7B95" w14:textId="77777777" w:rsidR="002070DF" w:rsidRDefault="002070DF" w:rsidP="0047165F">
      <w:pPr>
        <w:spacing w:line="240" w:lineRule="auto"/>
      </w:pPr>
      <w:r>
        <w:continuationSeparator/>
      </w:r>
    </w:p>
  </w:endnote>
  <w:endnote w:type="continuationNotice" w:id="1">
    <w:p w14:paraId="0F8D4D38" w14:textId="77777777" w:rsidR="002070DF" w:rsidRDefault="002070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152C" w14:textId="77777777" w:rsidR="002070DF" w:rsidRDefault="002070DF" w:rsidP="0047165F">
      <w:pPr>
        <w:spacing w:line="240" w:lineRule="auto"/>
      </w:pPr>
      <w:r>
        <w:separator/>
      </w:r>
    </w:p>
  </w:footnote>
  <w:footnote w:type="continuationSeparator" w:id="0">
    <w:p w14:paraId="40AFDC52" w14:textId="77777777" w:rsidR="002070DF" w:rsidRDefault="002070DF" w:rsidP="0047165F">
      <w:pPr>
        <w:spacing w:line="240" w:lineRule="auto"/>
      </w:pPr>
      <w:r>
        <w:continuationSeparator/>
      </w:r>
    </w:p>
  </w:footnote>
  <w:footnote w:type="continuationNotice" w:id="1">
    <w:p w14:paraId="725FE080" w14:textId="77777777" w:rsidR="002070DF" w:rsidRDefault="002070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67F6" w14:textId="77777777" w:rsidR="00E72690" w:rsidRDefault="00E72690" w:rsidP="00E72690">
    <w:pPr>
      <w:rPr>
        <w:b/>
      </w:rPr>
    </w:pPr>
    <w:bookmarkStart w:id="4" w:name="_ekach9rbzfun" w:colFirst="0" w:colLast="0"/>
    <w:bookmarkEnd w:id="4"/>
    <w:r>
      <w:rPr>
        <w:b/>
      </w:rPr>
      <w:t>Evaluation of an equity-focused vaccine allocation policy on vaccination rates and COVID-19 outcomes in California, 2021</w:t>
    </w:r>
  </w:p>
  <w:p w14:paraId="1E4ABF46" w14:textId="77777777" w:rsidR="00E72690" w:rsidRDefault="00E72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38B"/>
    <w:rsid w:val="00016CF0"/>
    <w:rsid w:val="00016EB2"/>
    <w:rsid w:val="000204F2"/>
    <w:rsid w:val="000218E4"/>
    <w:rsid w:val="00021B4E"/>
    <w:rsid w:val="00022FD4"/>
    <w:rsid w:val="0002432F"/>
    <w:rsid w:val="0002442C"/>
    <w:rsid w:val="000244B3"/>
    <w:rsid w:val="00024C47"/>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0398"/>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7A2"/>
    <w:rsid w:val="0009481B"/>
    <w:rsid w:val="000950A1"/>
    <w:rsid w:val="000950D1"/>
    <w:rsid w:val="00096277"/>
    <w:rsid w:val="0009669D"/>
    <w:rsid w:val="000A220A"/>
    <w:rsid w:val="000A2434"/>
    <w:rsid w:val="000A3347"/>
    <w:rsid w:val="000A33CD"/>
    <w:rsid w:val="000A401C"/>
    <w:rsid w:val="000A49A7"/>
    <w:rsid w:val="000A4C5F"/>
    <w:rsid w:val="000A5CD3"/>
    <w:rsid w:val="000A63EA"/>
    <w:rsid w:val="000A7902"/>
    <w:rsid w:val="000B02B3"/>
    <w:rsid w:val="000B13B9"/>
    <w:rsid w:val="000B1B3E"/>
    <w:rsid w:val="000B4662"/>
    <w:rsid w:val="000B53BF"/>
    <w:rsid w:val="000B5B36"/>
    <w:rsid w:val="000B5BDD"/>
    <w:rsid w:val="000B6388"/>
    <w:rsid w:val="000B6828"/>
    <w:rsid w:val="000B7BAD"/>
    <w:rsid w:val="000C1E2A"/>
    <w:rsid w:val="000C2323"/>
    <w:rsid w:val="000C2980"/>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2EAD"/>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319F"/>
    <w:rsid w:val="001142C6"/>
    <w:rsid w:val="00114D31"/>
    <w:rsid w:val="00115245"/>
    <w:rsid w:val="001156AE"/>
    <w:rsid w:val="00115A2E"/>
    <w:rsid w:val="001161F1"/>
    <w:rsid w:val="00117DE4"/>
    <w:rsid w:val="001202DE"/>
    <w:rsid w:val="00120880"/>
    <w:rsid w:val="00121943"/>
    <w:rsid w:val="00121949"/>
    <w:rsid w:val="0012222E"/>
    <w:rsid w:val="00122AB8"/>
    <w:rsid w:val="00122C68"/>
    <w:rsid w:val="00122FA9"/>
    <w:rsid w:val="001236E7"/>
    <w:rsid w:val="00124342"/>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FE3"/>
    <w:rsid w:val="00140873"/>
    <w:rsid w:val="00140B8B"/>
    <w:rsid w:val="00140BA2"/>
    <w:rsid w:val="00140D86"/>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224"/>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C7B"/>
    <w:rsid w:val="0018516A"/>
    <w:rsid w:val="00186B4C"/>
    <w:rsid w:val="001870DE"/>
    <w:rsid w:val="00187B85"/>
    <w:rsid w:val="00190757"/>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6A1"/>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0DF"/>
    <w:rsid w:val="00207924"/>
    <w:rsid w:val="00207A03"/>
    <w:rsid w:val="00210F7A"/>
    <w:rsid w:val="00211A9A"/>
    <w:rsid w:val="00212C67"/>
    <w:rsid w:val="00213030"/>
    <w:rsid w:val="0021633D"/>
    <w:rsid w:val="0021690B"/>
    <w:rsid w:val="0021720E"/>
    <w:rsid w:val="002175AD"/>
    <w:rsid w:val="00217921"/>
    <w:rsid w:val="00217E12"/>
    <w:rsid w:val="002212F1"/>
    <w:rsid w:val="00221F89"/>
    <w:rsid w:val="00222B0B"/>
    <w:rsid w:val="00222CD1"/>
    <w:rsid w:val="00222FF5"/>
    <w:rsid w:val="0022359B"/>
    <w:rsid w:val="002235F9"/>
    <w:rsid w:val="00223699"/>
    <w:rsid w:val="00223B8E"/>
    <w:rsid w:val="00224EF0"/>
    <w:rsid w:val="002255EB"/>
    <w:rsid w:val="002265CE"/>
    <w:rsid w:val="0022671B"/>
    <w:rsid w:val="002276C3"/>
    <w:rsid w:val="00227EC9"/>
    <w:rsid w:val="002306A9"/>
    <w:rsid w:val="0023154C"/>
    <w:rsid w:val="00232420"/>
    <w:rsid w:val="0023260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3F1"/>
    <w:rsid w:val="002A4CFD"/>
    <w:rsid w:val="002A61FA"/>
    <w:rsid w:val="002A6B00"/>
    <w:rsid w:val="002A7135"/>
    <w:rsid w:val="002B042A"/>
    <w:rsid w:val="002B0601"/>
    <w:rsid w:val="002B1CF2"/>
    <w:rsid w:val="002B1F6F"/>
    <w:rsid w:val="002B274B"/>
    <w:rsid w:val="002B3B53"/>
    <w:rsid w:val="002B3C2D"/>
    <w:rsid w:val="002B4A20"/>
    <w:rsid w:val="002B55A0"/>
    <w:rsid w:val="002B5D83"/>
    <w:rsid w:val="002B6081"/>
    <w:rsid w:val="002B6187"/>
    <w:rsid w:val="002B6D8D"/>
    <w:rsid w:val="002B7B3F"/>
    <w:rsid w:val="002B7D1F"/>
    <w:rsid w:val="002C1995"/>
    <w:rsid w:val="002C269E"/>
    <w:rsid w:val="002C2EB0"/>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00FD"/>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626"/>
    <w:rsid w:val="00340BCC"/>
    <w:rsid w:val="00342664"/>
    <w:rsid w:val="00343081"/>
    <w:rsid w:val="00344093"/>
    <w:rsid w:val="00344163"/>
    <w:rsid w:val="003443F3"/>
    <w:rsid w:val="00344FAE"/>
    <w:rsid w:val="00345CBD"/>
    <w:rsid w:val="00345FE9"/>
    <w:rsid w:val="00347578"/>
    <w:rsid w:val="00347CD9"/>
    <w:rsid w:val="00347D21"/>
    <w:rsid w:val="00347E43"/>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2C16"/>
    <w:rsid w:val="00414CB2"/>
    <w:rsid w:val="00415EC0"/>
    <w:rsid w:val="00417548"/>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63AE"/>
    <w:rsid w:val="004666A9"/>
    <w:rsid w:val="00466CAF"/>
    <w:rsid w:val="00466F8B"/>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2D9"/>
    <w:rsid w:val="004B1B18"/>
    <w:rsid w:val="004B27C5"/>
    <w:rsid w:val="004B28BC"/>
    <w:rsid w:val="004B379E"/>
    <w:rsid w:val="004B4569"/>
    <w:rsid w:val="004B60B8"/>
    <w:rsid w:val="004B6AB3"/>
    <w:rsid w:val="004C0475"/>
    <w:rsid w:val="004C0A1A"/>
    <w:rsid w:val="004C11D8"/>
    <w:rsid w:val="004C139D"/>
    <w:rsid w:val="004C1797"/>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52C0"/>
    <w:rsid w:val="004D7A1E"/>
    <w:rsid w:val="004E14B2"/>
    <w:rsid w:val="004E500C"/>
    <w:rsid w:val="004E5134"/>
    <w:rsid w:val="004E5170"/>
    <w:rsid w:val="004E79AF"/>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21B"/>
    <w:rsid w:val="00500CE0"/>
    <w:rsid w:val="00500F5B"/>
    <w:rsid w:val="00501D6E"/>
    <w:rsid w:val="00502B64"/>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2E46"/>
    <w:rsid w:val="005230F1"/>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1788"/>
    <w:rsid w:val="00541C7A"/>
    <w:rsid w:val="00542C7B"/>
    <w:rsid w:val="00542E04"/>
    <w:rsid w:val="00543381"/>
    <w:rsid w:val="00543589"/>
    <w:rsid w:val="005440F2"/>
    <w:rsid w:val="00544BF1"/>
    <w:rsid w:val="0054644D"/>
    <w:rsid w:val="00547AE0"/>
    <w:rsid w:val="00547CE0"/>
    <w:rsid w:val="00550C04"/>
    <w:rsid w:val="00551862"/>
    <w:rsid w:val="005529F6"/>
    <w:rsid w:val="00552A69"/>
    <w:rsid w:val="00552D88"/>
    <w:rsid w:val="00552FCF"/>
    <w:rsid w:val="0055350B"/>
    <w:rsid w:val="0055407A"/>
    <w:rsid w:val="0055456A"/>
    <w:rsid w:val="00555640"/>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D6"/>
    <w:rsid w:val="00585314"/>
    <w:rsid w:val="00585961"/>
    <w:rsid w:val="005860B6"/>
    <w:rsid w:val="005861C6"/>
    <w:rsid w:val="0058660D"/>
    <w:rsid w:val="00586B08"/>
    <w:rsid w:val="005903CD"/>
    <w:rsid w:val="005905DF"/>
    <w:rsid w:val="00591D39"/>
    <w:rsid w:val="00591F22"/>
    <w:rsid w:val="00592917"/>
    <w:rsid w:val="00592A2F"/>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747"/>
    <w:rsid w:val="005C6BAF"/>
    <w:rsid w:val="005C70CD"/>
    <w:rsid w:val="005C7AAD"/>
    <w:rsid w:val="005D0656"/>
    <w:rsid w:val="005D1665"/>
    <w:rsid w:val="005D21CD"/>
    <w:rsid w:val="005D2262"/>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79E9"/>
    <w:rsid w:val="006723FC"/>
    <w:rsid w:val="0067284D"/>
    <w:rsid w:val="00672F63"/>
    <w:rsid w:val="00673412"/>
    <w:rsid w:val="00673B39"/>
    <w:rsid w:val="00673CD8"/>
    <w:rsid w:val="0067491B"/>
    <w:rsid w:val="00674979"/>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17A"/>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4177"/>
    <w:rsid w:val="006B51AE"/>
    <w:rsid w:val="006B5416"/>
    <w:rsid w:val="006B57D5"/>
    <w:rsid w:val="006B5CDB"/>
    <w:rsid w:val="006B794E"/>
    <w:rsid w:val="006B7ECF"/>
    <w:rsid w:val="006B7F89"/>
    <w:rsid w:val="006C11BC"/>
    <w:rsid w:val="006C172C"/>
    <w:rsid w:val="006C2930"/>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3F6C"/>
    <w:rsid w:val="006D50AB"/>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47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203E"/>
    <w:rsid w:val="007A2EB1"/>
    <w:rsid w:val="007A3101"/>
    <w:rsid w:val="007A3650"/>
    <w:rsid w:val="007A37C4"/>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6430"/>
    <w:rsid w:val="00887372"/>
    <w:rsid w:val="00887CBE"/>
    <w:rsid w:val="00887D55"/>
    <w:rsid w:val="00890D5F"/>
    <w:rsid w:val="008925D5"/>
    <w:rsid w:val="00892CFC"/>
    <w:rsid w:val="008931B4"/>
    <w:rsid w:val="00893D37"/>
    <w:rsid w:val="00894545"/>
    <w:rsid w:val="008955EF"/>
    <w:rsid w:val="00895E81"/>
    <w:rsid w:val="0089625C"/>
    <w:rsid w:val="00896E5D"/>
    <w:rsid w:val="0089737B"/>
    <w:rsid w:val="008A1134"/>
    <w:rsid w:val="008A136A"/>
    <w:rsid w:val="008A263D"/>
    <w:rsid w:val="008A3730"/>
    <w:rsid w:val="008A47CC"/>
    <w:rsid w:val="008A6518"/>
    <w:rsid w:val="008A6657"/>
    <w:rsid w:val="008B101C"/>
    <w:rsid w:val="008B1302"/>
    <w:rsid w:val="008B13DF"/>
    <w:rsid w:val="008B1FF9"/>
    <w:rsid w:val="008B233C"/>
    <w:rsid w:val="008B2AF4"/>
    <w:rsid w:val="008B328B"/>
    <w:rsid w:val="008B3689"/>
    <w:rsid w:val="008B3DDF"/>
    <w:rsid w:val="008B4404"/>
    <w:rsid w:val="008B48EB"/>
    <w:rsid w:val="008B76AA"/>
    <w:rsid w:val="008C0083"/>
    <w:rsid w:val="008C22ED"/>
    <w:rsid w:val="008C2767"/>
    <w:rsid w:val="008C34F8"/>
    <w:rsid w:val="008C3702"/>
    <w:rsid w:val="008C376F"/>
    <w:rsid w:val="008C3AA5"/>
    <w:rsid w:val="008C40B5"/>
    <w:rsid w:val="008C4925"/>
    <w:rsid w:val="008C4D26"/>
    <w:rsid w:val="008C534D"/>
    <w:rsid w:val="008C5E2D"/>
    <w:rsid w:val="008C5EE6"/>
    <w:rsid w:val="008C705D"/>
    <w:rsid w:val="008C71B8"/>
    <w:rsid w:val="008C78AA"/>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681"/>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7D8"/>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3E3C"/>
    <w:rsid w:val="00953F8C"/>
    <w:rsid w:val="00955ADD"/>
    <w:rsid w:val="0095636A"/>
    <w:rsid w:val="009603AB"/>
    <w:rsid w:val="0096049A"/>
    <w:rsid w:val="00960A59"/>
    <w:rsid w:val="00960B79"/>
    <w:rsid w:val="009615DE"/>
    <w:rsid w:val="00961A88"/>
    <w:rsid w:val="0096227E"/>
    <w:rsid w:val="009632DF"/>
    <w:rsid w:val="0096495D"/>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653"/>
    <w:rsid w:val="009A1A70"/>
    <w:rsid w:val="009A1B44"/>
    <w:rsid w:val="009A25F8"/>
    <w:rsid w:val="009A2904"/>
    <w:rsid w:val="009A2B79"/>
    <w:rsid w:val="009A32BB"/>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3CE"/>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6B"/>
    <w:rsid w:val="00A32C70"/>
    <w:rsid w:val="00A336F8"/>
    <w:rsid w:val="00A33AB7"/>
    <w:rsid w:val="00A35095"/>
    <w:rsid w:val="00A358E5"/>
    <w:rsid w:val="00A3611B"/>
    <w:rsid w:val="00A3715A"/>
    <w:rsid w:val="00A37939"/>
    <w:rsid w:val="00A379E4"/>
    <w:rsid w:val="00A40499"/>
    <w:rsid w:val="00A405B4"/>
    <w:rsid w:val="00A40B1A"/>
    <w:rsid w:val="00A414DF"/>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9D6"/>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B1E"/>
    <w:rsid w:val="00AA19DB"/>
    <w:rsid w:val="00AA409B"/>
    <w:rsid w:val="00AA4743"/>
    <w:rsid w:val="00AA4C34"/>
    <w:rsid w:val="00AA54ED"/>
    <w:rsid w:val="00AA56C9"/>
    <w:rsid w:val="00AA7EB7"/>
    <w:rsid w:val="00AB013F"/>
    <w:rsid w:val="00AB13D3"/>
    <w:rsid w:val="00AB1766"/>
    <w:rsid w:val="00AB3477"/>
    <w:rsid w:val="00AB3C6E"/>
    <w:rsid w:val="00AB4A4D"/>
    <w:rsid w:val="00AB508E"/>
    <w:rsid w:val="00AB5250"/>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E0309"/>
    <w:rsid w:val="00AE039D"/>
    <w:rsid w:val="00AE2DF0"/>
    <w:rsid w:val="00AE3A6F"/>
    <w:rsid w:val="00AE42E3"/>
    <w:rsid w:val="00AE4360"/>
    <w:rsid w:val="00AE4CB3"/>
    <w:rsid w:val="00AE4D4C"/>
    <w:rsid w:val="00AE60CF"/>
    <w:rsid w:val="00AE6E06"/>
    <w:rsid w:val="00AF020B"/>
    <w:rsid w:val="00AF090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6A68"/>
    <w:rsid w:val="00B07C49"/>
    <w:rsid w:val="00B106CD"/>
    <w:rsid w:val="00B10849"/>
    <w:rsid w:val="00B10E1A"/>
    <w:rsid w:val="00B110F7"/>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EC"/>
    <w:rsid w:val="00B2609B"/>
    <w:rsid w:val="00B26606"/>
    <w:rsid w:val="00B2787F"/>
    <w:rsid w:val="00B27B60"/>
    <w:rsid w:val="00B30AAC"/>
    <w:rsid w:val="00B30E2B"/>
    <w:rsid w:val="00B31522"/>
    <w:rsid w:val="00B3198F"/>
    <w:rsid w:val="00B343CB"/>
    <w:rsid w:val="00B3522E"/>
    <w:rsid w:val="00B356F7"/>
    <w:rsid w:val="00B35983"/>
    <w:rsid w:val="00B37F22"/>
    <w:rsid w:val="00B40052"/>
    <w:rsid w:val="00B40643"/>
    <w:rsid w:val="00B406C6"/>
    <w:rsid w:val="00B40D2A"/>
    <w:rsid w:val="00B417B2"/>
    <w:rsid w:val="00B425E8"/>
    <w:rsid w:val="00B4286E"/>
    <w:rsid w:val="00B4288E"/>
    <w:rsid w:val="00B4430B"/>
    <w:rsid w:val="00B444A0"/>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A1738"/>
    <w:rsid w:val="00BA192A"/>
    <w:rsid w:val="00BA1AB6"/>
    <w:rsid w:val="00BA1D8F"/>
    <w:rsid w:val="00BA2722"/>
    <w:rsid w:val="00BA3D71"/>
    <w:rsid w:val="00BA3E92"/>
    <w:rsid w:val="00BA477F"/>
    <w:rsid w:val="00BA490B"/>
    <w:rsid w:val="00BA52A9"/>
    <w:rsid w:val="00BA5C31"/>
    <w:rsid w:val="00BA645E"/>
    <w:rsid w:val="00BA6B35"/>
    <w:rsid w:val="00BB07F0"/>
    <w:rsid w:val="00BB1E3D"/>
    <w:rsid w:val="00BB221F"/>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C002B8"/>
    <w:rsid w:val="00C00C99"/>
    <w:rsid w:val="00C010E2"/>
    <w:rsid w:val="00C01EF6"/>
    <w:rsid w:val="00C02422"/>
    <w:rsid w:val="00C02596"/>
    <w:rsid w:val="00C029A1"/>
    <w:rsid w:val="00C02AD8"/>
    <w:rsid w:val="00C04841"/>
    <w:rsid w:val="00C049AA"/>
    <w:rsid w:val="00C04C72"/>
    <w:rsid w:val="00C059DE"/>
    <w:rsid w:val="00C076DD"/>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D06"/>
    <w:rsid w:val="00C23236"/>
    <w:rsid w:val="00C240A2"/>
    <w:rsid w:val="00C24DB3"/>
    <w:rsid w:val="00C251B8"/>
    <w:rsid w:val="00C26E4D"/>
    <w:rsid w:val="00C302D5"/>
    <w:rsid w:val="00C303B5"/>
    <w:rsid w:val="00C30F1C"/>
    <w:rsid w:val="00C315AC"/>
    <w:rsid w:val="00C31BCE"/>
    <w:rsid w:val="00C32271"/>
    <w:rsid w:val="00C326B3"/>
    <w:rsid w:val="00C33364"/>
    <w:rsid w:val="00C3389F"/>
    <w:rsid w:val="00C33C0F"/>
    <w:rsid w:val="00C33F38"/>
    <w:rsid w:val="00C34479"/>
    <w:rsid w:val="00C35310"/>
    <w:rsid w:val="00C355FF"/>
    <w:rsid w:val="00C3633D"/>
    <w:rsid w:val="00C363C7"/>
    <w:rsid w:val="00C41EEB"/>
    <w:rsid w:val="00C42872"/>
    <w:rsid w:val="00C43899"/>
    <w:rsid w:val="00C4475F"/>
    <w:rsid w:val="00C44AAC"/>
    <w:rsid w:val="00C44D5B"/>
    <w:rsid w:val="00C473C9"/>
    <w:rsid w:val="00C50CFC"/>
    <w:rsid w:val="00C52286"/>
    <w:rsid w:val="00C53A82"/>
    <w:rsid w:val="00C54B40"/>
    <w:rsid w:val="00C54DDC"/>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51BF"/>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4BDC"/>
    <w:rsid w:val="00CD50B3"/>
    <w:rsid w:val="00CD5FEB"/>
    <w:rsid w:val="00CD6486"/>
    <w:rsid w:val="00CD691D"/>
    <w:rsid w:val="00CD6F7B"/>
    <w:rsid w:val="00CD74C0"/>
    <w:rsid w:val="00CD7A36"/>
    <w:rsid w:val="00CE01CB"/>
    <w:rsid w:val="00CE0F0B"/>
    <w:rsid w:val="00CE2545"/>
    <w:rsid w:val="00CE25A1"/>
    <w:rsid w:val="00CE317D"/>
    <w:rsid w:val="00CE473A"/>
    <w:rsid w:val="00CE4DFE"/>
    <w:rsid w:val="00CE5863"/>
    <w:rsid w:val="00CE67BF"/>
    <w:rsid w:val="00CE6888"/>
    <w:rsid w:val="00CE786E"/>
    <w:rsid w:val="00CE7902"/>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2483"/>
    <w:rsid w:val="00D2348B"/>
    <w:rsid w:val="00D246F0"/>
    <w:rsid w:val="00D24857"/>
    <w:rsid w:val="00D25744"/>
    <w:rsid w:val="00D25CB7"/>
    <w:rsid w:val="00D2604D"/>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BB6"/>
    <w:rsid w:val="00D475BD"/>
    <w:rsid w:val="00D4787E"/>
    <w:rsid w:val="00D47BF4"/>
    <w:rsid w:val="00D507AF"/>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0DB"/>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1B4"/>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250"/>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160A"/>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690"/>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989"/>
    <w:rsid w:val="00EB6C51"/>
    <w:rsid w:val="00EB6CE8"/>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F0ED2"/>
    <w:rsid w:val="00EF12DF"/>
    <w:rsid w:val="00EF18D6"/>
    <w:rsid w:val="00EF40D3"/>
    <w:rsid w:val="00EF4A0E"/>
    <w:rsid w:val="00EF5428"/>
    <w:rsid w:val="00EF650B"/>
    <w:rsid w:val="00EF71BB"/>
    <w:rsid w:val="00EF7799"/>
    <w:rsid w:val="00EF7CF3"/>
    <w:rsid w:val="00F00437"/>
    <w:rsid w:val="00F030C9"/>
    <w:rsid w:val="00F04AAC"/>
    <w:rsid w:val="00F05458"/>
    <w:rsid w:val="00F05A6D"/>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2389"/>
    <w:rsid w:val="00F32E11"/>
    <w:rsid w:val="00F3536E"/>
    <w:rsid w:val="00F36020"/>
    <w:rsid w:val="00F364C3"/>
    <w:rsid w:val="00F40A12"/>
    <w:rsid w:val="00F40BD2"/>
    <w:rsid w:val="00F413BC"/>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2D"/>
    <w:rsid w:val="00F71CB6"/>
    <w:rsid w:val="00F7281F"/>
    <w:rsid w:val="00F72852"/>
    <w:rsid w:val="00F72A77"/>
    <w:rsid w:val="00F74BD9"/>
    <w:rsid w:val="00F74C41"/>
    <w:rsid w:val="00F75400"/>
    <w:rsid w:val="00F75931"/>
    <w:rsid w:val="00F76439"/>
    <w:rsid w:val="00F76DC1"/>
    <w:rsid w:val="00F7716C"/>
    <w:rsid w:val="00F77DE1"/>
    <w:rsid w:val="00F80164"/>
    <w:rsid w:val="00F80EAF"/>
    <w:rsid w:val="00F8183B"/>
    <w:rsid w:val="00F81FB1"/>
    <w:rsid w:val="00F82D14"/>
    <w:rsid w:val="00F82E7E"/>
    <w:rsid w:val="00F834E1"/>
    <w:rsid w:val="00F8383B"/>
    <w:rsid w:val="00F83913"/>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1AF"/>
    <w:rsid w:val="00F96609"/>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C3F"/>
    <w:rsid w:val="00FB7C88"/>
    <w:rsid w:val="00FC043C"/>
    <w:rsid w:val="00FC0BF7"/>
    <w:rsid w:val="00FC0F6A"/>
    <w:rsid w:val="00FC1A20"/>
    <w:rsid w:val="00FC1C92"/>
    <w:rsid w:val="00FC1D3D"/>
    <w:rsid w:val="00FC3E4F"/>
    <w:rsid w:val="00FC44F7"/>
    <w:rsid w:val="00FC4F31"/>
    <w:rsid w:val="00FC505A"/>
    <w:rsid w:val="00FC57B1"/>
    <w:rsid w:val="00FC58BA"/>
    <w:rsid w:val="00FC5AC1"/>
    <w:rsid w:val="00FC5B85"/>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F3BBD"/>
    <w:pPr>
      <w:keepNext/>
      <w:keepLines/>
      <w:spacing w:before="320" w:after="80"/>
      <w:outlineLvl w:val="2"/>
    </w:pPr>
    <w:rPr>
      <w:b/>
      <w:sz w:val="24"/>
      <w:szCs w:val="28"/>
    </w:rPr>
  </w:style>
  <w:style w:type="paragraph" w:styleId="Heading4">
    <w:name w:val="heading 4"/>
    <w:basedOn w:val="Normal"/>
    <w:next w:val="Normal"/>
    <w:link w:val="Heading4Char"/>
    <w:uiPriority w:val="9"/>
    <w:unhideWhenUsed/>
    <w:qFormat/>
    <w:rsid w:val="00466F8B"/>
    <w:pPr>
      <w:keepNext/>
      <w:keepLines/>
      <w:spacing w:before="120" w:after="12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 w:val="24"/>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466F8B"/>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2.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customXml/itemProps3.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41</cp:revision>
  <dcterms:created xsi:type="dcterms:W3CDTF">2023-11-24T23:43:00Z</dcterms:created>
  <dcterms:modified xsi:type="dcterms:W3CDTF">2023-11-28T05:02:00Z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id="HzgSEy5M"/&gt;&lt;style id="http://www.zotero.org/styles/vancouver" locale="en-US" hasBibliography="1" bibliographyStyleHasBeenSet="1"/&gt;&lt;prefs&gt;&lt;pref name="fieldType" value="Field"/&gt;&lt;/prefs&gt;&lt;/data&gt;</vt:lpwstr>
  </property>
</Properties>
</file>