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주택 보유 및 세대원 확인서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세대 기준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주민등록상 세대주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배우자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배우자와 같은 세대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같은 세대 □ 별도 세대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본인 명의 주택 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배우자 명의 주택 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세대원 명의 주택 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주택 수에 영향을 줄 수 있는 권리</w:t>
      </w:r>
    </w:p>
    <w:p>
      <w:r>
        <w:rPr>
          <w:rFonts w:ascii="맑은 고딕" w:hAnsi="맑은 고딕" w:eastAsia="맑은 고딕"/>
          <w:sz w:val="21"/>
        </w:rPr>
        <w:t>□ 분양권 있음</w:t>
      </w:r>
    </w:p>
    <w:p>
      <w:r>
        <w:rPr>
          <w:rFonts w:ascii="맑은 고딕" w:hAnsi="맑은 고딕" w:eastAsia="맑은 고딕"/>
          <w:sz w:val="21"/>
        </w:rPr>
        <w:t>□ 입주권 있음</w:t>
      </w:r>
    </w:p>
    <w:p>
      <w:r>
        <w:rPr>
          <w:rFonts w:ascii="맑은 고딕" w:hAnsi="맑은 고딕" w:eastAsia="맑은 고딕"/>
          <w:sz w:val="21"/>
        </w:rPr>
        <w:t>□ 상속주택 있음</w:t>
      </w:r>
    </w:p>
    <w:p>
      <w:r>
        <w:rPr>
          <w:rFonts w:ascii="맑은 고딕" w:hAnsi="맑은 고딕" w:eastAsia="맑은 고딕"/>
          <w:sz w:val="21"/>
        </w:rPr>
        <w:t>□ 공동상속주택 있음</w:t>
      </w:r>
    </w:p>
    <w:p>
      <w:r>
        <w:rPr>
          <w:rFonts w:ascii="맑은 고딕" w:hAnsi="맑은 고딕" w:eastAsia="맑은 고딕"/>
          <w:sz w:val="21"/>
        </w:rPr>
        <w:t>□ 임대사업자 등록 주택 있음</w:t>
      </w:r>
    </w:p>
    <w:p>
      <w:r>
        <w:rPr>
          <w:rFonts w:ascii="맑은 고딕" w:hAnsi="맑은 고딕" w:eastAsia="맑은 고딕"/>
          <w:sz w:val="21"/>
        </w:rPr>
        <w:t>□ 오피스텔 보유</w:t>
      </w:r>
    </w:p>
    <w:p>
      <w:r>
        <w:rPr>
          <w:rFonts w:ascii="맑은 고딕" w:hAnsi="맑은 고딕" w:eastAsia="맑은 고딕"/>
          <w:sz w:val="21"/>
        </w:rPr>
        <w:t>□ 농어촌주택 보유</w:t>
      </w:r>
    </w:p>
    <w:p>
      <w:r>
        <w:rPr>
          <w:rFonts w:ascii="맑은 고딕" w:hAnsi="맑은 고딕" w:eastAsia="맑은 고딕"/>
          <w:sz w:val="21"/>
        </w:rPr>
        <w:t>□ 장기임대주택 보유</w:t>
      </w:r>
    </w:p>
    <w:p>
      <w:r>
        <w:rPr>
          <w:rFonts w:ascii="맑은 고딕" w:hAnsi="맑은 고딕" w:eastAsia="맑은 고딕"/>
          <w:sz w:val="21"/>
        </w:rPr>
        <w:t>□ 주택 수 포함 여부가 불명확한 자산 있음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