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32"/>
        </w:rPr>
        <w:t>양도세 예외사항 체크리스트</w:t>
      </w:r>
    </w:p>
    <w:p/>
    <w:p>
      <w:r>
        <w:rPr>
          <w:rFonts w:ascii="맑은 고딕" w:hAnsi="맑은 고딕" w:eastAsia="맑은 고딕"/>
          <w:b/>
          <w:sz w:val="18"/>
        </w:rPr>
        <w:t>※ 본 서류는 양도세 사전진단을 위한 기초자료이며, 최종 세무 판단은 세무사 검토가 필요합니다.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작성 내용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사건번호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고객명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연락처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부동산 사무실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담당자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/>
    <w:p>
      <w:r>
        <w:rPr>
          <w:rFonts w:ascii="맑은 고딕" w:hAnsi="맑은 고딕" w:eastAsia="맑은 고딕"/>
          <w:b/>
          <w:sz w:val="24"/>
        </w:rPr>
        <w:t>1. 주택 수/비과세 관련</w:t>
      </w:r>
    </w:p>
    <w:p>
      <w:r>
        <w:rPr>
          <w:rFonts w:ascii="맑은 고딕" w:hAnsi="맑은 고딕" w:eastAsia="맑은 고딕"/>
          <w:sz w:val="21"/>
        </w:rPr>
        <w:t>□ 2주택 이상 보유</w:t>
      </w:r>
    </w:p>
    <w:p>
      <w:r>
        <w:rPr>
          <w:rFonts w:ascii="맑은 고딕" w:hAnsi="맑은 고딕" w:eastAsia="맑은 고딕"/>
          <w:sz w:val="21"/>
        </w:rPr>
        <w:t>□ 일시적 2주택 가능성</w:t>
      </w:r>
    </w:p>
    <w:p>
      <w:r>
        <w:rPr>
          <w:rFonts w:ascii="맑은 고딕" w:hAnsi="맑은 고딕" w:eastAsia="맑은 고딕"/>
          <w:sz w:val="21"/>
        </w:rPr>
        <w:t>□ 배우자 명의 주택 있음</w:t>
      </w:r>
    </w:p>
    <w:p>
      <w:r>
        <w:rPr>
          <w:rFonts w:ascii="맑은 고딕" w:hAnsi="맑은 고딕" w:eastAsia="맑은 고딕"/>
          <w:sz w:val="21"/>
        </w:rPr>
        <w:t>□ 세대원 명의 주택 있음</w:t>
      </w:r>
    </w:p>
    <w:p>
      <w:r>
        <w:rPr>
          <w:rFonts w:ascii="맑은 고딕" w:hAnsi="맑은 고딕" w:eastAsia="맑은 고딕"/>
          <w:sz w:val="21"/>
        </w:rPr>
        <w:t>□ 분양권 있음</w:t>
      </w:r>
    </w:p>
    <w:p>
      <w:r>
        <w:rPr>
          <w:rFonts w:ascii="맑은 고딕" w:hAnsi="맑은 고딕" w:eastAsia="맑은 고딕"/>
          <w:sz w:val="21"/>
        </w:rPr>
        <w:t>□ 입주권 있음</w:t>
      </w:r>
    </w:p>
    <w:p>
      <w:r>
        <w:rPr>
          <w:rFonts w:ascii="맑은 고딕" w:hAnsi="맑은 고딕" w:eastAsia="맑은 고딕"/>
          <w:sz w:val="21"/>
        </w:rPr>
        <w:t>□ 상속주택 있음</w:t>
      </w:r>
    </w:p>
    <w:p>
      <w:r>
        <w:rPr>
          <w:rFonts w:ascii="맑은 고딕" w:hAnsi="맑은 고딕" w:eastAsia="맑은 고딕"/>
          <w:sz w:val="21"/>
        </w:rPr>
        <w:t>□ 공동상속주택 있음</w:t>
      </w:r>
    </w:p>
    <w:p>
      <w:r>
        <w:rPr>
          <w:rFonts w:ascii="맑은 고딕" w:hAnsi="맑은 고딕" w:eastAsia="맑은 고딕"/>
          <w:sz w:val="21"/>
        </w:rPr>
        <w:t>□ 조정대상지역 취득 여부 확인 필요</w:t>
      </w:r>
    </w:p>
    <w:p>
      <w:r>
        <w:rPr>
          <w:rFonts w:ascii="맑은 고딕" w:hAnsi="맑은 고딕" w:eastAsia="맑은 고딕"/>
          <w:sz w:val="21"/>
        </w:rPr>
        <w:t>□ 실제 거주기간 불명확</w:t>
      </w:r>
    </w:p>
    <w:p/>
    <w:p>
      <w:r>
        <w:rPr>
          <w:rFonts w:ascii="맑은 고딕" w:hAnsi="맑은 고딕" w:eastAsia="맑은 고딕"/>
          <w:b/>
          <w:sz w:val="24"/>
        </w:rPr>
        <w:t>2. 취득 경위/거래상황 관련</w:t>
      </w:r>
    </w:p>
    <w:p>
      <w:r>
        <w:rPr>
          <w:rFonts w:ascii="맑은 고딕" w:hAnsi="맑은 고딕" w:eastAsia="맑은 고딕"/>
          <w:sz w:val="21"/>
        </w:rPr>
        <w:t>□ 상속 취득</w:t>
      </w:r>
    </w:p>
    <w:p>
      <w:r>
        <w:rPr>
          <w:rFonts w:ascii="맑은 고딕" w:hAnsi="맑은 고딕" w:eastAsia="맑은 고딕"/>
          <w:sz w:val="21"/>
        </w:rPr>
        <w:t>□ 증여 취득</w:t>
      </w:r>
    </w:p>
    <w:p>
      <w:r>
        <w:rPr>
          <w:rFonts w:ascii="맑은 고딕" w:hAnsi="맑은 고딕" w:eastAsia="맑은 고딕"/>
          <w:sz w:val="21"/>
        </w:rPr>
        <w:t>□ 부담부증여 관련</w:t>
      </w:r>
    </w:p>
    <w:p>
      <w:r>
        <w:rPr>
          <w:rFonts w:ascii="맑은 고딕" w:hAnsi="맑은 고딕" w:eastAsia="맑은 고딕"/>
          <w:sz w:val="21"/>
        </w:rPr>
        <w:t>□ 재개발/재건축</w:t>
      </w:r>
    </w:p>
    <w:p>
      <w:r>
        <w:rPr>
          <w:rFonts w:ascii="맑은 고딕" w:hAnsi="맑은 고딕" w:eastAsia="맑은 고딕"/>
          <w:sz w:val="21"/>
        </w:rPr>
        <w:t>□ 조합원입주권 전환</w:t>
      </w:r>
    </w:p>
    <w:p>
      <w:r>
        <w:rPr>
          <w:rFonts w:ascii="맑은 고딕" w:hAnsi="맑은 고딕" w:eastAsia="맑은 고딕"/>
          <w:sz w:val="21"/>
        </w:rPr>
        <w:t>□ 공동명의</w:t>
      </w:r>
    </w:p>
    <w:p>
      <w:r>
        <w:rPr>
          <w:rFonts w:ascii="맑은 고딕" w:hAnsi="맑은 고딕" w:eastAsia="맑은 고딕"/>
          <w:sz w:val="21"/>
        </w:rPr>
        <w:t>□ 지분 일부 양도</w:t>
      </w:r>
    </w:p>
    <w:p>
      <w:r>
        <w:rPr>
          <w:rFonts w:ascii="맑은 고딕" w:hAnsi="맑은 고딕" w:eastAsia="맑은 고딕"/>
          <w:sz w:val="21"/>
        </w:rPr>
        <w:t>□ 가족 간 거래</w:t>
      </w:r>
    </w:p>
    <w:p>
      <w:r>
        <w:rPr>
          <w:rFonts w:ascii="맑은 고딕" w:hAnsi="맑은 고딕" w:eastAsia="맑은 고딕"/>
          <w:sz w:val="21"/>
        </w:rPr>
        <w:t>□ 특수관계자 거래</w:t>
      </w:r>
    </w:p>
    <w:p>
      <w:r>
        <w:rPr>
          <w:rFonts w:ascii="맑은 고딕" w:hAnsi="맑은 고딕" w:eastAsia="맑은 고딕"/>
          <w:sz w:val="21"/>
        </w:rPr>
        <w:t>□ 이미 계약 완료</w:t>
      </w:r>
    </w:p>
    <w:p>
      <w:r>
        <w:rPr>
          <w:rFonts w:ascii="맑은 고딕" w:hAnsi="맑은 고딕" w:eastAsia="맑은 고딕"/>
          <w:sz w:val="21"/>
        </w:rPr>
        <w:t>□ 잔금일 임박</w:t>
      </w:r>
    </w:p>
    <w:p>
      <w:r>
        <w:rPr>
          <w:rFonts w:ascii="맑은 고딕" w:hAnsi="맑은 고딕" w:eastAsia="맑은 고딕"/>
          <w:sz w:val="21"/>
        </w:rPr>
        <w:t>□ 기존 세무 상담 이력 있음</w:t>
      </w:r>
    </w:p>
    <w:p/>
    <w:p>
      <w:r>
        <w:rPr>
          <w:rFonts w:ascii="맑은 고딕" w:hAnsi="맑은 고딕" w:eastAsia="맑은 고딕"/>
          <w:b/>
          <w:sz w:val="24"/>
        </w:rPr>
        <w:t>3. 상세 설명</w:t>
      </w:r>
    </w:p>
    <w:p>
      <w:r>
        <w:br/>
        <w:br/>
        <w:br/>
      </w:r>
    </w:p>
    <w:p>
      <w:r>
        <w:rPr>
          <w:rFonts w:ascii="맑은 고딕" w:hAnsi="맑은 고딕" w:eastAsia="맑은 고딕"/>
          <w:b/>
          <w:sz w:val="18"/>
        </w:rPr>
        <w:t>※ 본 서류는 양도세 사전진단을 위한 기초자료이며, 최종 세무 판단은 세무사 검토가 필요합니다.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