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양도세 사전진단 필요서류 체크리스트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항목</w:t>
            </w:r>
          </w:p>
        </w:tc>
        <w:tc>
          <w:tcPr>
            <w:tcW w:type="dxa" w:w="4819"/>
            <w:vAlign w:val="center"/>
            <w:shd w:fill="EDEDED"/>
          </w:tcPr>
          <w:p>
            <w:r/>
            <w:r>
              <w:rPr>
                <w:rFonts w:ascii="맑은 고딕" w:hAnsi="맑은 고딕" w:eastAsia="맑은 고딕"/>
                <w:b/>
                <w:sz w:val="20"/>
              </w:rPr>
              <w:t>작성 내용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사건번호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고객명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연락처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부동산 사무실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  <w:t>담당자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20"/>
              </w:rPr>
            </w:r>
          </w:p>
        </w:tc>
      </w:tr>
    </w:tbl>
    <w:p/>
    <w:p>
      <w:r>
        <w:rPr>
          <w:rFonts w:ascii="맑은 고딕" w:hAnsi="맑은 고딕" w:eastAsia="맑은 고딕"/>
          <w:b/>
          <w:sz w:val="24"/>
        </w:rPr>
        <w:t>1. 기본 필수자료</w:t>
      </w:r>
    </w:p>
    <w:p>
      <w:r>
        <w:rPr>
          <w:rFonts w:ascii="맑은 고딕" w:hAnsi="맑은 고딕" w:eastAsia="맑은 고딕"/>
          <w:sz w:val="21"/>
        </w:rPr>
        <w:t>□ 매도 부동산 등기부등본</w:t>
      </w:r>
    </w:p>
    <w:p>
      <w:r>
        <w:rPr>
          <w:rFonts w:ascii="맑은 고딕" w:hAnsi="맑은 고딕" w:eastAsia="맑은 고딕"/>
          <w:sz w:val="21"/>
        </w:rPr>
        <w:t>□ 매수계약서</w:t>
      </w:r>
    </w:p>
    <w:p>
      <w:r>
        <w:rPr>
          <w:rFonts w:ascii="맑은 고딕" w:hAnsi="맑은 고딕" w:eastAsia="맑은 고딕"/>
          <w:sz w:val="21"/>
        </w:rPr>
        <w:t>□ 매도계약서 또는 매도 예정금액 자료</w:t>
      </w:r>
    </w:p>
    <w:p>
      <w:r>
        <w:rPr>
          <w:rFonts w:ascii="맑은 고딕" w:hAnsi="맑은 고딕" w:eastAsia="맑은 고딕"/>
          <w:sz w:val="21"/>
        </w:rPr>
        <w:t>□ 취득세 납부확인서</w:t>
      </w:r>
    </w:p>
    <w:p>
      <w:r>
        <w:rPr>
          <w:rFonts w:ascii="맑은 고딕" w:hAnsi="맑은 고딕" w:eastAsia="맑은 고딕"/>
          <w:sz w:val="21"/>
        </w:rPr>
        <w:t>□ 주민등록초본</w:t>
      </w:r>
    </w:p>
    <w:p>
      <w:r>
        <w:rPr>
          <w:rFonts w:ascii="맑은 고딕" w:hAnsi="맑은 고딕" w:eastAsia="맑은 고딕"/>
          <w:sz w:val="21"/>
        </w:rPr>
        <w:t>□ 주민등록등본</w:t>
      </w:r>
    </w:p>
    <w:p/>
    <w:p>
      <w:r>
        <w:rPr>
          <w:rFonts w:ascii="맑은 고딕" w:hAnsi="맑은 고딕" w:eastAsia="맑은 고딕"/>
          <w:b/>
          <w:sz w:val="24"/>
        </w:rPr>
        <w:t>2. 필요경비 자료</w:t>
      </w:r>
    </w:p>
    <w:p>
      <w:r>
        <w:rPr>
          <w:rFonts w:ascii="맑은 고딕" w:hAnsi="맑은 고딕" w:eastAsia="맑은 고딕"/>
          <w:sz w:val="21"/>
        </w:rPr>
        <w:t>□ 취득 당시 중개수수료 영수증</w:t>
      </w:r>
    </w:p>
    <w:p>
      <w:r>
        <w:rPr>
          <w:rFonts w:ascii="맑은 고딕" w:hAnsi="맑은 고딕" w:eastAsia="맑은 고딕"/>
          <w:sz w:val="21"/>
        </w:rPr>
        <w:t>□ 양도 당시 중개수수료 영수증</w:t>
      </w:r>
    </w:p>
    <w:p>
      <w:r>
        <w:rPr>
          <w:rFonts w:ascii="맑은 고딕" w:hAnsi="맑은 고딕" w:eastAsia="맑은 고딕"/>
          <w:sz w:val="21"/>
        </w:rPr>
        <w:t>□ 법무사비 영수증</w:t>
      </w:r>
    </w:p>
    <w:p>
      <w:r>
        <w:rPr>
          <w:rFonts w:ascii="맑은 고딕" w:hAnsi="맑은 고딕" w:eastAsia="맑은 고딕"/>
          <w:sz w:val="21"/>
        </w:rPr>
        <w:t>□ 인테리어/수리비 증빙</w:t>
      </w:r>
    </w:p>
    <w:p>
      <w:r>
        <w:rPr>
          <w:rFonts w:ascii="맑은 고딕" w:hAnsi="맑은 고딕" w:eastAsia="맑은 고딕"/>
          <w:sz w:val="21"/>
        </w:rPr>
        <w:t>□ 공사계약서</w:t>
      </w:r>
    </w:p>
    <w:p>
      <w:r>
        <w:rPr>
          <w:rFonts w:ascii="맑은 고딕" w:hAnsi="맑은 고딕" w:eastAsia="맑은 고딕"/>
          <w:sz w:val="21"/>
        </w:rPr>
        <w:t>□ 세금계산서/카드영수증/계좌이체 내역</w:t>
      </w:r>
    </w:p>
    <w:p/>
    <w:p>
      <w:r>
        <w:rPr>
          <w:rFonts w:ascii="맑은 고딕" w:hAnsi="맑은 고딕" w:eastAsia="맑은 고딕"/>
          <w:b/>
          <w:sz w:val="24"/>
        </w:rPr>
        <w:t>3. 예외사건 추가자료</w:t>
      </w:r>
    </w:p>
    <w:p>
      <w:r>
        <w:rPr>
          <w:rFonts w:ascii="맑은 고딕" w:hAnsi="맑은 고딕" w:eastAsia="맑은 고딕"/>
          <w:sz w:val="21"/>
        </w:rPr>
        <w:t>□ 상속 관련 서류</w:t>
      </w:r>
    </w:p>
    <w:p>
      <w:r>
        <w:rPr>
          <w:rFonts w:ascii="맑은 고딕" w:hAnsi="맑은 고딕" w:eastAsia="맑은 고딕"/>
          <w:sz w:val="21"/>
        </w:rPr>
        <w:t>□ 증여계약서</w:t>
      </w:r>
    </w:p>
    <w:p>
      <w:r>
        <w:rPr>
          <w:rFonts w:ascii="맑은 고딕" w:hAnsi="맑은 고딕" w:eastAsia="맑은 고딕"/>
          <w:sz w:val="21"/>
        </w:rPr>
        <w:t>□ 분양계약서</w:t>
      </w:r>
    </w:p>
    <w:p>
      <w:r>
        <w:rPr>
          <w:rFonts w:ascii="맑은 고딕" w:hAnsi="맑은 고딕" w:eastAsia="맑은 고딕"/>
          <w:sz w:val="21"/>
        </w:rPr>
        <w:t>□ 조합원입주권 관련 서류</w:t>
      </w:r>
    </w:p>
    <w:p>
      <w:r>
        <w:rPr>
          <w:rFonts w:ascii="맑은 고딕" w:hAnsi="맑은 고딕" w:eastAsia="맑은 고딕"/>
          <w:sz w:val="21"/>
        </w:rPr>
        <w:t>□ 임대사업자 등록 관련 자료</w:t>
      </w:r>
    </w:p>
    <w:p>
      <w:r>
        <w:rPr>
          <w:rFonts w:ascii="맑은 고딕" w:hAnsi="맑은 고딕" w:eastAsia="맑은 고딕"/>
          <w:sz w:val="21"/>
        </w:rPr>
        <w:t>□ 감정평가서</w:t>
      </w:r>
    </w:p>
    <w:p>
      <w:r>
        <w:rPr>
          <w:rFonts w:ascii="맑은 고딕" w:hAnsi="맑은 고딕" w:eastAsia="맑은 고딕"/>
          <w:sz w:val="21"/>
        </w:rPr>
        <w:t>□ 기준시가/공시지가 확인자료</w:t>
      </w:r>
    </w:p>
    <w:p>
      <w:r>
        <w:rPr>
          <w:rFonts w:ascii="맑은 고딕" w:hAnsi="맑은 고딕" w:eastAsia="맑은 고딕"/>
          <w:sz w:val="21"/>
        </w:rPr>
        <w:t>□ 토지등급 관련 자료</w:t>
      </w:r>
    </w:p>
    <w:p/>
    <w:p>
      <w:r>
        <w:rPr>
          <w:rFonts w:ascii="맑은 고딕" w:hAnsi="맑은 고딕" w:eastAsia="맑은 고딕"/>
          <w:b/>
          <w:sz w:val="18"/>
        </w:rPr>
        <w:t>※ 본 서류는 양도세 사전진단을 위한 기초자료이며, 최종 세무 판단은 세무사 검토가 필요합니다.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