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고객 최종 확인서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고객 최종 확인</w:t>
      </w:r>
    </w:p>
    <w:p>
      <w:r>
        <w:rPr>
          <w:rFonts w:ascii="맑은 고딕" w:hAnsi="맑은 고딕" w:eastAsia="맑은 고딕"/>
          <w:sz w:val="21"/>
        </w:rPr>
        <w:t>□ 매도 부동산 정보가 맞습니다.</w:t>
      </w:r>
    </w:p>
    <w:p>
      <w:r>
        <w:rPr>
          <w:rFonts w:ascii="맑은 고딕" w:hAnsi="맑은 고딕" w:eastAsia="맑은 고딕"/>
          <w:sz w:val="21"/>
        </w:rPr>
        <w:t>□ 취득일/양도예정일 정보가 맞습니다.</w:t>
      </w:r>
    </w:p>
    <w:p>
      <w:r>
        <w:rPr>
          <w:rFonts w:ascii="맑은 고딕" w:hAnsi="맑은 고딕" w:eastAsia="맑은 고딕"/>
          <w:sz w:val="21"/>
        </w:rPr>
        <w:t>□ 취득가액 및 필요경비 자료 제출 상태가 맞습니다.</w:t>
      </w:r>
    </w:p>
    <w:p>
      <w:r>
        <w:rPr>
          <w:rFonts w:ascii="맑은 고딕" w:hAnsi="맑은 고딕" w:eastAsia="맑은 고딕"/>
          <w:sz w:val="21"/>
        </w:rPr>
        <w:t>□ 본인/배우자/세대원 주택 보유 현황을 사실대로 작성했습니다.</w:t>
      </w:r>
    </w:p>
    <w:p>
      <w:r>
        <w:rPr>
          <w:rFonts w:ascii="맑은 고딕" w:hAnsi="맑은 고딕" w:eastAsia="맑은 고딕"/>
          <w:sz w:val="21"/>
        </w:rPr>
        <w:t>□ 상속/증여/분양권/입주권 등 예외사항을 사실대로 표시했습니다.</w:t>
      </w:r>
    </w:p>
    <w:p>
      <w:r>
        <w:rPr>
          <w:rFonts w:ascii="맑은 고딕" w:hAnsi="맑은 고딕" w:eastAsia="맑은 고딕"/>
          <w:sz w:val="21"/>
        </w:rPr>
        <w:t>□ 모르는 항목은 임의로 작성하지 않고 모름/확인 필요로 표시했습니다.</w:t>
      </w:r>
    </w:p>
    <w:p>
      <w:r>
        <w:rPr>
          <w:rFonts w:ascii="맑은 고딕" w:hAnsi="맑은 고딕" w:eastAsia="맑은 고딕"/>
          <w:sz w:val="21"/>
        </w:rPr>
        <w:t>□ 본 리포트가 세무 판단 확정 또는 신고서가 아님을 확인했습니다.</w:t>
      </w:r>
    </w:p>
    <w:p>
      <w:r>
        <w:rPr>
          <w:rFonts w:ascii="맑은 고딕" w:hAnsi="맑은 고딕" w:eastAsia="맑은 고딕"/>
          <w:sz w:val="21"/>
        </w:rPr>
        <w:t>□ 최종 판단은 세무사 검토가 필요할 수 있음을 확인했습니다.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