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겸용주택/상가주택 체크리스트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주소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겸용/상가주택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주택 면적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상가 면적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건축물대장상 용도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주택 면적이 상가 면적보다 큰지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예 □ 아니오 □ 모름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2. 상세 체크</w:t>
      </w:r>
    </w:p>
    <w:p>
      <w:r>
        <w:rPr>
          <w:rFonts w:ascii="맑은 고딕" w:hAnsi="맑은 고딕" w:eastAsia="맑은 고딕"/>
          <w:sz w:val="21"/>
        </w:rPr>
        <w:t>□ 주택 부분 실제 사용 중</w:t>
      </w:r>
    </w:p>
    <w:p>
      <w:r>
        <w:rPr>
          <w:rFonts w:ascii="맑은 고딕" w:hAnsi="맑은 고딕" w:eastAsia="맑은 고딕"/>
          <w:sz w:val="21"/>
        </w:rPr>
        <w:t>□ 상가 부분 임대 중</w:t>
      </w:r>
    </w:p>
    <w:p>
      <w:r>
        <w:rPr>
          <w:rFonts w:ascii="맑은 고딕" w:hAnsi="맑은 고딕" w:eastAsia="맑은 고딕"/>
          <w:sz w:val="21"/>
        </w:rPr>
        <w:t>□ 층별 용도 확인 필요</w:t>
      </w:r>
    </w:p>
    <w:p>
      <w:r>
        <w:rPr>
          <w:rFonts w:ascii="맑은 고딕" w:hAnsi="맑은 고딕" w:eastAsia="맑은 고딕"/>
          <w:sz w:val="21"/>
        </w:rPr>
        <w:t>□ 토지/건물 가액 구분 가능</w:t>
      </w:r>
    </w:p>
    <w:p>
      <w:r>
        <w:rPr>
          <w:rFonts w:ascii="맑은 고딕" w:hAnsi="맑은 고딕" w:eastAsia="맑은 고딕"/>
          <w:sz w:val="21"/>
        </w:rPr>
        <w:t>□ 세무사 검토 필요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________년 ________월 ________일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