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세무사 필수 검토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세무사 필수 검토 사유</w:t>
      </w:r>
    </w:p>
    <w:p>
      <w:r>
        <w:rPr>
          <w:rFonts w:ascii="맑은 고딕" w:hAnsi="맑은 고딕" w:eastAsia="맑은 고딕"/>
          <w:sz w:val="21"/>
        </w:rPr>
        <w:t>□ 취득가액 불명확</w:t>
      </w:r>
    </w:p>
    <w:p>
      <w:r>
        <w:rPr>
          <w:rFonts w:ascii="맑은 고딕" w:hAnsi="맑은 고딕" w:eastAsia="맑은 고딕"/>
          <w:sz w:val="21"/>
        </w:rPr>
        <w:t>□ 매수계약서 없음</w:t>
      </w:r>
    </w:p>
    <w:p>
      <w:r>
        <w:rPr>
          <w:rFonts w:ascii="맑은 고딕" w:hAnsi="맑은 고딕" w:eastAsia="맑은 고딕"/>
          <w:sz w:val="21"/>
        </w:rPr>
        <w:t>□ 금융자료 없음</w:t>
      </w:r>
    </w:p>
    <w:p>
      <w:r>
        <w:rPr>
          <w:rFonts w:ascii="맑은 고딕" w:hAnsi="맑은 고딕" w:eastAsia="맑은 고딕"/>
          <w:sz w:val="21"/>
        </w:rPr>
        <w:t>□ 2주택 이상</w:t>
      </w:r>
    </w:p>
    <w:p>
      <w:r>
        <w:rPr>
          <w:rFonts w:ascii="맑은 고딕" w:hAnsi="맑은 고딕" w:eastAsia="맑은 고딕"/>
          <w:sz w:val="21"/>
        </w:rPr>
        <w:t>□ 배우자/세대원 주택 미확인</w:t>
      </w:r>
    </w:p>
    <w:p>
      <w:r>
        <w:rPr>
          <w:rFonts w:ascii="맑은 고딕" w:hAnsi="맑은 고딕" w:eastAsia="맑은 고딕"/>
          <w:sz w:val="21"/>
        </w:rPr>
        <w:t>□ 상속/증여</w:t>
      </w:r>
    </w:p>
    <w:p>
      <w:r>
        <w:rPr>
          <w:rFonts w:ascii="맑은 고딕" w:hAnsi="맑은 고딕" w:eastAsia="맑은 고딕"/>
          <w:sz w:val="21"/>
        </w:rPr>
        <w:t>□ 재개발/재건축</w:t>
      </w:r>
    </w:p>
    <w:p>
      <w:r>
        <w:rPr>
          <w:rFonts w:ascii="맑은 고딕" w:hAnsi="맑은 고딕" w:eastAsia="맑은 고딕"/>
          <w:sz w:val="21"/>
        </w:rPr>
        <w:t>□ 입주권/분양권</w:t>
      </w:r>
    </w:p>
    <w:p>
      <w:r>
        <w:rPr>
          <w:rFonts w:ascii="맑은 고딕" w:hAnsi="맑은 고딕" w:eastAsia="맑은 고딕"/>
          <w:sz w:val="21"/>
        </w:rPr>
        <w:t>□ 토지/농지/임야</w:t>
      </w:r>
    </w:p>
    <w:p>
      <w:r>
        <w:rPr>
          <w:rFonts w:ascii="맑은 고딕" w:hAnsi="맑은 고딕" w:eastAsia="맑은 고딕"/>
          <w:sz w:val="21"/>
        </w:rPr>
        <w:t>□ 비사업용 토지 가능성</w:t>
      </w:r>
    </w:p>
    <w:p>
      <w:r>
        <w:rPr>
          <w:rFonts w:ascii="맑은 고딕" w:hAnsi="맑은 고딕" w:eastAsia="맑은 고딕"/>
          <w:sz w:val="21"/>
        </w:rPr>
        <w:t>□ 고가주택</w:t>
      </w:r>
    </w:p>
    <w:p>
      <w:r>
        <w:rPr>
          <w:rFonts w:ascii="맑은 고딕" w:hAnsi="맑은 고딕" w:eastAsia="맑은 고딕"/>
          <w:sz w:val="21"/>
        </w:rPr>
        <w:t>□ 잔금일 임박</w:t>
      </w:r>
    </w:p>
    <w:p>
      <w:r>
        <w:rPr>
          <w:rFonts w:ascii="맑은 고딕" w:hAnsi="맑은 고딕" w:eastAsia="맑은 고딕"/>
          <w:sz w:val="21"/>
        </w:rPr>
        <w:t>□ 신고기한 임박</w:t>
      </w:r>
    </w:p>
    <w:p>
      <w:r>
        <w:rPr>
          <w:rFonts w:ascii="맑은 고딕" w:hAnsi="맑은 고딕" w:eastAsia="맑은 고딕"/>
          <w:sz w:val="21"/>
        </w:rPr>
        <w:t>□ 기존 세무상담 내용과 불일치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