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0324FE" w14:textId="77777777" w:rsidR="000C49FE" w:rsidRDefault="00000000">
      <w:pPr>
        <w:pStyle w:val="Title"/>
      </w:pPr>
      <w:r>
        <w:t>Multi-objective assessment of a stakeholder-defined portfolio of groundwater and stream management actions in an agricultural basin</w:t>
      </w:r>
    </w:p>
    <w:p w14:paraId="7EAEFF9C" w14:textId="77777777" w:rsidR="000C49FE" w:rsidRDefault="00000000">
      <w:pPr>
        <w:pStyle w:val="Author"/>
      </w:pPr>
      <w:r>
        <w:t>Claire Kouba</w:t>
      </w:r>
    </w:p>
    <w:p w14:paraId="1A90EDA0" w14:textId="77777777" w:rsidR="000C49FE" w:rsidRDefault="00000000">
      <w:pPr>
        <w:pStyle w:val="Date"/>
      </w:pPr>
      <w:r>
        <w:t>2025-11-12</w:t>
      </w:r>
    </w:p>
    <w:p w14:paraId="44F8C09B" w14:textId="77777777" w:rsidR="000C49FE" w:rsidRDefault="00000000">
      <w:pPr>
        <w:pStyle w:val="Heading1"/>
      </w:pPr>
      <w:bookmarkStart w:id="0" w:name="X9b855d9163b6cf718b2b2007e26d11ae6ed10ea"/>
      <w:r>
        <w:rPr>
          <w:rStyle w:val="SectionNumber"/>
        </w:rPr>
        <w:t>1</w:t>
      </w:r>
      <w:r>
        <w:tab/>
        <w:t>Fish-Farm Results from all four Hydrologic Benefit Function formulations</w:t>
      </w:r>
    </w:p>
    <w:p w14:paraId="1601DDF7" w14:textId="77777777" w:rsidR="000C49FE" w:rsidRDefault="00000000">
      <w:pPr>
        <w:pStyle w:val="FirstParagraph"/>
      </w:pPr>
      <w:r>
        <w:t>While MARSS models were used as a tool for identifying important functional flows in (Kouba et al. 2025),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under the different management scenarios, which are not possible.</w:t>
      </w:r>
    </w:p>
    <w:p w14:paraId="60AD1688" w14:textId="77777777" w:rsidR="000C49FE" w:rsidRDefault="00000000">
      <w:pPr>
        <w:pStyle w:val="BodyText"/>
      </w:pPr>
      <w:r>
        <w:t>Consequently, only LASSO models dependent on hydrologic variables (and not including spawner abundance as a predictor) were evaluated as potential tools to forecast the outcomes of flow change on fish reproduction.</w:t>
      </w:r>
    </w:p>
    <w:p w14:paraId="6B465C62" w14:textId="77777777" w:rsidR="000C49FE" w:rsidRDefault="00000000">
      <w:pPr>
        <w:pStyle w:val="Heading2"/>
      </w:pPr>
      <w:bookmarkStart w:id="1" w:name="models-of-coho-reproductive-success"/>
      <w:r>
        <w:rPr>
          <w:rStyle w:val="SectionNumber"/>
        </w:rPr>
        <w:t>1.1</w:t>
      </w:r>
      <w:r>
        <w:tab/>
        <w:t>Models of coho reproductive success</w:t>
      </w:r>
    </w:p>
    <w:p w14:paraId="05531AE9" w14:textId="77777777" w:rsidR="000C49FE" w:rsidRDefault="00000000">
      <w:pPr>
        <w:pStyle w:val="Heading3"/>
      </w:pPr>
      <w:bookmarkStart w:id="2" w:name="lasso-model-juvenile-abundance"/>
      <w:r>
        <w:rPr>
          <w:rStyle w:val="SectionNumber"/>
        </w:rPr>
        <w:t>1.1.1</w:t>
      </w:r>
      <w:r>
        <w:tab/>
        <w:t>LASSO model, juvenile abundance</w:t>
      </w:r>
    </w:p>
    <w:p w14:paraId="603C0122" w14:textId="77777777" w:rsidR="000C49FE" w:rsidRDefault="00000000">
      <w:pPr>
        <w:pStyle w:val="TableCaption"/>
      </w:pPr>
      <w:bookmarkStart w:id="3" w:name="tab:coefTab01"/>
      <w:bookmarkEnd w:id="3"/>
      <w:r>
        <w:t>Table 1: Coefficients for the Hydrologic Benefit function, an emperical estimate of ecological services provided to Chinook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0C49FE" w14:paraId="29948F14" w14:textId="77777777" w:rsidTr="000C49FE">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0460CC"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025E15"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E01BB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0C49FE" w14:paraId="3D04CB43" w14:textId="77777777" w:rsidTr="000C49FE">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1CA4E"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FAFC95"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5.450</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8CFB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0C49FE" w14:paraId="035FCA36" w14:textId="77777777" w:rsidTr="000C49FE">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F69CE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w1_Wet_BFL_Mag_50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ED783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-0.309</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2AE35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wet season baseflows (as eggs and hatchlings)</w:t>
            </w:r>
          </w:p>
        </w:tc>
      </w:tr>
    </w:tbl>
    <w:p w14:paraId="0CDD320B" w14:textId="77777777" w:rsidR="000C49FE" w:rsidRDefault="00000000">
      <w:pPr>
        <w:pStyle w:val="SourceCode"/>
      </w:pPr>
      <w:r>
        <w:rPr>
          <w:rStyle w:val="VerbatimChar"/>
        </w:rPr>
        <w:lastRenderedPageBreak/>
        <w:t xml:space="preserve">## png </w:t>
      </w:r>
      <w:r>
        <w:br/>
      </w:r>
      <w:r>
        <w:rPr>
          <w:rStyle w:val="VerbatimChar"/>
        </w:rPr>
        <w:t>##   2</w:t>
      </w:r>
    </w:p>
    <w:p w14:paraId="1CD57ADC" w14:textId="77777777" w:rsidR="000C49FE" w:rsidRDefault="00000000">
      <w:pPr>
        <w:pStyle w:val="CaptionedFigure"/>
      </w:pPr>
      <w:r>
        <w:rPr>
          <w:noProof/>
        </w:rPr>
        <w:drawing>
          <wp:inline distT="0" distB="0" distL="0" distR="0" wp14:anchorId="617C7E6F" wp14:editId="000B5D84">
            <wp:extent cx="5334000" cy="5000625"/>
            <wp:effectExtent l="0" t="0" r="0" b="0"/>
            <wp:docPr id="22" name="Picture" descr="Figure 1:  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44D6F980" w14:textId="77777777" w:rsidR="000C49FE" w:rsidRDefault="00000000">
      <w:pPr>
        <w:pStyle w:val="ImageCaption"/>
      </w:pPr>
      <w:bookmarkStart w:id="4" w:name="fig:benefitByWY01"/>
      <w:bookmarkEnd w:id="4"/>
      <w:r>
        <w:t>Figure 1:  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w:t>
      </w:r>
    </w:p>
    <w:p w14:paraId="062E8A75" w14:textId="77777777" w:rsidR="000C49FE" w:rsidRDefault="00000000">
      <w:pPr>
        <w:pStyle w:val="SourceCode"/>
      </w:pPr>
      <w:r>
        <w:rPr>
          <w:rStyle w:val="VerbatimChar"/>
        </w:rPr>
        <w:t xml:space="preserve">## png </w:t>
      </w:r>
      <w:r>
        <w:br/>
      </w:r>
      <w:r>
        <w:rPr>
          <w:rStyle w:val="VerbatimChar"/>
        </w:rPr>
        <w:t>##   2</w:t>
      </w:r>
    </w:p>
    <w:p w14:paraId="42824DA5" w14:textId="77777777" w:rsidR="000C49FE" w:rsidRDefault="00000000">
      <w:pPr>
        <w:pStyle w:val="CaptionedFigure"/>
      </w:pPr>
      <w:r>
        <w:rPr>
          <w:noProof/>
        </w:rPr>
        <w:lastRenderedPageBreak/>
        <w:drawing>
          <wp:inline distT="0" distB="0" distL="0" distR="0" wp14:anchorId="4F0F47BA" wp14:editId="183F7BF2">
            <wp:extent cx="5334000" cy="5334000"/>
            <wp:effectExtent l="0" t="0" r="0" b="0"/>
            <wp:docPr id="26" name="Picture" descr="Figure 2: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1BE9940D" w14:textId="77777777" w:rsidR="000C49FE" w:rsidRDefault="00000000">
      <w:pPr>
        <w:pStyle w:val="ImageCaption"/>
      </w:pPr>
      <w:bookmarkStart w:id="5" w:name="fig:farmerFishTradeoffFigure01"/>
      <w:bookmarkEnd w:id="5"/>
      <w:r>
        <w:t>Figure 2: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14:paraId="6AE179C8" w14:textId="77777777" w:rsidR="000C49FE" w:rsidRDefault="00000000">
      <w:pPr>
        <w:pStyle w:val="SourceCode"/>
      </w:pPr>
      <w:r>
        <w:rPr>
          <w:rStyle w:val="VerbatimChar"/>
        </w:rPr>
        <w:t xml:space="preserve">## png </w:t>
      </w:r>
      <w:r>
        <w:br/>
      </w:r>
      <w:r>
        <w:rPr>
          <w:rStyle w:val="VerbatimChar"/>
        </w:rPr>
        <w:t>##   2</w:t>
      </w:r>
    </w:p>
    <w:p w14:paraId="6709DD4C" w14:textId="77777777" w:rsidR="000C49FE" w:rsidRDefault="00000000">
      <w:pPr>
        <w:pStyle w:val="TableCaption"/>
      </w:pPr>
      <w:bookmarkStart w:id="6" w:name="tab:scenarioResultsTab"/>
      <w:bookmarkEnd w:id="6"/>
      <w:r>
        <w:lastRenderedPageBreak/>
        <w:t>Table 2: Scenario attributes for 25 scenarios. Units for Hydrologic Benefit (HB) value are coho smolt per female-equivalent; for ET are million cubic meters; both are averages of 35 annual values.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0C49FE" w14:paraId="3A7B3F8D" w14:textId="77777777" w:rsidTr="000C49FE">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7B9F54"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9C1084"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3257DD"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61C2A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75E24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76949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2E18D4"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0C49FE" w14:paraId="6BCDD866" w14:textId="77777777" w:rsidTr="000C49FE">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41E974"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5C9D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C96D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2B0C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235.41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5C9B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86D7D"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D1F7E"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07EF9046"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3A0A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76AE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D154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549B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239.76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8AE1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AA6CE"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E048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0.28</w:t>
            </w:r>
          </w:p>
        </w:tc>
      </w:tr>
      <w:tr w:rsidR="000C49FE" w14:paraId="1D98D41A"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E84E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C6F19"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EF73D"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F9B0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236.97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B3A66"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C599C"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6877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0.22</w:t>
            </w:r>
          </w:p>
        </w:tc>
      </w:tr>
      <w:tr w:rsidR="000C49FE" w14:paraId="239AB8C6"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DAF6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FDB7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3292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F0E4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235.50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42B8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46196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8817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0C49FE" w14:paraId="73245E0A"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F4CE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65D56"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78C2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891D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243.29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F4DCD"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89EF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66BD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0.26</w:t>
            </w:r>
          </w:p>
        </w:tc>
      </w:tr>
      <w:tr w:rsidR="000C49FE" w14:paraId="2D667916"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88949"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7A5D6"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1E74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31F74"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234.43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AA4F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7937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0054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60779C7E"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01F1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607AD"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172E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1055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242.35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5DDA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41DDD"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A7FD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1.22</w:t>
            </w:r>
          </w:p>
        </w:tc>
      </w:tr>
      <w:tr w:rsidR="000C49FE" w14:paraId="6954AD16"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B86D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16DC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D4C8D"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E8E3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230.95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2E1BE"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B295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DB70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341D75C8"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121E5"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E468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4781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FFC65"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224.88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29A1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D3CD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2F21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3445E10C"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C39F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7CCE9"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CD1D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C3FE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229.34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DB18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1667C"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56AF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798674DF"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7563C"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4239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587E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BB06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231.33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AAF6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7589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F24D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1B4E9E1E"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E848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DF526"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273B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D32A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232.82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E0DE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86F2C"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DC86C"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3D9B18D2"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4B84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EF574"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B45A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CABD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226.20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9B86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49BD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B5F1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09E368FB"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3FD9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55B4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ACA0D"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5FB6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9D44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2E89D"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2AA1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25F2FB8D"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F22F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E8B3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FC37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AFAE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242.17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7889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FF6A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535F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0.09</w:t>
            </w:r>
          </w:p>
        </w:tc>
      </w:tr>
      <w:tr w:rsidR="000C49FE" w14:paraId="42B7D1C1"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90F0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1C82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910F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D54A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233.16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5AB5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A06B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F539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70CC2CE7"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6AE89"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273F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6CAE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2DE6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225.00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AF12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1656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C7909"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03669168"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3839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B300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DB0DE"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6FCF5"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265.93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3015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576B9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7DC9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0C49FE" w14:paraId="43E0E00E"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502B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53E2E"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F4A8C"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B9C8C"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238.64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18FD5"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7CA9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34E55"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0C49FE" w14:paraId="6B77D0B7"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0566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E59D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8A8EC"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56B8E"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234.14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C105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A8BD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40C46"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018449F4"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EDCE9"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DCE2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AA396"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256E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237.31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BE815"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333A5"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14A8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0C49FE" w14:paraId="6520EFDA"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5B842"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A92AC"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9957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8E7C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229.07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0917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84ED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5E0E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0BB8ACE6"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E6F6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4FA97"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E5ED4"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8BB0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239.29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C482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99C26"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8217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2A9E0B86" w14:textId="77777777" w:rsidTr="000C49FE">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D9EC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17DCD"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41A2F"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D4875"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228.05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159A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8B7B3"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C4709"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C49FE" w14:paraId="649F3BB0" w14:textId="77777777" w:rsidTr="000C49FE">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2CD2D9"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A18708"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C5FA3A"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1D3F04"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254.23</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073BEB"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927A71"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701340" w14:textId="77777777" w:rsidR="000C49FE"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4BC1CD0B" w14:textId="77777777" w:rsidR="000C49FE" w:rsidRDefault="00000000">
      <w:pPr>
        <w:pStyle w:val="SourceCode"/>
      </w:pPr>
      <w:r>
        <w:rPr>
          <w:rStyle w:val="VerbatimChar"/>
        </w:rPr>
        <w:lastRenderedPageBreak/>
        <w:t xml:space="preserve">## png </w:t>
      </w:r>
      <w:r>
        <w:br/>
      </w:r>
      <w:r>
        <w:rPr>
          <w:rStyle w:val="VerbatimChar"/>
        </w:rPr>
        <w:t>##   2</w:t>
      </w:r>
    </w:p>
    <w:p w14:paraId="64E3ED5F" w14:textId="77777777" w:rsidR="000C49FE" w:rsidRDefault="00000000">
      <w:pPr>
        <w:pStyle w:val="CaptionedFigure"/>
      </w:pPr>
      <w:r>
        <w:rPr>
          <w:noProof/>
        </w:rPr>
        <w:drawing>
          <wp:inline distT="0" distB="0" distL="0" distR="0" wp14:anchorId="5682BE11" wp14:editId="70C27321">
            <wp:extent cx="5334000" cy="4000499"/>
            <wp:effectExtent l="0" t="0" r="0" b="0"/>
            <wp:docPr id="31" name="Picture" descr="Figure 3: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17162F34" w14:textId="77777777" w:rsidR="000C49FE" w:rsidRDefault="00000000">
      <w:pPr>
        <w:pStyle w:val="ImageCaption"/>
      </w:pPr>
      <w:bookmarkStart w:id="7" w:name="fig:efficiency"/>
      <w:bookmarkEnd w:id="7"/>
      <w:r>
        <w:t>Figure 3: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w:t>
      </w:r>
    </w:p>
    <w:p w14:paraId="491DA1A0" w14:textId="77777777" w:rsidR="000C49FE" w:rsidRDefault="00000000">
      <w:r>
        <w:br w:type="page"/>
      </w:r>
    </w:p>
    <w:p w14:paraId="10CE58C3" w14:textId="77777777" w:rsidR="000C49FE" w:rsidRDefault="00000000">
      <w:pPr>
        <w:pStyle w:val="Heading1"/>
      </w:pPr>
      <w:bookmarkStart w:id="8" w:name="references"/>
      <w:bookmarkEnd w:id="0"/>
      <w:bookmarkEnd w:id="1"/>
      <w:bookmarkEnd w:id="2"/>
      <w:r>
        <w:lastRenderedPageBreak/>
        <w:t>References</w:t>
      </w:r>
    </w:p>
    <w:p w14:paraId="572FD7F4" w14:textId="77777777" w:rsidR="000C49FE" w:rsidRDefault="00000000">
      <w:pPr>
        <w:pStyle w:val="Bibliography"/>
      </w:pPr>
      <w:bookmarkStart w:id="9" w:name="ref-KoubaEtAlWatershedSpecific2025"/>
      <w:bookmarkStart w:id="10" w:name="refs"/>
      <w:r>
        <w:t xml:space="preserve">Kouba, Claire, Leland Scantlebury, Jason Wiener, Sarah Yarnell, and Thomas Harter. 2025. “A Watershed-Specific Approach to Identify Key Functional Flow Metrics Supporting Salmon Reproduction.” </w:t>
      </w:r>
      <w:r>
        <w:rPr>
          <w:i/>
          <w:iCs/>
        </w:rPr>
        <w:t>Ecohydrology : Ecosystems, Land and Water Process Interactions, Ecohydrogeomorphology</w:t>
      </w:r>
      <w:r>
        <w:t xml:space="preserve"> 18 (5): e70098. </w:t>
      </w:r>
      <w:hyperlink r:id="rId8">
        <w:r>
          <w:rPr>
            <w:rStyle w:val="Hyperlink"/>
          </w:rPr>
          <w:t>https://doi.org/10.1002/eco.70098</w:t>
        </w:r>
      </w:hyperlink>
      <w:r>
        <w:t>.</w:t>
      </w:r>
      <w:bookmarkEnd w:id="8"/>
      <w:bookmarkEnd w:id="9"/>
      <w:bookmarkEnd w:id="10"/>
    </w:p>
    <w:sectPr w:rsidR="000C49F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A57ABF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59098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C49FE"/>
    <w:rsid w:val="000C49FE"/>
    <w:rsid w:val="003F4347"/>
    <w:rsid w:val="009375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D1AE3"/>
  <w15:docId w15:val="{698A0246-DD0D-429A-A1F7-04156C3BB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eco.70098"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762</Words>
  <Characters>4348</Characters>
  <Application>Microsoft Office Word</Application>
  <DocSecurity>0</DocSecurity>
  <Lines>36</Lines>
  <Paragraphs>10</Paragraphs>
  <ScaleCrop>false</ScaleCrop>
  <Company/>
  <LinksUpToDate>false</LinksUpToDate>
  <CharactersWithSpaces>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a stakeholder-defined portfolio of groundwater and stream management actions in an agricultural basin</dc:title>
  <dc:creator>Claire Kouba</dc:creator>
  <cp:keywords/>
  <cp:lastModifiedBy>Kouba, Claire</cp:lastModifiedBy>
  <cp:revision>2</cp:revision>
  <dcterms:created xsi:type="dcterms:W3CDTF">2026-02-05T23:49:00Z</dcterms:created>
  <dcterms:modified xsi:type="dcterms:W3CDTF">2026-02-05T23:49:00Z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