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4.png" ContentType="image/png"/>
  <Override PartName="/word/media/rId38.png" ContentType="image/png"/>
  <Override PartName="/word/media/rId58.png" ContentType="image/png"/>
  <Override PartName="/word/media/rId62.png" ContentType="image/png"/>
  <Override PartName="/word/media/rId73.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a stakeholder-defined portfolio of groundwater and stream management actions in an agricultural basin</w:t>
      </w:r>
    </w:p>
    <w:p>
      <w:pPr>
        <w:pStyle w:val="Author"/>
      </w:pPr>
      <w:r>
        <w:t xml:space="preserve">Claire Kouba</w:t>
      </w:r>
    </w:p>
    <w:p>
      <w:pPr>
        <w:pStyle w:val="Date"/>
      </w:pPr>
      <w:r>
        <w:t xml:space="preserve">2025-08-29</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w:t>
      </w:r>
      <w:r>
        <w:t xml:space="preserve"> </w:t>
      </w:r>
      <w:r>
        <w:rPr>
          <w:b/>
          <w:bCs/>
        </w:rPr>
        <w:t xml:space="preserve">40</w:t>
      </w:r>
      <w:r>
        <w:t xml:space="preserve"> </w:t>
      </w:r>
      <w:r>
        <w:t xml:space="preserve">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w:t>
      </w:r>
      <w:r>
        <w:t xml:space="preserve"> </w:t>
      </w:r>
      <w:r>
        <w:rPr>
          <w:b/>
          <w:bCs/>
        </w:rPr>
        <w:t xml:space="preserve">both infrastructure-based and regulatory approaches fell within the Pareto-optimal set of management options under a strict application of these objective functions</w:t>
      </w:r>
      <w:r>
        <w:t xml:space="preserve">. Finally, regarding regulatory actions,</w:t>
      </w:r>
      <w:r>
        <w:t xml:space="preserve"> </w:t>
      </w:r>
      <w:r>
        <w:rPr>
          <w:b/>
          <w:bCs/>
        </w:rPr>
        <w:t xml:space="preserve">management interventions targeted at low-flow periods produced a more efficient gain in environmental flow value per cost in agricultural productivity</w:t>
      </w:r>
      <w:r>
        <w:t xml:space="preserve">.</w:t>
      </w:r>
    </w:p>
    <w:p>
      <w:pPr>
        <w:pStyle w:val="BodyText"/>
      </w:pPr>
      <w:r>
        <w:rPr>
          <w:b/>
          <w:bCs/>
        </w:rPr>
        <w:t xml:space="preserve">revise conclusion statement?</w:t>
      </w:r>
      <w:r>
        <w:t xml:space="preserve"> </w:t>
      </w:r>
      <w:r>
        <w:t xml:space="preserve">The development of basin-specific objective functions, especially ones using output from existing hydrologic models, could help quantify management decision trade-offs and improve stakeholder communication in ongoing water planning efforts throughout the region.</w:t>
      </w:r>
    </w:p>
    <w:p>
      <w:pPr>
        <w:pStyle w:val="BodyText"/>
      </w:pPr>
      <w:r>
        <w:rPr>
          <w:b/>
          <w:bCs/>
        </w:rPr>
        <w:t xml:space="preserve">to do:</w:t>
      </w:r>
      <w:r>
        <w:t xml:space="preserve"> </w:t>
      </w:r>
      <w:r>
        <w:t xml:space="preserve">add citations from</w:t>
      </w:r>
      <w:r>
        <w:t xml:space="preserve"> </w:t>
      </w:r>
      <w:r>
        <w:t xml:space="preserve">(</w:t>
      </w:r>
      <w:r>
        <w:rPr>
          <w:b/>
          <w:bCs/>
        </w:rPr>
        <w:t xml:space="preserve">NullLundFISH2012?</w:t>
      </w:r>
      <w:r>
        <w:t xml:space="preserve">)</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Sustainable development of water resources, in an era of climate change and increasing human water consumption</w:t>
      </w:r>
      <w:r>
        <w:t xml:space="preserve"> </w:t>
      </w:r>
      <w:r>
        <w:t xml:space="preserve">(e.g., 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“objective function(s)”</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 In this study, we take advantage of the authors’ involvement in an existing water resource planning process, and a previously-developed integrated surface- and groundwater model, to test the utility of introducing elements of multi-objective optimization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To investigate whether an explicit optimization framework would yield different prioritization of management actions than the set agreed upon in public meetings,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w:t>
      </w:r>
    </w:p>
    <w:p>
      <w:pPr>
        <w:pStyle w:val="BodyText"/>
      </w:pPr>
      <w:r>
        <w:rPr>
          <w:b/>
          <w:bCs/>
        </w:rPr>
        <w:t xml:space="preserve">Possibly reframe as hypothesis or research question</w:t>
      </w:r>
    </w:p>
    <w:p>
      <w:pPr>
        <w:pStyle w:val="BodyText"/>
      </w:pPr>
      <w:r>
        <w:rPr>
          <w:b/>
          <w:bCs/>
        </w:rPr>
        <w:t xml:space="preserve">TO DO: MOVE city labels on map in fig 1</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6" w:name="X525b2f83bcefbf206e3ace342b868d96bb1ee57"/>
    <w:p>
      <w:pPr>
        <w:pStyle w:val="Heading1"/>
      </w:pPr>
      <w:r>
        <w:rPr>
          <w:rStyle w:val="SectionNumber"/>
        </w:rPr>
        <w:t xml:space="preserve">2</w:t>
      </w:r>
      <w:r>
        <w:tab/>
      </w:r>
      <w:r>
        <w:t xml:space="preserve">Case study and summary of GSP development</w:t>
      </w:r>
    </w:p>
    <w:p>
      <w:pPr>
        <w:pStyle w:val="FirstParagraph"/>
      </w:pPr>
      <w:r>
        <w:rPr>
          <w:b/>
          <w:bCs/>
        </w:rPr>
        <w:t xml:space="preserve">must shorten. possibly move to supplement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surrounded by several mountain ranges, including the Scott Bar, Marble, Salmon and Scott Mountains to the north, west, southwest, and south, respectively.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w:t>
      </w:r>
    </w:p>
    <w:p>
      <w:pPr>
        <w:pStyle w:val="BodyText"/>
      </w:pPr>
      <w:r>
        <w:t xml:space="preserve">The Scott River begins near the community of Callahan, where the East and South Forks of the Scott River converge, and flows north through the agricultural and residential areas of Scott Valley (Figure</w:t>
      </w:r>
      <w:r>
        <w:t xml:space="preserve"> </w:t>
      </w:r>
      <w:r>
        <w:t xml:space="preserve">1</w:t>
      </w:r>
      <w:r>
        <w:t xml:space="preserve">). Then, 58.0 km (36.0 mi) downstream of Callahan, it passes a key stream gauge (USGS Station ID 11519500, or the Fort Jones Gauge or FJ Gauge) and enters more rugged terrain, flowing 34.7 km (21.6 mi) through a steep canyon until it meets the Klamath River. Because practically all water use in Scott Valley occurs upgradient of the FJ Gauge, it is used to assess hydrologic conditions and inform water management decisions in the populated areas of the valley</w:t>
      </w:r>
      <w:r>
        <w:t xml:space="preserve"> </w:t>
      </w:r>
      <w:r>
        <w:t xml:space="preserve">(e.g., Siskiyou County 2021)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BodyText"/>
      </w:pPr>
      <w:r>
        <w:rPr>
          <w:b/>
          <w:bCs/>
        </w:rPr>
        <w:t xml:space="preserve">TO DO: ADD 2ND y axes with degrees F and inches on fig 2</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32" w:name="X33d0072624d566dcf1fc914eaa47e60d958b5ff"/>
    <w:p>
      <w:pPr>
        <w:pStyle w:val="Heading2"/>
      </w:pPr>
      <w:r>
        <w:rPr>
          <w:rStyle w:val="SectionNumber"/>
        </w:rPr>
        <w:t xml:space="preserve">2.2</w:t>
      </w:r>
      <w:r>
        <w:tab/>
      </w:r>
      <w:r>
        <w:t xml:space="preserve">Human population, land use, and local economy</w:t>
      </w:r>
    </w:p>
    <w:p>
      <w:pPr>
        <w:pStyle w:val="FirstParagraph"/>
      </w:pPr>
      <w:r>
        <w:t xml:space="preserve">The population of Scott Valley is approximately 5,200, based on area-weighted block-level 2020 census data, including the populations of the two incorporated towns of Etna and Fort Jones [population 678 and 695, respectively;</w:t>
      </w:r>
      <w:r>
        <w:t xml:space="preserve"> </w:t>
      </w:r>
      <w:r>
        <w:t xml:space="preserve">U.S. Census Bureau (2021)</w:t>
      </w:r>
      <w:r>
        <w:t xml:space="preserve">]. 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Fort Jones and Etna are categorized as severely economically disadvantaged (defined as communities with an annual median household income [MHI] of less than 60% of the average annual MHI in California). Based on the 2013-2017 American Community Survey Five Year Estimates, the statewide annual MHI is $67,169, and Fort Jones and Etna both qualify as SDACs with annual MHIs of $29,662 and $35,333, respectively</w:t>
      </w:r>
      <w:r>
        <w:t xml:space="preserve"> </w:t>
      </w:r>
      <w:r>
        <w:t xml:space="preserve">(U.S. Census Bureau 2018)</w:t>
      </w:r>
      <w:r>
        <w:t xml:space="preserve">. The unincorporated community of Greenview is listed in government databases as a disadvantaged community (defined as an MHI of less than 80% of average state MHI), but no MHI data are available for this community</w:t>
      </w:r>
      <w:r>
        <w:t xml:space="preserve"> </w:t>
      </w:r>
      <w:r>
        <w:t xml:space="preserve">(DWR 2019)</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End w:id="32"/>
    <w:bookmarkStart w:id="43" w:name="water-uses-and-management-objectives"/>
    <w:p>
      <w:pPr>
        <w:pStyle w:val="Heading2"/>
      </w:pPr>
      <w:r>
        <w:rPr>
          <w:rStyle w:val="SectionNumber"/>
        </w:rPr>
        <w:t xml:space="preserve">2.3</w:t>
      </w:r>
      <w:r>
        <w:tab/>
      </w:r>
      <w:r>
        <w:t xml:space="preserve">Water uses and management objectives</w:t>
      </w:r>
    </w:p>
    <w:p>
      <w:pPr>
        <w:pStyle w:val="FirstParagraph"/>
      </w:pPr>
      <w:r>
        <w:t xml:space="preserve">Like many rural watersheds in arid to semi-arid regions, balancing environmental and agricultural water demands is a significant challenge faced by local water managers. Water uses, land management, and the measurement units used in local regulatory documents were discussed in Chapter 1 of this dissertation:</w:t>
      </w:r>
    </w:p>
    <w:p>
      <w:pPr>
        <w:pStyle w:val="BlockText"/>
      </w:pPr>
      <w:r>
        <w:t xml:space="preserve">“Water in Scott Valley is used for agricultural, domestic, and municipal supply. It also facilitates recreation and provides Native American cultural services, among other designated beneficial uses</w:t>
      </w:r>
      <w:r>
        <w:t xml:space="preserve"> </w:t>
      </w:r>
      <w:r>
        <w:t xml:space="preserve">(NCRWQCB 2006)</w:t>
      </w:r>
      <w:r>
        <w:t xml:space="preserve">. 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lock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would entail significant economic, political and social risks, because much of the economic activity in this area is related to agriculture. The primary crops grown in Scott Valley are alfalfa and pasture for cattle feed</w:t>
      </w:r>
      <w:r>
        <w:t xml:space="preserve"> </w:t>
      </w:r>
      <w:r>
        <w:t xml:space="preserve">(Siskiyou County 2021)</w:t>
      </w:r>
      <w:r>
        <w:t xml:space="preserve">. In addition to local economic impact, Scott River conditions influence fish population dynamics both within the watershed and in the broader Klamath system. The health of the Klamath salmon run has implications for commercial fishing, recreational activities, and cultural practices of Native American tribes in the region, including the Quartz Valley Indian Community and the Karuk and Yurok Tribes</w:t>
      </w:r>
      <w:r>
        <w:t xml:space="preserve"> </w:t>
      </w:r>
      <w:r>
        <w:t xml:space="preserve">(Graham 2012)</w:t>
      </w:r>
      <w:r>
        <w:t xml:space="preserve">.</w:t>
      </w:r>
    </w:p>
    <w:p>
      <w:pPr>
        <w:pStyle w:val="BlockText"/>
      </w:pPr>
      <w:r>
        <w:t xml:space="preserve">All of the regulatory and management programs in this region, including recommended instream flows</w:t>
      </w:r>
      <w:r>
        <w:t xml:space="preserve"> </w:t>
      </w:r>
      <w:r>
        <w:t xml:space="preserve">(CDFW 2017)</w:t>
      </w:r>
      <w:r>
        <w:t xml:space="preserve"> </w:t>
      </w:r>
      <w:r>
        <w:t xml:space="preserve">and legal rights governing surface water diversion</w:t>
      </w:r>
      <w:r>
        <w:t xml:space="preserve"> </w:t>
      </w:r>
      <w:r>
        <w:t xml:space="preserve">(Superior Court of Siskiyou County 1980)</w:t>
      </w:r>
      <w:r>
        <w:t xml:space="preserve">, are tabulated in units of cubic feet per second (cfs). For consistency, this document will also use primarily cfs units, with metric units in parentheses.”</w:t>
      </w:r>
    </w:p>
    <w:bookmarkStart w:id="33" w:name="environmental-stream-flows"/>
    <w:p>
      <w:pPr>
        <w:pStyle w:val="Heading3"/>
      </w:pPr>
      <w:r>
        <w:rPr>
          <w:rStyle w:val="SectionNumber"/>
        </w:rPr>
        <w:t xml:space="preserve">2.3.1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w:t>
      </w:r>
    </w:p>
    <w:p>
      <w:pPr>
        <w:pStyle w:val="Compact"/>
        <w:numPr>
          <w:ilvl w:val="0"/>
          <w:numId w:val="1001"/>
        </w:numPr>
      </w:pPr>
      <w:r>
        <w:t xml:space="preserve">Sufficient flow in the spring for yearling smolts to emigrate to the ocean</w:t>
      </w:r>
    </w:p>
    <w:p>
      <w:pPr>
        <w:pStyle w:val="FirstParagraph"/>
      </w:pPr>
      <w:r>
        <w:t xml:space="preserve">Other species may require other functional flows [e.g., cottonwood trees require flood-stage flows to disperse their seeds;</w:t>
      </w:r>
      <w:r>
        <w:t xml:space="preserve"> </w:t>
      </w:r>
      <w:r>
        <w:t xml:space="preserve">Mahoney and Rood (1998)</w:t>
      </w:r>
      <w:r>
        <w:t xml:space="preserve">], but in this work we focus on coho salmon, the most vulnerable species in the watershed. Future work could evaluate the suite of flows needed by a larger set of species in Scott Valley.</w:t>
      </w:r>
    </w:p>
    <w:bookmarkEnd w:id="33"/>
    <w:bookmarkStart w:id="42" w:name="agricultural-water-demand"/>
    <w:p>
      <w:pPr>
        <w:pStyle w:val="Heading3"/>
      </w:pPr>
      <w:r>
        <w:rPr>
          <w:rStyle w:val="SectionNumber"/>
        </w:rPr>
        <w:t xml:space="preserve">2.3.2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2018),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In the mid-twentieth century, farms and ranches irrigated grain, alfalfa and pasture crops mainly with diverted surface water, which was abundant until mid or late summer, and many utilized flood irrigation. On this schedule two alfalfa cuttings were harvested, with the last irrigation typically occurring in July. Since the 1970s, widespread construction of irrigation wells has effectively extended the irrigation season and allowed alfalfa farmers to harvest three or four cuttings in a growing season. (Additionally, higher-irrigation efficiency technology like wheel-line and center-pivot sprinklers became common, though this does not alter the consumptive demand of the cultivated crops.) Based on historical crop coverage and water demand estimates by Harter and Hines</w:t>
      </w:r>
      <w:r>
        <w:t xml:space="preserve"> </w:t>
      </w:r>
      <w:r>
        <w:t xml:space="preserve">(2008)</w:t>
      </w:r>
      <w:r>
        <w:t xml:space="preserve">,</w:t>
      </w:r>
      <w:r>
        <w:t xml:space="preserve"> </w:t>
      </w:r>
      <w:r>
        <w:t xml:space="preserve">“the amount of water likely used by crops has increased from 1958 to 2000 by between 15 percent (10,000 more acre feet) and 30 percent (20,000 acre feet) depending on the date when surface irrigation [is assumed to have ceased historically], i.e. July 15, Aug 1 or Aug 15.”</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5" name="Picture"/>
            <a:graphic>
              <a:graphicData uri="http://schemas.openxmlformats.org/drawingml/2006/picture">
                <pic:pic>
                  <pic:nvPicPr>
                    <pic:cNvPr descr="Graphics%20and%20Supplements/Figure%202.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7" w:name="fig:avgWaterBudgetFig"/>
      <w:bookmarkEnd w:id="37"/>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9" name="Picture"/>
            <a:graphic>
              <a:graphicData uri="http://schemas.openxmlformats.org/drawingml/2006/picture">
                <pic:pic>
                  <pic:nvPicPr>
                    <pic:cNvPr descr="Graphics%20and%20Supplements/Figure%203.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1" w:name="fig:annualSWBMBudget"/>
      <w:bookmarkEnd w:id="41"/>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2"/>
    <w:bookmarkEnd w:id="43"/>
    <w:bookmarkStart w:id="44" w:name="gsp-development"/>
    <w:p>
      <w:pPr>
        <w:pStyle w:val="Heading2"/>
      </w:pPr>
      <w:r>
        <w:rPr>
          <w:rStyle w:val="SectionNumber"/>
        </w:rPr>
        <w:t xml:space="preserve">2.4</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4"/>
    <w:bookmarkStart w:id="45" w:name="hydrologic-model-summary"/>
    <w:p>
      <w:pPr>
        <w:pStyle w:val="Heading2"/>
      </w:pPr>
      <w:r>
        <w:rPr>
          <w:rStyle w:val="SectionNumber"/>
        </w:rPr>
        <w:t xml:space="preserve">2.5</w:t>
      </w:r>
      <w:r>
        <w:tab/>
      </w:r>
      <w:r>
        <w:t xml:space="preserve">Hydrologic model summary</w:t>
      </w:r>
    </w:p>
    <w:p>
      <w:pPr>
        <w:pStyle w:val="FirstParagraph"/>
      </w:pPr>
      <w:r>
        <w:t xml:space="preserve">The Scott Valley Integrated Hydrologic Model (SVIHM) is a surface and groundwater model driven by tributary stream inflows, precipitation inputs, and reference evapotranspiration (ET</w:t>
      </w:r>
      <w:r>
        <w:rPr>
          <w:vertAlign w:val="subscript"/>
        </w:rPr>
        <w:t xml:space="preserve">0</w:t>
      </w:r>
      <w:r>
        <w:t xml:space="preserve">). The boundary of the model domain corresponds approximately to the extent of the alluvial aquifer. For detailed information about the model structure, sensitivity, calibration, uncertainty, and validation of results, see recent work by Tolley et al.</w:t>
      </w:r>
      <w:r>
        <w:t xml:space="preserve"> </w:t>
      </w:r>
      <w:r>
        <w:t xml:space="preserve">(2019)</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2"/>
        </w:numPr>
      </w:pPr>
      <w:r>
        <w:t xml:space="preserve">A prediction of Scott River daily average flow at the Fort Jones Gauge, which is co-located with the surface water outlet of the model domain; and</w:t>
      </w:r>
    </w:p>
    <w:p>
      <w:pPr>
        <w:pStyle w:val="Compact"/>
        <w:numPr>
          <w:ilvl w:val="0"/>
          <w:numId w:val="1002"/>
        </w:numPr>
      </w:pPr>
      <w:r>
        <w:t xml:space="preserve">Simulated total ET of crops and native vegetation within the model domain.</w:t>
      </w:r>
    </w:p>
    <w:bookmarkEnd w:id="45"/>
    <w:bookmarkEnd w:id="46"/>
    <w:bookmarkStart w:id="80"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 maximizing specific environmental flows, maintain current levels of agricultural productivity (represented as minimizing reduction in agricultural water use), and minimizing new infrastructure costs (represented as a categorical infrastructure/feasibility proxy) (Table</w:t>
      </w:r>
      <w:r>
        <w:t xml:space="preserve"> </w:t>
      </w:r>
      <w:r>
        <w:t xml:space="preserve">2</w:t>
      </w:r>
      <w:r>
        <w:t xml:space="preserve">). 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BodyText"/>
      </w:pPr>
      <w:r>
        <w:t xml:space="preserve">We should note that protecting domestic water use was also discussed as a management objective, but this was not evaluated as an objective function in management scenarios, for three main reasons: it was assumed that solving the environmental flows problem would intrinsically keep groundwater levels sufficiently high to protect domestic groundwater use from well outages; the number of reported well outages in recent dry years was minimal; and the data necessary to assess domestic well outages (specifically, total well depth and pump depth information) was available only for a small number of wells.</w:t>
      </w:r>
    </w:p>
    <w:p>
      <w:pPr>
        <w:pStyle w:val="TableCaption"/>
      </w:pPr>
      <w:bookmarkStart w:id="47" w:name="tab:objFunctionTable"/>
      <w:bookmarkEnd w:id="47"/>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2" w:name="objective-functions"/>
    <w:p>
      <w:pPr>
        <w:pStyle w:val="Heading2"/>
      </w:pPr>
      <w:r>
        <w:rPr>
          <w:rStyle w:val="SectionNumber"/>
        </w:rPr>
        <w:t xml:space="preserve">3.1</w:t>
      </w:r>
      <w:r>
        <w:tab/>
      </w:r>
      <w:r>
        <w:t xml:space="preserve">Objective functions</w:t>
      </w:r>
    </w:p>
    <w:bookmarkStart w:id="49" w:name="hydrologic-benefit-function"/>
    <w:p>
      <w:pPr>
        <w:pStyle w:val="Heading3"/>
      </w:pPr>
      <w:r>
        <w:rPr>
          <w:rStyle w:val="SectionNumber"/>
        </w:rPr>
        <w:t xml:space="preserve">3.1.1</w:t>
      </w:r>
      <w:r>
        <w:tab/>
      </w:r>
      <w:r>
        <w:t xml:space="preserve">Hydrologic Benefit function</w:t>
      </w:r>
    </w:p>
    <w:p>
      <w:pPr>
        <w:pStyle w:val="FirstParagraph"/>
      </w:pPr>
      <w:r>
        <w:t xml:space="preserve">In Chapter 1 of this dissertation, we showed that the degree to which the water year provided ecological services needed by coho salmon can be estimated using a Hydrologic Benefit (HB) function, which summarizes environmental flows in a single index value for a given water year. A set of streamflow metrics related to the timing, amplitude, and duration of flow phenomena were weighted according to their power to predict salmon coho smolt production per female spawner. These weighted metrics are combined linearly to predict a value for coho salmon reproduction. See Chapter 1 for more details on these calculations. Specifically, the HB function predicts a higher number of coho salmon produced per female spawner (coho smolts per female, or coho spf-equivalent) when fall flows rise above 10 and 100 cfs earlier in the fall, when the wet season onset is earlier, and when the wet season duration is longer. The equation to calculate the HB value for a given water year is as follows:</w:t>
      </w:r>
    </w:p>
    <w:p>
      <w:pPr>
        <w:pStyle w:val="BodyText"/>
      </w:pPr>
      <m:oMathPara>
        <m:oMathParaPr>
          <m:jc m:val="center"/>
        </m:oMathParaPr>
        <m:oMath>
          <m:r>
            <m:t>H</m:t>
          </m:r>
          <m:sSub>
            <m:e>
              <m:r>
                <m:t>B</m:t>
              </m:r>
            </m:e>
            <m:sub>
              <m:r>
                <m:t>w</m:t>
              </m:r>
              <m:r>
                <m:t>y</m:t>
              </m:r>
            </m:sub>
          </m:sSub>
          <m:r>
            <m:rPr>
              <m:sty m:val="p"/>
            </m:rPr>
            <m:t>=</m:t>
          </m:r>
          <m:r>
            <m:t>b</m:t>
          </m:r>
          <m:r>
            <m:rPr>
              <m:sty m:val="p"/>
            </m:rPr>
            <m:t>+</m:t>
          </m:r>
          <m:sSub>
            <m:e>
              <m:r>
                <m:t>m</m:t>
              </m:r>
            </m:e>
            <m:sub>
              <m:r>
                <m:t>1</m:t>
              </m:r>
            </m:sub>
          </m:sSub>
          <m:r>
            <m:rPr>
              <m:sty m:val="p"/>
            </m:rPr>
            <m:t>*</m:t>
          </m:r>
          <m:r>
            <m:t>m</m:t>
          </m:r>
          <m:r>
            <m:t>e</m:t>
          </m:r>
          <m:r>
            <m:t>t</m:t>
          </m:r>
          <m:r>
            <m:t>r</m:t>
          </m:r>
          <m:r>
            <m:t>i</m:t>
          </m:r>
          <m:sSub>
            <m:e>
              <m:r>
                <m:t>c</m:t>
              </m:r>
            </m:e>
            <m:sub>
              <m:r>
                <m:t>1</m:t>
              </m:r>
              <m:r>
                <m:rPr>
                  <m:sty m:val="p"/>
                </m:rPr>
                <m:t>,</m:t>
              </m:r>
              <m:r>
                <m:t> </m:t>
              </m:r>
              <m:r>
                <m:t>w</m:t>
              </m:r>
              <m:r>
                <m:t>y</m:t>
              </m:r>
            </m:sub>
          </m:sSub>
          <m:r>
            <m:rPr>
              <m:sty m:val="p"/>
            </m:rPr>
            <m:t>+</m:t>
          </m:r>
          <m:r>
            <m:rPr>
              <m:sty m:val="p"/>
            </m:rPr>
            <m:t>.</m:t>
          </m:r>
          <m:r>
            <m:rPr>
              <m:sty m:val="p"/>
            </m:rPr>
            <m:t>.</m:t>
          </m:r>
          <m:r>
            <m:rPr>
              <m:sty m:val="p"/>
            </m:rPr>
            <m:t>.</m:t>
          </m:r>
          <m:r>
            <m:rPr>
              <m:sty m:val="p"/>
            </m:rPr>
            <m:t>+</m:t>
          </m:r>
          <m:sSub>
            <m:e>
              <m:r>
                <m:t>m</m:t>
              </m:r>
            </m:e>
            <m:sub>
              <m:r>
                <m:t>4</m:t>
              </m:r>
            </m:sub>
          </m:sSub>
          <m:r>
            <m:rPr>
              <m:sty m:val="p"/>
            </m:rPr>
            <m:t>*</m:t>
          </m:r>
          <m:r>
            <m:t>m</m:t>
          </m:r>
          <m:r>
            <m:t>e</m:t>
          </m:r>
          <m:r>
            <m:t>t</m:t>
          </m:r>
          <m:r>
            <m:t>r</m:t>
          </m:r>
          <m:r>
            <m:t>i</m:t>
          </m:r>
          <m:sSub>
            <m:e>
              <m:r>
                <m:t>c</m:t>
              </m:r>
            </m:e>
            <m:sub>
              <m:r>
                <m:t>4</m:t>
              </m:r>
              <m:r>
                <m:rPr>
                  <m:sty m:val="p"/>
                </m:rPr>
                <m:t>,</m:t>
              </m:r>
              <m:r>
                <m:t> </m:t>
              </m:r>
              <m:r>
                <m:t>w</m:t>
              </m:r>
              <m:r>
                <m:t>y</m:t>
              </m:r>
            </m:sub>
          </m:sSub>
        </m:oMath>
      </m:oMathPara>
    </w:p>
    <w:p>
      <w:pPr>
        <w:pStyle w:val="FirstParagraph"/>
      </w:pPr>
      <w:r>
        <w:t xml:space="preserve">Where:</w:t>
      </w:r>
    </w:p>
    <w:p>
      <w:pPr>
        <w:pStyle w:val="BodyText"/>
      </w:pPr>
      <w:r>
        <w:rPr>
          <w:b/>
          <w:bCs/>
        </w:rPr>
        <w:t xml:space="preserve">TO DO: ADD MATH TERMS IN TABLE</w:t>
      </w:r>
    </w:p>
    <w:p>
      <w:pPr>
        <w:pStyle w:val="TableCaption"/>
      </w:pPr>
      <w:bookmarkStart w:id="48" w:name="tab:coefTab"/>
      <w:bookmarkEnd w:id="48"/>
      <w:r>
        <w:t xml:space="preserve">Table 3:</w:t>
      </w:r>
      <w:r>
        <w:t xml:space="preserve"> </w:t>
      </w:r>
      <w:r>
        <w:t xml:space="preserve">REPLACE CAPTION.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flow increase (as juvenile fish)</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bl>
    <w:p>
      <w:pPr>
        <w:pStyle w:val="BodyText"/>
      </w:pPr>
      <m:oMath>
        <m:r>
          <m:t>H</m:t>
        </m:r>
        <m:sSub>
          <m:e>
            <m:r>
              <m:t>B</m:t>
            </m:r>
          </m:e>
          <m:sub>
            <m:r>
              <m:t>w</m:t>
            </m:r>
            <m:r>
              <m:t>y</m:t>
            </m:r>
          </m:sub>
        </m:sSub>
      </m:oMath>
      <w:r>
        <w:t xml:space="preserve"> </w:t>
      </w:r>
      <w:r>
        <w:t xml:space="preserve">is the Hydrologic Benefit value for a given water year (predicted coho spf or coho spf equivalent)</w:t>
      </w:r>
    </w:p>
    <w:p>
      <w:pPr>
        <w:pStyle w:val="BodyText"/>
      </w:pPr>
      <m:oMath>
        <m:r>
          <m:t>b</m:t>
        </m:r>
        <m:r>
          <m:rPr>
            <m:sty m:val="p"/>
          </m:rPr>
          <m:t>=</m:t>
        </m:r>
        <m:r>
          <m:t>87.4</m:t>
        </m:r>
      </m:oMath>
      <w:r>
        <w:t xml:space="preserve"> </w:t>
      </w:r>
      <w:r>
        <w:t xml:space="preserve">coho spf equiv.</w:t>
      </w:r>
    </w:p>
    <w:p>
      <w:pPr>
        <w:pStyle w:val="BodyText"/>
      </w:pPr>
      <m:oMath>
        <m:sSub>
          <m:e>
            <m:r>
              <m:t>m</m:t>
            </m:r>
          </m:e>
          <m:sub>
            <m:r>
              <m:t>1</m:t>
            </m:r>
          </m:sub>
        </m:sSub>
        <m:r>
          <m:rPr>
            <m:sty m:val="p"/>
          </m:rPr>
          <m:t>=</m:t>
        </m:r>
        <m:r>
          <m:rPr>
            <m:sty m:val="p"/>
          </m:rPr>
          <m:t>−</m:t>
        </m:r>
        <m:r>
          <m:t>0.030</m:t>
        </m:r>
      </m:oMath>
      <w:r>
        <w:t xml:space="preserve"> </w:t>
      </w:r>
      <w:r>
        <w:t xml:space="preserve">coho spf equiv. per day of reconnection after Aug. 31 (100 cfs)</w:t>
      </w:r>
    </w:p>
    <w:p>
      <w:pPr>
        <w:pStyle w:val="BodyText"/>
      </w:pPr>
      <m:oMath>
        <m:sSub>
          <m:e>
            <m:r>
              <m:t>m</m:t>
            </m:r>
          </m:e>
          <m:sub>
            <m:r>
              <m:t>2</m:t>
            </m:r>
          </m:sub>
        </m:sSub>
        <m:r>
          <m:rPr>
            <m:sty m:val="p"/>
          </m:rPr>
          <m:t>=</m:t>
        </m:r>
        <m:r>
          <m:rPr>
            <m:sty m:val="p"/>
          </m:rPr>
          <m:t>−</m:t>
        </m:r>
        <m:r>
          <m:t>0.365</m:t>
        </m:r>
      </m:oMath>
      <w:r>
        <w:t xml:space="preserve"> </w:t>
      </w:r>
      <w:r>
        <w:t xml:space="preserve">coho spf equiv. per day of reconnection after Aug. 31 (200 cfs)</w:t>
      </w:r>
    </w:p>
    <w:p>
      <w:pPr>
        <w:pStyle w:val="BodyText"/>
      </w:pPr>
      <m:oMath>
        <m:sSub>
          <m:e>
            <m:r>
              <m:t>m</m:t>
            </m:r>
          </m:e>
          <m:sub>
            <m:r>
              <m:t>3</m:t>
            </m:r>
          </m:sub>
        </m:sSub>
        <m:r>
          <m:rPr>
            <m:sty m:val="p"/>
          </m:rPr>
          <m:t>=</m:t>
        </m:r>
        <m:r>
          <m:t>0.033</m:t>
        </m:r>
      </m:oMath>
      <w:r>
        <w:t xml:space="preserve"> </w:t>
      </w:r>
      <w:r>
        <w:t xml:space="preserve">coho spf equiv. per day of disconnection after Aug. 31 (200 cfs)</w:t>
      </w:r>
    </w:p>
    <w:p>
      <w:pPr>
        <w:pStyle w:val="BodyText"/>
      </w:pPr>
      <m:oMath>
        <m:sSub>
          <m:e>
            <m:r>
              <m:t>m</m:t>
            </m:r>
          </m:e>
          <m:sub>
            <m:r>
              <m:t>4</m:t>
            </m:r>
          </m:sub>
        </m:sSub>
        <m:r>
          <m:rPr>
            <m:sty m:val="p"/>
          </m:rPr>
          <m:t>=</m:t>
        </m:r>
        <m:r>
          <m:rPr>
            <m:sty m:val="p"/>
          </m:rPr>
          <m:t>−</m:t>
        </m:r>
        <m:r>
          <m:t>0.191</m:t>
        </m:r>
      </m:oMath>
      <w:r>
        <w:t xml:space="preserve"> </w:t>
      </w:r>
      <w:r>
        <w:t xml:space="preserve">coho spf equiv. per day of reconnection after Aug. 31 (8 cfs)</w:t>
      </w:r>
    </w:p>
    <w:p>
      <w:pPr>
        <w:pStyle w:val="BodyText"/>
      </w:pPr>
      <m:oMath>
        <m:sSub>
          <m:e>
            <m:r>
              <m:t>m</m:t>
            </m:r>
          </m:e>
          <m:sub>
            <m:r>
              <m:t>5</m:t>
            </m:r>
          </m:sub>
        </m:sSub>
        <m:r>
          <m:rPr>
            <m:sty m:val="p"/>
          </m:rPr>
          <m:t>=</m:t>
        </m:r>
        <m:r>
          <m:rPr>
            <m:sty m:val="p"/>
          </m:rPr>
          <m:t>−</m:t>
        </m:r>
        <m:r>
          <m:t>0.004</m:t>
        </m:r>
      </m:oMath>
      <w:r>
        <w:t xml:space="preserve"> </w:t>
      </w:r>
      <w:r>
        <w:t xml:space="preserve">coho spf equiv. per cubic meter of lower dry season flow magnitude</w:t>
      </w:r>
    </w:p>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 4.5 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9"/>
    <w:bookmarkStart w:id="50"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Specifically, conversion of ET to yield or revenue would introduce multiple uncertainties, such as those related to marginal crop production costs and available technology</w:t>
      </w:r>
      <w:r>
        <w:t xml:space="preserve"> </w:t>
      </w:r>
      <w:r>
        <w:t xml:space="preserve">(Howitt 1995)</w:t>
      </w:r>
      <w:r>
        <w:t xml:space="preserve">. In studies that do implement a water-to-yield or -revenue conversion, multi-year average values for per-acre yield and/or revenue are commonly used</w:t>
      </w:r>
      <w:r>
        <w:t xml:space="preserve"> </w:t>
      </w:r>
      <w:r>
        <w:t xml:space="preserve">(e.g., Cole and Medellín-Azuara 2021 for the Scott Valley case)</w:t>
      </w:r>
      <w:r>
        <w:t xml:space="preserve">, since those are typically the only values available. This approach is most valid when the marginal change in productivity is small relative to the average</w:t>
      </w:r>
      <w:r>
        <w:t xml:space="preserve"> </w:t>
      </w:r>
      <w:r>
        <w:t xml:space="preserve">(Howitt 1995)</w:t>
      </w:r>
      <w:r>
        <w:t xml:space="preserve">. Additionally, average values cannot account for time-varying costs of a management action</w:t>
      </w:r>
      <w:r>
        <w:t xml:space="preserve"> </w:t>
      </w:r>
      <w:r>
        <w:t xml:space="preserve">(e.g., the increase in cost of lettuce cultivation due to banning a certain pesticide is higher in some seasons than in others, as described in Sunding 1996)</w:t>
      </w:r>
      <w:r>
        <w:t xml:space="preserv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50"/>
    <w:bookmarkStart w:id="51"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3"/>
        </w:numPr>
      </w:pPr>
      <w:r>
        <w:t xml:space="preserve">No feasibility barriers (basecase; maintain current practices)</w:t>
      </w:r>
    </w:p>
    <w:p>
      <w:pPr>
        <w:pStyle w:val="Compact"/>
        <w:numPr>
          <w:ilvl w:val="0"/>
          <w:numId w:val="1003"/>
        </w:numPr>
      </w:pPr>
      <w:r>
        <w:t xml:space="preserve">Implementable with current infrastructure</w:t>
      </w:r>
    </w:p>
    <w:p>
      <w:pPr>
        <w:pStyle w:val="Compact"/>
        <w:numPr>
          <w:ilvl w:val="0"/>
          <w:numId w:val="1003"/>
        </w:numPr>
      </w:pPr>
      <w:r>
        <w:t xml:space="preserve">Requires new infrastructure that would take 1-2 years to build</w:t>
      </w:r>
    </w:p>
    <w:p>
      <w:pPr>
        <w:pStyle w:val="Compact"/>
        <w:numPr>
          <w:ilvl w:val="0"/>
          <w:numId w:val="1003"/>
        </w:numPr>
      </w:pPr>
      <w:r>
        <w:t xml:space="preserve">Requires new infrastructure that would take 3-5 years to build</w:t>
      </w:r>
    </w:p>
    <w:p>
      <w:pPr>
        <w:pStyle w:val="Compact"/>
        <w:numPr>
          <w:ilvl w:val="0"/>
          <w:numId w:val="1003"/>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1"/>
    <w:bookmarkEnd w:id="52"/>
    <w:bookmarkStart w:id="55" w:name="analyses-of-objective-function-values"/>
    <w:p>
      <w:pPr>
        <w:pStyle w:val="Heading2"/>
      </w:pPr>
      <w:r>
        <w:rPr>
          <w:rStyle w:val="SectionNumber"/>
        </w:rPr>
        <w:t xml:space="preserve">3.2</w:t>
      </w:r>
      <w:r>
        <w:tab/>
      </w:r>
      <w:r>
        <w:t xml:space="preserve">Analyses of objective function values</w:t>
      </w:r>
    </w:p>
    <w:bookmarkStart w:id="53" w:name="trade-off-efficiency-and-low-coho-years"/>
    <w:p>
      <w:pPr>
        <w:pStyle w:val="Heading3"/>
      </w:pPr>
      <w:r>
        <w:rPr>
          <w:rStyle w:val="SectionNumber"/>
        </w:rPr>
        <w:t xml:space="preserve">3.2.1</w:t>
      </w:r>
      <w:r>
        <w:tab/>
      </w:r>
      <w:r>
        <w:t xml:space="preserve">Trade-off efficiency and</w:t>
      </w:r>
      <w:r>
        <w:t xml:space="preserve"> </w:t>
      </w:r>
      <w:r>
        <w:t xml:space="preserve">“low-coho”</w:t>
      </w:r>
      <w:r>
        <w:t xml:space="preserve"> </w:t>
      </w:r>
      <w:r>
        <w:t xml:space="preserve">years</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w:t>
      </w:r>
      <w:r>
        <w:t xml:space="preserve"> </w:t>
      </w:r>
      <w:r>
        <w:t xml:space="preserve">“best”</w:t>
      </w:r>
      <w:r>
        <w:t xml:space="preserve"> </w:t>
      </w:r>
      <w:r>
        <w:t xml:space="preserve">or optimal solution, these trade-offs can be considered using scenario objective value differences relative to their basecase (historical simulated) values. We will call this quantity the</w:t>
      </w:r>
      <w:r>
        <w:t xml:space="preserve"> </w:t>
      </w:r>
      <w:r>
        <w:t xml:space="preserve">“trade-off efficiency”</w:t>
      </w:r>
      <w:r>
        <w:t xml:space="preserve"> </w:t>
      </w:r>
      <w:r>
        <w:t xml:space="preserve">of a management scenario. For a given scenario, the trade-off efficiency, or Eff</w:t>
      </w:r>
      <w:r>
        <w:rPr>
          <w:vertAlign w:val="subscript"/>
        </w:rPr>
        <w:t xml:space="preserve">scen</w:t>
      </w:r>
      <w:r>
        <w:t xml:space="preserve">, is unitless (i.e., it has units of coho spf-equiv. per coho spf-equiv. / million m</w:t>
      </w:r>
      <w:r>
        <w:rPr>
          <w:vertAlign w:val="superscript"/>
        </w:rPr>
        <w:t xml:space="preserve">3</w:t>
      </w:r>
      <w:r>
        <w:t xml:space="preserve"> </w:t>
      </w:r>
      <w:r>
        <w:t xml:space="preserve">per million m</w:t>
      </w:r>
      <w:r>
        <w:rPr>
          <w:vertAlign w:val="superscript"/>
        </w:rPr>
        <w:t xml:space="preserve">3</w:t>
      </w:r>
      <w:r>
        <w:t xml:space="preserve">), as shown in the formula below.</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“low-coho”</w:t>
      </w:r>
      <w:r>
        <w:t xml:space="preserve"> </w:t>
      </w:r>
      <w:r>
        <w:t xml:space="preserve">years. A low-coho year efficiency was calculated in addition to the efficiencies averaged over all water years.</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3"/>
    <w:bookmarkStart w:id="54"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54"/>
    <w:bookmarkEnd w:id="55"/>
    <w:bookmarkStart w:id="57"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6" w:name="tab:scenCategoryTab"/>
      <w:bookmarkEnd w:id="56"/>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7"/>
    <w:bookmarkStart w:id="79"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7"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9" name="Picture"/>
            <a:graphic>
              <a:graphicData uri="http://schemas.openxmlformats.org/drawingml/2006/picture">
                <pic:pic>
                  <pic:nvPicPr>
                    <pic:cNvPr descr="Graphics%20and%20Supplements/Figure%204.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1" w:name="fig:benefitByWY"/>
      <w:bookmarkEnd w:id="61"/>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3" name="Picture"/>
            <a:graphic>
              <a:graphicData uri="http://schemas.openxmlformats.org/drawingml/2006/picture">
                <pic:pic>
                  <pic:nvPicPr>
                    <pic:cNvPr descr="Graphics%20and%20Supplements/Figure%205.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5" w:name="fig:farmerFishTradeoffFigure"/>
      <w:bookmarkEnd w:id="65"/>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8913.9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8834.4 to 9107.4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-80 to 89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103 to 117 million m</w:t>
      </w:r>
      <w:r>
        <w:rPr>
          <w:vertAlign w:val="superscript"/>
        </w:rPr>
        <w:t xml:space="preserve">3</w:t>
      </w:r>
      <w:r>
        <w:t xml:space="preserve">, or 13 to 1 percent less than basecase; HB gains over basecase are 45 to 184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55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6" w:name="tab:scenarioResultsTab"/>
      <w:bookmarkEnd w:id="66"/>
      <w:r>
        <w:t xml:space="preserve">Table 5:</w:t>
      </w:r>
      <w:r>
        <w:t xml:space="preserve"> </w:t>
      </w:r>
      <w:r>
        <w:t xml:space="preserve">Scenario attributes for 40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basecase_0_mar_0_curt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7"/>
    <w:bookmarkStart w:id="72"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-0.42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0% to 2.2%.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5 to 193)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(-0.2 to -0.2 million m</w:t>
      </w:r>
      <w:r>
        <w:rPr>
          <w:vertAlign w:val="superscript"/>
        </w:rPr>
        <w:t xml:space="preserve">3</w:t>
      </w:r>
      <w:r>
        <w:t xml:space="preserve">, or -0.2 to -0.2 percent of basecase crop ET).</w:t>
      </w:r>
    </w:p>
    <w:p>
      <w:pPr>
        <w:pStyle w:val="CaptionedFigure"/>
      </w:pPr>
      <w:r>
        <w:drawing>
          <wp:inline>
            <wp:extent cx="4620126" cy="5544151"/>
            <wp:effectExtent b="0" l="0" r="0" t="0"/>
            <wp:docPr descr="Figure 7:  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 title="" id="69" name="Picture"/>
            <a:graphic>
              <a:graphicData uri="http://schemas.openxmlformats.org/drawingml/2006/picture">
                <pic:pic>
                  <pic:nvPicPr>
                    <pic:cNvPr descr="Kouba_Fish_and_Ag_Benefit_MS_files/figure-docx/efficiency-1.png" id="70" name="Picture"/>
                    <pic:cNvPicPr>
                      <a:picLocks noChangeArrowheads="1" noChangeAspect="1"/>
                    </pic:cNvPicPr>
                  </pic:nvPicPr>
                  <pic:blipFill>
                    <a:blip r:embed="rId68"/>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bookmarkStart w:id="71" w:name="fig:efficiency"/>
      <w:bookmarkEnd w:id="71"/>
      <w:r>
        <w:t xml:space="preserve">Figure 7:</w:t>
      </w:r>
      <w:r>
        <w:t xml:space="preserve"> </w:t>
      </w:r>
      <w:r>
        <w:t xml:space="preserve"> </w:t>
      </w:r>
      <w:r>
        <w:t xml:space="preserve">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w:t>
      </w:r>
    </w:p>
    <w:bookmarkEnd w:id="72"/>
    <w:bookmarkStart w:id="78"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4" name="Picture"/>
            <a:graphic>
              <a:graphicData uri="http://schemas.openxmlformats.org/drawingml/2006/picture">
                <pic:pic>
                  <pic:nvPicPr>
                    <pic:cNvPr descr="Graphics%20and%20Supplements/hbf%20et%20infra%20plot3d_2025.11.04.jpg" id="75" name="Picture"/>
                    <pic:cNvPicPr>
                      <a:picLocks noChangeArrowheads="1" noChangeAspect="1"/>
                    </pic:cNvPicPr>
                  </pic:nvPicPr>
                  <pic:blipFill>
                    <a:blip r:embed="rId73"/>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6" w:name="fig:farmerFishInfraFigure3D"/>
      <w:bookmarkEnd w:id="76"/>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7" w:name="tab:gspMgmtList"/>
      <w:bookmarkEnd w:id="77"/>
      <w:r>
        <w:t xml:space="preserve">Table 6:</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8927.44-9107.38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8936.9-8997.56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8834.44-9002.95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8958.62-9097.57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8"/>
    <w:bookmarkEnd w:id="79"/>
    <w:bookmarkEnd w:id="80"/>
    <w:bookmarkStart w:id="86" w:name="discussion"/>
    <w:p>
      <w:pPr>
        <w:pStyle w:val="Heading1"/>
      </w:pPr>
      <w:r>
        <w:rPr>
          <w:rStyle w:val="SectionNumber"/>
        </w:rPr>
        <w:t xml:space="preserve">4</w:t>
      </w:r>
      <w:r>
        <w:tab/>
      </w:r>
      <w:r>
        <w:t xml:space="preserve">Discussion</w:t>
      </w:r>
    </w:p>
    <w:p>
      <w:pPr>
        <w:pStyle w:val="FirstParagraph"/>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1" w:name="Xa151cb59b4ad5c02348e31b83bab4d8169de230"/>
    <w:p>
      <w:pPr>
        <w:pStyle w:val="Heading2"/>
      </w:pPr>
      <w:r>
        <w:rPr>
          <w:rStyle w:val="SectionNumber"/>
        </w:rPr>
        <w:t xml:space="preserve">4.1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1"/>
    <w:bookmarkStart w:id="82" w:name="Xeb4407dfc59ea709d91a13199c8e469abf09cea"/>
    <w:p>
      <w:pPr>
        <w:pStyle w:val="Heading2"/>
      </w:pPr>
      <w:r>
        <w:rPr>
          <w:rStyle w:val="SectionNumber"/>
        </w:rPr>
        <w:t xml:space="preserve">4.2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2"/>
    <w:bookmarkStart w:id="83" w:name="environmental-agricultural-trade-offs"/>
    <w:p>
      <w:pPr>
        <w:pStyle w:val="Heading2"/>
      </w:pPr>
      <w:r>
        <w:rPr>
          <w:rStyle w:val="SectionNumber"/>
        </w:rPr>
        <w:t xml:space="preserve">4.3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3"/>
    <w:bookmarkStart w:id="84" w:name="Xb48c0b1c357814727cacf50afe35e98b0bf92dd"/>
    <w:p>
      <w:pPr>
        <w:pStyle w:val="Heading2"/>
      </w:pPr>
      <w:r>
        <w:rPr>
          <w:rStyle w:val="SectionNumber"/>
        </w:rPr>
        <w:t xml:space="preserve">4.4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4"/>
    <w:bookmarkStart w:id="85" w:name="policy-implications"/>
    <w:p>
      <w:pPr>
        <w:pStyle w:val="Heading2"/>
      </w:pPr>
      <w:r>
        <w:rPr>
          <w:rStyle w:val="SectionNumber"/>
        </w:rPr>
        <w:t xml:space="preserve">4.5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4"/>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4"/>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4"/>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4"/>
        </w:numPr>
      </w:pPr>
      <w:r>
        <w:t xml:space="preserve">In recent years, drought conditions have prompted state regulatory agencies to consider and then impose significant irrigation curtailments</w:t>
      </w:r>
      <w:r>
        <w:t xml:space="preserve"> </w:t>
      </w:r>
      <w:r>
        <w:t xml:space="preserve">(CDFW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5"/>
    <w:bookmarkEnd w:id="86"/>
    <w:bookmarkStart w:id="87" w:name="conclusion"/>
    <w:p>
      <w:pPr>
        <w:pStyle w:val="Heading1"/>
      </w:pPr>
      <w:r>
        <w:rPr>
          <w:rStyle w:val="SectionNumber"/>
        </w:rPr>
        <w:t xml:space="preserve">5</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7"/>
    <w:bookmarkStart w:id="163" w:name="references"/>
    <w:p>
      <w:pPr>
        <w:pStyle w:val="Heading1"/>
      </w:pPr>
      <w:r>
        <w:t xml:space="preserve">References</w:t>
      </w:r>
    </w:p>
    <w:bookmarkStart w:id="162" w:name="refs"/>
    <w:bookmarkStart w:id="89" w:name="ref-Brown2015"/>
    <w:p>
      <w:pPr>
        <w:pStyle w:val="Bibliography"/>
      </w:pPr>
      <w:r>
        <w:t xml:space="preserve">Brown, Casey M, Jay R Lund, Ximing Cai, Patrick M Reed, Edith A Zagona, Avi Ostfeld, Jim Hall, Gregory W Characklis, Winston Yu, and Levi Brekke. 2015.</w:t>
      </w:r>
      <w:r>
        <w:t xml:space="preserve"> </w:t>
      </w:r>
      <w:r>
        <w:t xml:space="preserve">“</w:t>
      </w:r>
      <w:r>
        <w:t xml:space="preserve">The future of water resources systems analysis: Toward a scientific framework for sustainable water management</w:t>
      </w:r>
      <w:r>
        <w:t xml:space="preserve">.”</w:t>
      </w:r>
      <w:r>
        <w:t xml:space="preserve"> </w:t>
      </w:r>
      <w:r>
        <w:rPr>
          <w:i/>
          <w:iCs/>
        </w:rPr>
        <w:t xml:space="preserve">Water Resources Research</w:t>
      </w:r>
      <w:r>
        <w:t xml:space="preserve"> </w:t>
      </w:r>
      <w:r>
        <w:t xml:space="preserve">51: 6110–24.</w:t>
      </w:r>
      <w:r>
        <w:t xml:space="preserve"> </w:t>
      </w:r>
      <w:hyperlink r:id="rId88">
        <w:r>
          <w:rPr>
            <w:rStyle w:val="Hyperlink"/>
          </w:rPr>
          <w:t xml:space="preserve">https://doi.org/10.1002/2015WR017114.Received</w:t>
        </w:r>
      </w:hyperlink>
      <w:r>
        <w:t xml:space="preserve">.</w:t>
      </w:r>
    </w:p>
    <w:bookmarkEnd w:id="89"/>
    <w:bookmarkStart w:id="91"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
          <w:iCs/>
        </w:rPr>
        <w:t xml:space="preserve">North American Journal of Fisheries Management</w:t>
      </w:r>
      <w:r>
        <w:t xml:space="preserve"> </w:t>
      </w:r>
      <w:r>
        <w:t xml:space="preserve">14 (2): 237–61.</w:t>
      </w:r>
      <w:r>
        <w:t xml:space="preserve"> </w:t>
      </w:r>
      <w:hyperlink r:id="rId90">
        <w:r>
          <w:rPr>
            <w:rStyle w:val="Hyperlink"/>
          </w:rPr>
          <w:t xml:space="preserve">https://doi.org/10.1577/1548-8675(1994)014&lt;0237:hdacso&gt;2.3.co;2</w:t>
        </w:r>
      </w:hyperlink>
      <w:r>
        <w:t xml:space="preserve">.</w:t>
      </w:r>
    </w:p>
    <w:bookmarkEnd w:id="91"/>
    <w:bookmarkStart w:id="93" w:name="ref-CDFW2015a"/>
    <w:p>
      <w:pPr>
        <w:pStyle w:val="Bibliography"/>
      </w:pPr>
      <w:r>
        <w:t xml:space="preserve">California Department of Fish and Wildlife (CDFW). 2015.</w:t>
      </w:r>
      <w:r>
        <w:t xml:space="preserve"> </w:t>
      </w:r>
      <w:r>
        <w:t xml:space="preserve">“</w:t>
      </w:r>
      <w:r>
        <w:t xml:space="preserve">Cooperative Report of the Scott River Coho Salmon Rescue and Relocation Effort: 2014 Drought Emergency</w:t>
      </w:r>
      <w:r>
        <w:t xml:space="preserve">.”</w:t>
      </w:r>
      <w:r>
        <w:t xml:space="preserve"> </w:t>
      </w:r>
      <w:r>
        <w:t xml:space="preserve">August. California Department of Fish; Wildlife (CDFW).</w:t>
      </w:r>
      <w:r>
        <w:t xml:space="preserve"> </w:t>
      </w:r>
      <w:hyperlink r:id="rId92">
        <w:r>
          <w:rPr>
            <w:rStyle w:val="Hyperlink"/>
          </w:rPr>
          <w:t xml:space="preserve">https://www.fs.usda.gov/Internet/FSE{\_}DOCUMENTS/stelprd3850544.pdf</w:t>
        </w:r>
      </w:hyperlink>
      <w:r>
        <w:t xml:space="preserve">.</w:t>
      </w:r>
    </w:p>
    <w:bookmarkEnd w:id="93"/>
    <w:bookmarkStart w:id="95" w:name="ref-CDFW2017"/>
    <w:p>
      <w:pPr>
        <w:pStyle w:val="Bibliography"/>
      </w:pPr>
      <w:r>
        <w:t xml:space="preserve">———. 2017.</w:t>
      </w:r>
      <w:r>
        <w:t xml:space="preserve"> </w:t>
      </w:r>
      <w:r>
        <w:t xml:space="preserve">“</w:t>
      </w:r>
      <w:r>
        <w:t xml:space="preserve">Interim Instream Flow Criteria for the Protection of Fishery</w:t>
      </w:r>
      <w:r>
        <w:t xml:space="preserve">.”</w:t>
      </w:r>
      <w:r>
        <w:t xml:space="preserve"> </w:t>
      </w:r>
      <w:hyperlink r:id="rId94">
        <w:r>
          <w:rPr>
            <w:rStyle w:val="Hyperlink"/>
          </w:rPr>
          <w:t xml:space="preserve">file:///Users/kelseymcneill/Downloads/Scott River{\_}FINAL 02-10-17.pdf</w:t>
        </w:r>
      </w:hyperlink>
      <w:r>
        <w:t xml:space="preserve">.</w:t>
      </w:r>
    </w:p>
    <w:bookmarkEnd w:id="95"/>
    <w:bookmarkStart w:id="97"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96">
        <w:r>
          <w:rPr>
            <w:rStyle w:val="Hyperlink"/>
          </w:rPr>
          <w:t xml:space="preserve">https://data.cnra.ca.gov/dataset/crop-mapping-2016</w:t>
        </w:r>
      </w:hyperlink>
      <w:r>
        <w:t xml:space="preserve">.</w:t>
      </w:r>
    </w:p>
    <w:bookmarkEnd w:id="97"/>
    <w:bookmarkStart w:id="98"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98"/>
    <w:bookmarkStart w:id="100"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101">
        <w:r>
          <w:rPr>
            <w:rStyle w:val="Hyperlink"/>
          </w:rPr>
          <w:t xml:space="preserve">https://www.waterboards.ca.gov/drought/scott{\_}shasta{\_}rivers/docs/swb{\_}2021{\_}shasta{\_}scott{\_}drought{\_}emergency{\_}final.pdf</w:t>
        </w:r>
      </w:hyperlink>
      <w:r>
        <w:t xml:space="preserve">.</w:t>
      </w:r>
    </w:p>
    <w:bookmarkEnd w:id="102"/>
    <w:bookmarkStart w:id="104"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
          <w:iCs/>
        </w:rPr>
        <w:t xml:space="preserve">Water Resources Research</w:t>
      </w:r>
      <w:r>
        <w:t xml:space="preserve"> </w:t>
      </w:r>
      <w:r>
        <w:t xml:space="preserve">9 (4): 826–36.</w:t>
      </w:r>
      <w:r>
        <w:t xml:space="preserve"> </w:t>
      </w:r>
      <w:hyperlink r:id="rId103">
        <w:r>
          <w:rPr>
            <w:rStyle w:val="Hyperlink"/>
          </w:rPr>
          <w:t xml:space="preserve">https://doi.org/10.1029/WR009i004p00826</w:t>
        </w:r>
      </w:hyperlink>
      <w:r>
        <w:t xml:space="preserve">.</w:t>
      </w:r>
    </w:p>
    <w:bookmarkEnd w:id="104"/>
    <w:bookmarkStart w:id="106"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
          <w:iCs/>
        </w:rPr>
        <w:t xml:space="preserve">Water Resources Research</w:t>
      </w:r>
      <w:r>
        <w:t xml:space="preserve"> </w:t>
      </w:r>
      <w:r>
        <w:t xml:space="preserve">11 (2): 208–20.</w:t>
      </w:r>
      <w:r>
        <w:t xml:space="preserve"> </w:t>
      </w:r>
      <w:hyperlink r:id="rId105">
        <w:r>
          <w:rPr>
            <w:rStyle w:val="Hyperlink"/>
          </w:rPr>
          <w:t xml:space="preserve">https://doi.org/10.1029/WR011i002p00208</w:t>
        </w:r>
      </w:hyperlink>
      <w:r>
        <w:t xml:space="preserve">.</w:t>
      </w:r>
    </w:p>
    <w:bookmarkEnd w:id="106"/>
    <w:bookmarkStart w:id="107" w:name="ref-Cole2021"/>
    <w:p>
      <w:pPr>
        <w:pStyle w:val="Bibliography"/>
      </w:pPr>
      <w:r>
        <w:t xml:space="preserve">Cole, Spencer A., and Josué Medellín-Azuara. 2021.</w:t>
      </w:r>
      <w:r>
        <w:t xml:space="preserve"> </w:t>
      </w:r>
      <w:r>
        <w:t xml:space="preserve">“</w:t>
      </w:r>
      <w:r>
        <w:t xml:space="preserve">Siskiyou County Agricultural Economics Analysis Considering Groundwater Regulation</w:t>
      </w:r>
      <w:r>
        <w:t xml:space="preserve">.”</w:t>
      </w:r>
      <w:r>
        <w:t xml:space="preserve"> </w:t>
      </w:r>
      <w:r>
        <w:t xml:space="preserve">Merced, CA: University of California, Merced.</w:t>
      </w:r>
    </w:p>
    <w:bookmarkEnd w:id="107"/>
    <w:bookmarkStart w:id="109" w:name="ref-DiBaldassarre2019"/>
    <w:p>
      <w:pPr>
        <w:pStyle w:val="Bibliography"/>
      </w:pPr>
      <w:r>
        <w:t xml:space="preserve">Di Baldassarre, Giuliano, Murugesu Sivapalan, Maria Rusca, Christophe Cudennec, Margaret Garcia, Heidi Kreibich, Megan Konar, et al. 2019.</w:t>
      </w:r>
      <w:r>
        <w:t xml:space="preserve"> </w:t>
      </w:r>
      <w:r>
        <w:t xml:space="preserve">“</w:t>
      </w:r>
      <w:r>
        <w:t xml:space="preserve">Sociohydrology: Scientific Challenges in Addressing the Sustainable Development Goals</w:t>
      </w:r>
      <w:r>
        <w:t xml:space="preserve">.”</w:t>
      </w:r>
      <w:r>
        <w:t xml:space="preserve"> </w:t>
      </w:r>
      <w:r>
        <w:rPr>
          <w:i/>
          <w:iCs/>
        </w:rPr>
        <w:t xml:space="preserve">Water Resources Research</w:t>
      </w:r>
      <w:r>
        <w:t xml:space="preserve"> </w:t>
      </w:r>
      <w:r>
        <w:t xml:space="preserve">55 (8): 6327–55.</w:t>
      </w:r>
      <w:r>
        <w:t xml:space="preserve"> </w:t>
      </w:r>
      <w:hyperlink r:id="rId108">
        <w:r>
          <w:rPr>
            <w:rStyle w:val="Hyperlink"/>
          </w:rPr>
          <w:t xml:space="preserve">https://doi.org/10.1029/2018WR023901</w:t>
        </w:r>
      </w:hyperlink>
      <w:r>
        <w:t xml:space="preserve">.</w:t>
      </w:r>
    </w:p>
    <w:bookmarkEnd w:id="109"/>
    <w:bookmarkStart w:id="111" w:name="ref-DWR2019"/>
    <w:p>
      <w:pPr>
        <w:pStyle w:val="Bibliography"/>
      </w:pPr>
      <w:r>
        <w:t xml:space="preserve">DWR. 2019.</w:t>
      </w:r>
      <w:r>
        <w:t xml:space="preserve"> </w:t>
      </w:r>
      <w:r>
        <w:t xml:space="preserve">“</w:t>
      </w:r>
      <w:r>
        <w:t xml:space="preserve">Sustainable Groundwater Management Act 2019 Basin Prioritization</w:t>
      </w:r>
      <w:r>
        <w:t xml:space="preserve">.”</w:t>
      </w:r>
      <w:r>
        <w:t xml:space="preserve"> </w:t>
      </w:r>
      <w:r>
        <w:t xml:space="preserve">April.</w:t>
      </w:r>
      <w:r>
        <w:t xml:space="preserve"> </w:t>
      </w:r>
      <w:hyperlink r:id="rId110">
        <w:r>
          <w:rPr>
            <w:rStyle w:val="Hyperlink"/>
          </w:rPr>
          <w:t xml:space="preserve">https://data.cnra.ca.gov/dataset/13ebd2d3-4e62-4fee-9342-d7c3ef3e0079/resource/ffafd27b-5e7e-4db3-b846-e7b3cb5c614c/download/sgma{\_}bp{\_}process{\_}document.pdf</w:t>
        </w:r>
      </w:hyperlink>
      <w:r>
        <w:t xml:space="preserve">.</w:t>
      </w:r>
    </w:p>
    <w:bookmarkEnd w:id="111"/>
    <w:bookmarkStart w:id="113"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112">
        <w:r>
          <w:rPr>
            <w:rStyle w:val="Hyperlink"/>
          </w:rPr>
          <w:t xml:space="preserve">http://groundwater.ucdavis.edu/files/165395.pdf</w:t>
        </w:r>
      </w:hyperlink>
      <w:r>
        <w:t xml:space="preserve">.</w:t>
      </w:r>
    </w:p>
    <w:bookmarkEnd w:id="113"/>
    <w:bookmarkStart w:id="115"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114">
        <w:r>
          <w:rPr>
            <w:rStyle w:val="Hyperlink"/>
          </w:rPr>
          <w:t xml:space="preserve">https://fcgma.org/groundwater-sustainability-plan</w:t>
        </w:r>
      </w:hyperlink>
      <w:r>
        <w:t xml:space="preserve">.</w:t>
      </w:r>
    </w:p>
    <w:bookmarkEnd w:id="115"/>
    <w:bookmarkStart w:id="117" w:name="ref-Gorelick1983"/>
    <w:p>
      <w:pPr>
        <w:pStyle w:val="Bibliography"/>
      </w:pPr>
      <w:r>
        <w:t xml:space="preserve">Gorelick, Steven M. 1983.</w:t>
      </w:r>
      <w:r>
        <w:t xml:space="preserve"> </w:t>
      </w:r>
      <w:r>
        <w:t xml:space="preserve">“</w:t>
      </w:r>
      <w:r>
        <w:t xml:space="preserve">A review of distributed parameter groundwater management modeling methods</w:t>
      </w:r>
      <w:r>
        <w:t xml:space="preserve">.”</w:t>
      </w:r>
      <w:r>
        <w:t xml:space="preserve"> </w:t>
      </w:r>
      <w:r>
        <w:rPr>
          <w:i/>
          <w:iCs/>
        </w:rPr>
        <w:t xml:space="preserve">Water Resources Research</w:t>
      </w:r>
      <w:r>
        <w:t xml:space="preserve"> </w:t>
      </w:r>
      <w:r>
        <w:t xml:space="preserve">19 (2): 305–19.</w:t>
      </w:r>
      <w:r>
        <w:t xml:space="preserve"> </w:t>
      </w:r>
      <w:hyperlink r:id="rId116">
        <w:r>
          <w:rPr>
            <w:rStyle w:val="Hyperlink"/>
          </w:rPr>
          <w:t xml:space="preserve">https://doi.org/10.1029/WR019i002p00305</w:t>
        </w:r>
      </w:hyperlink>
      <w:r>
        <w:t xml:space="preserve">.</w:t>
      </w:r>
    </w:p>
    <w:bookmarkEnd w:id="117"/>
    <w:bookmarkStart w:id="119" w:name="ref-Graham2012"/>
    <w:p>
      <w:pPr>
        <w:pStyle w:val="Bibliography"/>
      </w:pPr>
      <w:r>
        <w:t xml:space="preserve">Graham, Rhea. 2012.</w:t>
      </w:r>
      <w:r>
        <w:t xml:space="preserve"> </w:t>
      </w:r>
      <w:r>
        <w:t xml:space="preserve">“</w:t>
      </w:r>
      <w:r>
        <w:t xml:space="preserve">Klamath River Basin Restoration Nonuse Value Survey Klamath River Basin Restoration Nonuse Value Survey Final Report Prepared by</w:t>
      </w:r>
      <w:r>
        <w:t xml:space="preserve">.”</w:t>
      </w:r>
      <w:r>
        <w:t xml:space="preserve"> </w:t>
      </w:r>
      <w:hyperlink r:id="rId118">
        <w:r>
          <w:rPr>
            <w:rStyle w:val="Hyperlink"/>
          </w:rPr>
          <w:t xml:space="preserve">https://kbifrm.psmfc.org/wp-content/uploads/2016/12/Graham{\_}2012{\_}0010{\_}Klamath-River-Basin-Restoration-Nonuse-Value-Survey-Final-Report.pdf</w:t>
        </w:r>
      </w:hyperlink>
      <w:r>
        <w:t xml:space="preserve">.</w:t>
      </w:r>
    </w:p>
    <w:bookmarkEnd w:id="119"/>
    <w:bookmarkStart w:id="121"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120">
        <w:r>
          <w:rPr>
            <w:rStyle w:val="Hyperlink"/>
          </w:rPr>
          <w:t xml:space="preserve">http://groundwater.ucdavis.edu/files/136426.pdf</w:t>
        </w:r>
      </w:hyperlink>
      <w:r>
        <w:t xml:space="preserve">.</w:t>
      </w:r>
    </w:p>
    <w:bookmarkEnd w:id="121"/>
    <w:bookmarkStart w:id="123" w:name="ref-Howitt1995"/>
    <w:p>
      <w:pPr>
        <w:pStyle w:val="Bibliography"/>
      </w:pPr>
      <w:r>
        <w:t xml:space="preserve">Howitt, Richard E. 1995.</w:t>
      </w:r>
      <w:r>
        <w:t xml:space="preserve"> </w:t>
      </w:r>
      <w:r>
        <w:t xml:space="preserve">“</w:t>
      </w:r>
      <w:r>
        <w:t xml:space="preserve">Positive Mathematical Programming</w:t>
      </w:r>
      <w:r>
        <w:t xml:space="preserve">.”</w:t>
      </w:r>
      <w:r>
        <w:t xml:space="preserve"> </w:t>
      </w:r>
      <w:r>
        <w:rPr>
          <w:i/>
          <w:iCs/>
        </w:rPr>
        <w:t xml:space="preserve">American Journal of Agricultural Economics</w:t>
      </w:r>
      <w:r>
        <w:t xml:space="preserve"> </w:t>
      </w:r>
      <w:r>
        <w:t xml:space="preserve">77 (2): 329–42.</w:t>
      </w:r>
      <w:r>
        <w:t xml:space="preserve"> </w:t>
      </w:r>
      <w:hyperlink r:id="rId122">
        <w:r>
          <w:rPr>
            <w:rStyle w:val="Hyperlink"/>
          </w:rPr>
          <w:t xml:space="preserve">https://doi.org/10.2307/1243543</w:t>
        </w:r>
      </w:hyperlink>
      <w:r>
        <w:t xml:space="preserve">.</w:t>
      </w:r>
    </w:p>
    <w:bookmarkEnd w:id="123"/>
    <w:bookmarkStart w:id="125"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
          <w:iCs/>
        </w:rPr>
        <w:t xml:space="preserve">Water Resources Research</w:t>
      </w:r>
      <w:r>
        <w:t xml:space="preserve"> </w:t>
      </w:r>
      <w:r>
        <w:t xml:space="preserve">41 (11): 1–15.</w:t>
      </w:r>
      <w:r>
        <w:t xml:space="preserve"> </w:t>
      </w:r>
      <w:hyperlink r:id="rId124">
        <w:r>
          <w:rPr>
            <w:rStyle w:val="Hyperlink"/>
          </w:rPr>
          <w:t xml:space="preserve">https://doi.org/10.1029/2004WR003787</w:t>
        </w:r>
      </w:hyperlink>
      <w:r>
        <w:t xml:space="preserve">.</w:t>
      </w:r>
    </w:p>
    <w:bookmarkEnd w:id="125"/>
    <w:bookmarkStart w:id="127" w:name="ref-Maass1962"/>
    <w:p>
      <w:pPr>
        <w:pStyle w:val="Bibliography"/>
      </w:pPr>
      <w:r>
        <w:t xml:space="preserve">Maass, Arthur, Maynard M. Hufschmidt, Robert Dorfman, Harold A. Thomas, Stephen A. Marglin, and Gordon Maskew Fair. 1962.</w:t>
      </w:r>
      <w:r>
        <w:t xml:space="preserve"> </w:t>
      </w:r>
      <w:r>
        <w:rPr>
          <w:i/>
          <w:iCs/>
        </w:rPr>
        <w:t xml:space="preserve">Design of Water-Resource Systems: New Techniques for Relating Economic Objectives, Engineering Analysis, and Governmental Planning</w:t>
      </w:r>
      <w:r>
        <w:t xml:space="preserve">. Cambridge, Mass.: Harvard University Press.</w:t>
      </w:r>
      <w:r>
        <w:t xml:space="preserve"> </w:t>
      </w:r>
      <w:hyperlink r:id="rId126">
        <w:r>
          <w:rPr>
            <w:rStyle w:val="Hyperlink"/>
          </w:rPr>
          <w:t xml:space="preserve">https://doi.org/10.4159/harvard.9780674421042</w:t>
        </w:r>
      </w:hyperlink>
      <w:r>
        <w:t xml:space="preserve">.</w:t>
      </w:r>
    </w:p>
    <w:bookmarkEnd w:id="127"/>
    <w:bookmarkStart w:id="129"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28">
        <w:r>
          <w:rPr>
            <w:rStyle w:val="Hyperlink"/>
          </w:rPr>
          <w:t xml:space="preserve">https://pubs.usgs.gov/wsp/1462/report.pdf</w:t>
        </w:r>
      </w:hyperlink>
      <w:r>
        <w:t xml:space="preserve">.</w:t>
      </w:r>
    </w:p>
    <w:bookmarkEnd w:id="129"/>
    <w:bookmarkStart w:id="131"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
          <w:iCs/>
        </w:rPr>
        <w:t xml:space="preserve">Wetlands</w:t>
      </w:r>
      <w:r>
        <w:t xml:space="preserve"> </w:t>
      </w:r>
      <w:r>
        <w:t xml:space="preserve">18 (4): 634–45.</w:t>
      </w:r>
      <w:r>
        <w:t xml:space="preserve"> </w:t>
      </w:r>
      <w:hyperlink r:id="rId130">
        <w:r>
          <w:rPr>
            <w:rStyle w:val="Hyperlink"/>
          </w:rPr>
          <w:t xml:space="preserve">https://doi.org/10.1007/BF03161678</w:t>
        </w:r>
      </w:hyperlink>
      <w:r>
        <w:t xml:space="preserve">.</w:t>
      </w:r>
    </w:p>
    <w:bookmarkEnd w:id="131"/>
    <w:bookmarkStart w:id="133"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
          <w:iCs/>
        </w:rPr>
        <w:t xml:space="preserve">Water Resources Research</w:t>
      </w:r>
      <w:r>
        <w:t xml:space="preserve"> </w:t>
      </w:r>
      <w:r>
        <w:t xml:space="preserve">9 (4): 837–50.</w:t>
      </w:r>
      <w:r>
        <w:t xml:space="preserve"> </w:t>
      </w:r>
      <w:hyperlink r:id="rId132">
        <w:r>
          <w:rPr>
            <w:rStyle w:val="Hyperlink"/>
          </w:rPr>
          <w:t xml:space="preserve">https://doi.org/10.1029/WR009i004p00837</w:t>
        </w:r>
      </w:hyperlink>
      <w:r>
        <w:t xml:space="preserve">.</w:t>
      </w:r>
    </w:p>
    <w:bookmarkEnd w:id="133"/>
    <w:bookmarkStart w:id="134" w:name="ref-NCRWQCB2006b"/>
    <w:p>
      <w:pPr>
        <w:pStyle w:val="Bibliography"/>
      </w:pPr>
      <w:r>
        <w:t xml:space="preserve">North Coast Regional Water Quality Control Board (NCRWQCB). 2006.</w:t>
      </w:r>
      <w:r>
        <w:t xml:space="preserve"> </w:t>
      </w:r>
      <w:r>
        <w:t xml:space="preserve">“</w:t>
      </w:r>
      <w:r>
        <w:t xml:space="preserve">Action Plan for the Scott River Sediment and Temperature Total Maximum Daily Loads (Basin Plan Language)</w:t>
      </w:r>
      <w:r>
        <w:t xml:space="preserve">.”</w:t>
      </w:r>
    </w:p>
    <w:bookmarkEnd w:id="134"/>
    <w:bookmarkStart w:id="136" w:name="ref-Ohlberger2018"/>
    <w:p>
      <w:pPr>
        <w:pStyle w:val="Bibliography"/>
      </w:pPr>
      <w:r>
        <w:t xml:space="preserve">Ohlberger, Jan, Thomas W. Buehrens, Samuel J. Brenkman, Patrick Crain, Thomas P. Quinn, and Ray Hilborn. 2018.</w:t>
      </w:r>
      <w:r>
        <w:t xml:space="preserve"> </w:t>
      </w:r>
      <w:r>
        <w:t xml:space="preserve">“</w:t>
      </w:r>
      <w:r>
        <w:t xml:space="preserve">Effects of past and projected river discharge variability on freshwater production in an anadromous fish</w:t>
      </w:r>
      <w:r>
        <w:t xml:space="preserve">.”</w:t>
      </w:r>
      <w:r>
        <w:t xml:space="preserve"> </w:t>
      </w:r>
      <w:r>
        <w:rPr>
          <w:i/>
          <w:iCs/>
        </w:rPr>
        <w:t xml:space="preserve">Freshwater Biology</w:t>
      </w:r>
      <w:r>
        <w:t xml:space="preserve"> </w:t>
      </w:r>
      <w:r>
        <w:t xml:space="preserve">63 (4): 331–40.</w:t>
      </w:r>
      <w:r>
        <w:t xml:space="preserve"> </w:t>
      </w:r>
      <w:hyperlink r:id="rId135">
        <w:r>
          <w:rPr>
            <w:rStyle w:val="Hyperlink"/>
          </w:rPr>
          <w:t xml:space="preserve">https://doi.org/10.1111/fwb.13070</w:t>
        </w:r>
      </w:hyperlink>
      <w:r>
        <w:t xml:space="preserve">.</w:t>
      </w:r>
    </w:p>
    <w:bookmarkEnd w:id="136"/>
    <w:bookmarkStart w:id="137" w:name="ref-Pareto1896"/>
    <w:p>
      <w:pPr>
        <w:pStyle w:val="Bibliography"/>
      </w:pPr>
      <w:r>
        <w:t xml:space="preserve">Pareto, Vilfredo. 1896.</w:t>
      </w:r>
      <w:r>
        <w:t xml:space="preserve"> </w:t>
      </w:r>
      <w:r>
        <w:rPr>
          <w:i/>
          <w:iCs/>
        </w:rPr>
        <w:t xml:space="preserve">Cours D’Economie Politique</w:t>
      </w:r>
      <w:r>
        <w:t xml:space="preserve">. Lausanne.</w:t>
      </w:r>
    </w:p>
    <w:bookmarkEnd w:id="137"/>
    <w:bookmarkStart w:id="138" w:name="ref-Reuss1992"/>
    <w:p>
      <w:pPr>
        <w:pStyle w:val="Bibliography"/>
      </w:pPr>
      <w:r>
        <w:t xml:space="preserve">Reuss, M. 1992.</w:t>
      </w:r>
      <w:r>
        <w:t xml:space="preserve"> </w:t>
      </w:r>
      <w:r>
        <w:t xml:space="preserve">“</w:t>
      </w:r>
      <w:r>
        <w:t xml:space="preserve">Coping with uncertainty: social scientists, engineers, and federal water resources planning</w:t>
      </w:r>
      <w:r>
        <w:t xml:space="preserve">.”</w:t>
      </w:r>
      <w:r>
        <w:t xml:space="preserve"> </w:t>
      </w:r>
      <w:r>
        <w:rPr>
          <w:i/>
          <w:iCs/>
        </w:rPr>
        <w:t xml:space="preserve">Natural Resources Journal</w:t>
      </w:r>
      <w:r>
        <w:t xml:space="preserve"> </w:t>
      </w:r>
      <w:r>
        <w:t xml:space="preserve">32 (1): 101–35.</w:t>
      </w:r>
    </w:p>
    <w:bookmarkEnd w:id="138"/>
    <w:bookmarkStart w:id="140" w:name="ref-Rodell2018"/>
    <w:p>
      <w:pPr>
        <w:pStyle w:val="Bibliography"/>
      </w:pPr>
      <w:r>
        <w:t xml:space="preserve">Rodell, M., J. S. Famiglietti, D. N. Wiese, J. T. Reager, H. K. Beaudoing, F. W. Landerer, and M. H. Lo. 2018.</w:t>
      </w:r>
      <w:r>
        <w:t xml:space="preserve"> </w:t>
      </w:r>
      <w:r>
        <w:t xml:space="preserve">“</w:t>
      </w:r>
      <w:r>
        <w:t xml:space="preserve">Emerging trends in global freshwater availability</w:t>
      </w:r>
      <w:r>
        <w:t xml:space="preserve">.”</w:t>
      </w:r>
      <w:r>
        <w:t xml:space="preserve"> </w:t>
      </w:r>
      <w:r>
        <w:rPr>
          <w:i/>
          <w:iCs/>
        </w:rPr>
        <w:t xml:space="preserve">Nature</w:t>
      </w:r>
      <w:r>
        <w:t xml:space="preserve"> </w:t>
      </w:r>
      <w:r>
        <w:t xml:space="preserve">557 (7707): 651–59.</w:t>
      </w:r>
      <w:r>
        <w:t xml:space="preserve"> </w:t>
      </w:r>
      <w:hyperlink r:id="rId139">
        <w:r>
          <w:rPr>
            <w:rStyle w:val="Hyperlink"/>
          </w:rPr>
          <w:t xml:space="preserve">https://doi.org/10.1038/s41586-018-0123-1</w:t>
        </w:r>
      </w:hyperlink>
      <w:r>
        <w:t xml:space="preserve">.</w:t>
      </w:r>
    </w:p>
    <w:bookmarkEnd w:id="140"/>
    <w:bookmarkStart w:id="142" w:name="ref-Rogers1986a"/>
    <w:p>
      <w:pPr>
        <w:pStyle w:val="Bibliography"/>
      </w:pPr>
      <w:r>
        <w:t xml:space="preserve">Rogers, Peter P., and Myron B. Fiering. 1986.</w:t>
      </w:r>
      <w:r>
        <w:t xml:space="preserve"> </w:t>
      </w:r>
      <w:r>
        <w:t xml:space="preserve">“</w:t>
      </w:r>
      <w:r>
        <w:t xml:space="preserve">Use of systems analysis in water management</w:t>
      </w:r>
      <w:r>
        <w:t xml:space="preserve">.”</w:t>
      </w:r>
      <w:r>
        <w:t xml:space="preserve"> </w:t>
      </w:r>
      <w:r>
        <w:rPr>
          <w:i/>
          <w:iCs/>
        </w:rPr>
        <w:t xml:space="preserve">Water Resources Research</w:t>
      </w:r>
      <w:r>
        <w:t xml:space="preserve"> </w:t>
      </w:r>
      <w:r>
        <w:t xml:space="preserve">22 (9 S): 146S–158S.</w:t>
      </w:r>
      <w:r>
        <w:t xml:space="preserve"> </w:t>
      </w:r>
      <w:hyperlink r:id="rId141">
        <w:r>
          <w:rPr>
            <w:rStyle w:val="Hyperlink"/>
          </w:rPr>
          <w:t xml:space="preserve">https://doi.org/10.1029/WR022i09Sp0146S</w:t>
        </w:r>
      </w:hyperlink>
      <w:r>
        <w:t xml:space="preserve">.</w:t>
      </w:r>
    </w:p>
    <w:bookmarkEnd w:id="142"/>
    <w:bookmarkStart w:id="143"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43"/>
    <w:bookmarkStart w:id="145"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44">
        <w:r>
          <w:rPr>
            <w:rStyle w:val="Hyperlink"/>
          </w:rPr>
          <w:t xml:space="preserve">https://www.co.siskiyou.ca.us/naturalresources/page/scott-valley-gsp-chapters</w:t>
        </w:r>
      </w:hyperlink>
      <w:r>
        <w:t xml:space="preserve">.</w:t>
      </w:r>
    </w:p>
    <w:bookmarkEnd w:id="145"/>
    <w:bookmarkStart w:id="147" w:name="ref-SVGAC2021_June"/>
    <w:p>
      <w:pPr>
        <w:pStyle w:val="Bibliography"/>
      </w:pPr>
      <w:r>
        <w:t xml:space="preserve">Siskiyou County GSA - Scott Valley Groundwater Advisory Committee. 2021.</w:t>
      </w:r>
      <w:r>
        <w:t xml:space="preserve"> </w:t>
      </w:r>
      <w:r>
        <w:t xml:space="preserve">“</w:t>
      </w:r>
      <w:r>
        <w:t xml:space="preserve">Siskiyou County Groundwater Sustainability Agency: Scott Valley Advisory Committee Meeting</w:t>
      </w:r>
      <w:r>
        <w:t xml:space="preserve">.”</w:t>
      </w:r>
      <w:r>
        <w:t xml:space="preserve"> </w:t>
      </w:r>
      <w:r>
        <w:t xml:space="preserve">Fort Jones, CA: Siskiyou County.</w:t>
      </w:r>
      <w:r>
        <w:t xml:space="preserve"> </w:t>
      </w:r>
      <w:hyperlink r:id="rId146">
        <w:r>
          <w:rPr>
            <w:rStyle w:val="Hyperlink"/>
          </w:rPr>
          <w:t xml:space="preserve">https://www.co.siskiyou.ca.us/scottvga/page/scott-valley-groundwater-advisory-committee-meeting-15</w:t>
        </w:r>
      </w:hyperlink>
      <w:r>
        <w:t xml:space="preserve">.</w:t>
      </w:r>
    </w:p>
    <w:bookmarkEnd w:id="147"/>
    <w:bookmarkStart w:id="149"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48">
        <w:r>
          <w:rPr>
            <w:rStyle w:val="Hyperlink"/>
          </w:rPr>
          <w:t xml:space="preserve">https://doi.org/10.2307/1243866</w:t>
        </w:r>
      </w:hyperlink>
      <w:r>
        <w:t xml:space="preserve">.</w:t>
      </w:r>
    </w:p>
    <w:bookmarkEnd w:id="149"/>
    <w:bookmarkStart w:id="151"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50">
        <w:r>
          <w:rPr>
            <w:rStyle w:val="Hyperlink"/>
          </w:rPr>
          <w:t xml:space="preserve">https://www.waterboards.ca.gov/waterrights/board{\_}decisions/adopted{\_}orders/judgments/docs/scottriver{\_}jd.pdf</w:t>
        </w:r>
      </w:hyperlink>
      <w:r>
        <w:t xml:space="preserve">.</w:t>
      </w:r>
    </w:p>
    <w:bookmarkEnd w:id="151"/>
    <w:bookmarkStart w:id="153"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
          <w:iCs/>
        </w:rPr>
        <w:t xml:space="preserve">Water Resources Research</w:t>
      </w:r>
      <w:r>
        <w:t xml:space="preserve"> </w:t>
      </w:r>
      <w:r>
        <w:t xml:space="preserve">55 (8).</w:t>
      </w:r>
      <w:r>
        <w:t xml:space="preserve"> </w:t>
      </w:r>
      <w:hyperlink r:id="rId152">
        <w:r>
          <w:rPr>
            <w:rStyle w:val="Hyperlink"/>
          </w:rPr>
          <w:t xml:space="preserve">https://doi.org/10.1029/2018WR024209</w:t>
        </w:r>
      </w:hyperlink>
      <w:r>
        <w:t xml:space="preserve">.</w:t>
      </w:r>
    </w:p>
    <w:bookmarkEnd w:id="153"/>
    <w:bookmarkStart w:id="155" w:name="ref-USCensusBureau2018"/>
    <w:p>
      <w:pPr>
        <w:pStyle w:val="Bibliography"/>
      </w:pPr>
      <w:r>
        <w:t xml:space="preserve">U.S. Census Bureau. 2018.</w:t>
      </w:r>
      <w:r>
        <w:t xml:space="preserve"> </w:t>
      </w:r>
      <w:r>
        <w:t xml:space="preserve">“</w:t>
      </w:r>
      <w:r>
        <w:t xml:space="preserve">2013-2017 American Community Survey 5-Year Estimates.</w:t>
      </w:r>
      <w:r>
        <w:t xml:space="preserve">”</w:t>
      </w:r>
      <w:r>
        <w:t xml:space="preserve"> </w:t>
      </w:r>
      <w:hyperlink r:id="rId154">
        <w:r>
          <w:rPr>
            <w:rStyle w:val="Hyperlink"/>
          </w:rPr>
          <w:t xml:space="preserve">http://www.dof.ca.gov/Reports/Demographic{\_}Reports/American{\_}Community{\_}Survey/{\#}ACS2017x5</w:t>
        </w:r>
      </w:hyperlink>
      <w:r>
        <w:t xml:space="preserve">.</w:t>
      </w:r>
    </w:p>
    <w:bookmarkEnd w:id="155"/>
    <w:bookmarkStart w:id="157" w:name="ref-USCensus2021"/>
    <w:p>
      <w:pPr>
        <w:pStyle w:val="Bibliography"/>
      </w:pPr>
      <w:r>
        <w:t xml:space="preserve">———. 2021.</w:t>
      </w:r>
      <w:r>
        <w:t xml:space="preserve"> </w:t>
      </w:r>
      <w:r>
        <w:t xml:space="preserve">“</w:t>
      </w:r>
      <w:r>
        <w:t xml:space="preserve">2020 Decennial Census</w:t>
      </w:r>
      <w:r>
        <w:t xml:space="preserve">.”</w:t>
      </w:r>
      <w:r>
        <w:t xml:space="preserve"> </w:t>
      </w:r>
      <w:hyperlink r:id="rId156">
        <w:r>
          <w:rPr>
            <w:rStyle w:val="Hyperlink"/>
          </w:rPr>
          <w:t xml:space="preserve">https://data.census.gov/cedsci</w:t>
        </w:r>
      </w:hyperlink>
      <w:r>
        <w:t xml:space="preserve">.</w:t>
      </w:r>
    </w:p>
    <w:bookmarkEnd w:id="157"/>
    <w:bookmarkStart w:id="158" w:name="ref-Williams2020"/>
    <w:p>
      <w:pPr>
        <w:pStyle w:val="Bibliography"/>
      </w:pPr>
      <w:r>
        <w:t xml:space="preserve">Williams, AP, ER Cook, JE Smerdon, BI Cook, JT Abatzoglou, Kasey Bolles, SH Baek, AM Badger, and Ben Livne. 2020.</w:t>
      </w:r>
      <w:r>
        <w:t xml:space="preserve"> </w:t>
      </w:r>
      <w:r>
        <w:t xml:space="preserve">“</w:t>
      </w:r>
      <w:r>
        <w:t xml:space="preserve">Large contribution from anthropogenic warming to an emerging North American megadrought</w:t>
      </w:r>
      <w:r>
        <w:t xml:space="preserve">.”</w:t>
      </w:r>
      <w:r>
        <w:t xml:space="preserve"> </w:t>
      </w:r>
      <w:r>
        <w:rPr>
          <w:i/>
          <w:iCs/>
        </w:rPr>
        <w:t xml:space="preserve">Science</w:t>
      </w:r>
      <w:r>
        <w:t xml:space="preserve"> </w:t>
      </w:r>
      <w:r>
        <w:t xml:space="preserve">In press (April): 314–18.</w:t>
      </w:r>
    </w:p>
    <w:bookmarkEnd w:id="158"/>
    <w:bookmarkStart w:id="160"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
          <w:iCs/>
        </w:rPr>
        <w:t xml:space="preserve">Water Resources Research</w:t>
      </w:r>
      <w:r>
        <w:t xml:space="preserve"> </w:t>
      </w:r>
      <w:r>
        <w:t xml:space="preserve">18 (5): 1326–36.</w:t>
      </w:r>
      <w:r>
        <w:t xml:space="preserve"> </w:t>
      </w:r>
      <w:hyperlink r:id="rId159">
        <w:r>
          <w:rPr>
            <w:rStyle w:val="Hyperlink"/>
          </w:rPr>
          <w:t xml:space="preserve">https://doi.org/10.1029/WR018i005p01326</w:t>
        </w:r>
      </w:hyperlink>
      <w:r>
        <w:t xml:space="preserve">.</w:t>
      </w:r>
    </w:p>
    <w:bookmarkEnd w:id="160"/>
    <w:bookmarkStart w:id="161"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jpg" /><Relationship Type="http://schemas.openxmlformats.org/officeDocument/2006/relationships/image" Id="rId68" Target="media/rId68.png" /><Relationship Type="http://schemas.openxmlformats.org/officeDocument/2006/relationships/hyperlink" Id="rId94" Target="file:///Users/kelseymcneill/Downloads/Scott River{\_}FINAL 02-10-17.pdf" TargetMode="External" /><Relationship Type="http://schemas.openxmlformats.org/officeDocument/2006/relationships/hyperlink" Id="rId120" Target="http://groundwater.ucdavis.edu/files/136426.pdf" TargetMode="External" /><Relationship Type="http://schemas.openxmlformats.org/officeDocument/2006/relationships/hyperlink" Id="rId112" Target="http://groundwater.ucdavis.edu/files/165395.pdf" TargetMode="External" /><Relationship Type="http://schemas.openxmlformats.org/officeDocument/2006/relationships/hyperlink" Id="rId154" Target="http://www.dof.ca.gov/Reports/Demographic{\_}Reports/American{\_}Community{\_}Survey/{\#}ACS2017x5" TargetMode="External" /><Relationship Type="http://schemas.openxmlformats.org/officeDocument/2006/relationships/hyperlink" Id="rId156" Target="https://data.census.gov/cedsci" TargetMode="External" /><Relationship Type="http://schemas.openxmlformats.org/officeDocument/2006/relationships/hyperlink" Id="rId110" Target="https://data.cnra.ca.gov/dataset/13ebd2d3-4e62-4fee-9342-d7c3ef3e0079/resource/ffafd27b-5e7e-4db3-b846-e7b3cb5c614c/download/sgma{\_}bp{\_}process{\_}document.pdf" TargetMode="External" /><Relationship Type="http://schemas.openxmlformats.org/officeDocument/2006/relationships/hyperlink" Id="rId96" Target="https://data.cnra.ca.gov/dataset/crop-mapping-2016" TargetMode="External" /><Relationship Type="http://schemas.openxmlformats.org/officeDocument/2006/relationships/hyperlink" Id="rId88" Target="https://doi.org/10.1002/2015WR017114.Received" TargetMode="External" /><Relationship Type="http://schemas.openxmlformats.org/officeDocument/2006/relationships/hyperlink" Id="rId130" Target="https://doi.org/10.1007/BF03161678" TargetMode="External" /><Relationship Type="http://schemas.openxmlformats.org/officeDocument/2006/relationships/hyperlink" Id="rId124" Target="https://doi.org/10.1029/2004WR003787" TargetMode="External" /><Relationship Type="http://schemas.openxmlformats.org/officeDocument/2006/relationships/hyperlink" Id="rId108" Target="https://doi.org/10.1029/2018WR023901" TargetMode="External" /><Relationship Type="http://schemas.openxmlformats.org/officeDocument/2006/relationships/hyperlink" Id="rId152" Target="https://doi.org/10.1029/2018WR024209" TargetMode="External" /><Relationship Type="http://schemas.openxmlformats.org/officeDocument/2006/relationships/hyperlink" Id="rId103" Target="https://doi.org/10.1029/WR009i004p00826" TargetMode="External" /><Relationship Type="http://schemas.openxmlformats.org/officeDocument/2006/relationships/hyperlink" Id="rId132" Target="https://doi.org/10.1029/WR009i004p00837" TargetMode="External" /><Relationship Type="http://schemas.openxmlformats.org/officeDocument/2006/relationships/hyperlink" Id="rId105" Target="https://doi.org/10.1029/WR011i002p00208" TargetMode="External" /><Relationship Type="http://schemas.openxmlformats.org/officeDocument/2006/relationships/hyperlink" Id="rId159" Target="https://doi.org/10.1029/WR018i005p01326" TargetMode="External" /><Relationship Type="http://schemas.openxmlformats.org/officeDocument/2006/relationships/hyperlink" Id="rId116" Target="https://doi.org/10.1029/WR019i002p00305" TargetMode="External" /><Relationship Type="http://schemas.openxmlformats.org/officeDocument/2006/relationships/hyperlink" Id="rId141" Target="https://doi.org/10.1029/WR022i09Sp0146S" TargetMode="External" /><Relationship Type="http://schemas.openxmlformats.org/officeDocument/2006/relationships/hyperlink" Id="rId139" Target="https://doi.org/10.1038/s41586-018-0123-1" TargetMode="External" /><Relationship Type="http://schemas.openxmlformats.org/officeDocument/2006/relationships/hyperlink" Id="rId135" Target="https://doi.org/10.1111/fwb.13070" TargetMode="External" /><Relationship Type="http://schemas.openxmlformats.org/officeDocument/2006/relationships/hyperlink" Id="rId90"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22" Target="https://doi.org/10.2307/1243543" TargetMode="External" /><Relationship Type="http://schemas.openxmlformats.org/officeDocument/2006/relationships/hyperlink" Id="rId148" Target="https://doi.org/10.2307/1243866" TargetMode="External" /><Relationship Type="http://schemas.openxmlformats.org/officeDocument/2006/relationships/hyperlink" Id="rId126" Target="https://doi.org/10.4159/harvard.9780674421042" TargetMode="External" /><Relationship Type="http://schemas.openxmlformats.org/officeDocument/2006/relationships/hyperlink" Id="rId114" Target="https://fcgma.org/groundwater-sustainability-plan" TargetMode="External" /><Relationship Type="http://schemas.openxmlformats.org/officeDocument/2006/relationships/hyperlink" Id="rId118" Target="https://kbifrm.psmfc.org/wp-content/uploads/2016/12/Graham{\_}2012{\_}0010{\_}Klamath-River-Basin-Restoration-Nonuse-Value-Survey-Final-Report.pdf" TargetMode="External" /><Relationship Type="http://schemas.openxmlformats.org/officeDocument/2006/relationships/hyperlink" Id="rId128" Target="https://pubs.usgs.gov/wsp/1462/report.pdf" TargetMode="External" /><Relationship Type="http://schemas.openxmlformats.org/officeDocument/2006/relationships/hyperlink" Id="rId144" Target="https://www.co.siskiyou.ca.us/naturalresources/page/scott-valley-gsp-chapters" TargetMode="External" /><Relationship Type="http://schemas.openxmlformats.org/officeDocument/2006/relationships/hyperlink" Id="rId146" Target="https://www.co.siskiyou.ca.us/scottvga/page/scott-valley-groundwater-advisory-committee-meeting-15" TargetMode="External" /><Relationship Type="http://schemas.openxmlformats.org/officeDocument/2006/relationships/hyperlink" Id="rId92" Target="https://www.fs.usda.gov/Internet/FSE{\_}DOCUMENTS/stelprd3850544.pdf" TargetMode="External" /><Relationship Type="http://schemas.openxmlformats.org/officeDocument/2006/relationships/hyperlink" Id="rId101" Target="https://www.waterboards.ca.gov/drought/scott{\_}shasta{\_}rivers/docs/swb{\_}2021{\_}shasta{\_}scott{\_}drought{\_}emergency{\_}final.pdf" TargetMode="External" /><Relationship Type="http://schemas.openxmlformats.org/officeDocument/2006/relationships/hyperlink" Id="rId150"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94" Target="file:///Users/kelseymcneill/Downloads/Scott River{\_}FINAL 02-10-17.pdf" TargetMode="External" /><Relationship Type="http://schemas.openxmlformats.org/officeDocument/2006/relationships/hyperlink" Id="rId120" Target="http://groundwater.ucdavis.edu/files/136426.pdf" TargetMode="External" /><Relationship Type="http://schemas.openxmlformats.org/officeDocument/2006/relationships/hyperlink" Id="rId112" Target="http://groundwater.ucdavis.edu/files/165395.pdf" TargetMode="External" /><Relationship Type="http://schemas.openxmlformats.org/officeDocument/2006/relationships/hyperlink" Id="rId154" Target="http://www.dof.ca.gov/Reports/Demographic{\_}Reports/American{\_}Community{\_}Survey/{\#}ACS2017x5" TargetMode="External" /><Relationship Type="http://schemas.openxmlformats.org/officeDocument/2006/relationships/hyperlink" Id="rId156" Target="https://data.census.gov/cedsci" TargetMode="External" /><Relationship Type="http://schemas.openxmlformats.org/officeDocument/2006/relationships/hyperlink" Id="rId110" Target="https://data.cnra.ca.gov/dataset/13ebd2d3-4e62-4fee-9342-d7c3ef3e0079/resource/ffafd27b-5e7e-4db3-b846-e7b3cb5c614c/download/sgma{\_}bp{\_}process{\_}document.pdf" TargetMode="External" /><Relationship Type="http://schemas.openxmlformats.org/officeDocument/2006/relationships/hyperlink" Id="rId96" Target="https://data.cnra.ca.gov/dataset/crop-mapping-2016" TargetMode="External" /><Relationship Type="http://schemas.openxmlformats.org/officeDocument/2006/relationships/hyperlink" Id="rId88" Target="https://doi.org/10.1002/2015WR017114.Received" TargetMode="External" /><Relationship Type="http://schemas.openxmlformats.org/officeDocument/2006/relationships/hyperlink" Id="rId130" Target="https://doi.org/10.1007/BF03161678" TargetMode="External" /><Relationship Type="http://schemas.openxmlformats.org/officeDocument/2006/relationships/hyperlink" Id="rId124" Target="https://doi.org/10.1029/2004WR003787" TargetMode="External" /><Relationship Type="http://schemas.openxmlformats.org/officeDocument/2006/relationships/hyperlink" Id="rId108" Target="https://doi.org/10.1029/2018WR023901" TargetMode="External" /><Relationship Type="http://schemas.openxmlformats.org/officeDocument/2006/relationships/hyperlink" Id="rId152" Target="https://doi.org/10.1029/2018WR024209" TargetMode="External" /><Relationship Type="http://schemas.openxmlformats.org/officeDocument/2006/relationships/hyperlink" Id="rId103" Target="https://doi.org/10.1029/WR009i004p00826" TargetMode="External" /><Relationship Type="http://schemas.openxmlformats.org/officeDocument/2006/relationships/hyperlink" Id="rId132" Target="https://doi.org/10.1029/WR009i004p00837" TargetMode="External" /><Relationship Type="http://schemas.openxmlformats.org/officeDocument/2006/relationships/hyperlink" Id="rId105" Target="https://doi.org/10.1029/WR011i002p00208" TargetMode="External" /><Relationship Type="http://schemas.openxmlformats.org/officeDocument/2006/relationships/hyperlink" Id="rId159" Target="https://doi.org/10.1029/WR018i005p01326" TargetMode="External" /><Relationship Type="http://schemas.openxmlformats.org/officeDocument/2006/relationships/hyperlink" Id="rId116" Target="https://doi.org/10.1029/WR019i002p00305" TargetMode="External" /><Relationship Type="http://schemas.openxmlformats.org/officeDocument/2006/relationships/hyperlink" Id="rId141" Target="https://doi.org/10.1029/WR022i09Sp0146S" TargetMode="External" /><Relationship Type="http://schemas.openxmlformats.org/officeDocument/2006/relationships/hyperlink" Id="rId139" Target="https://doi.org/10.1038/s41586-018-0123-1" TargetMode="External" /><Relationship Type="http://schemas.openxmlformats.org/officeDocument/2006/relationships/hyperlink" Id="rId135" Target="https://doi.org/10.1111/fwb.13070" TargetMode="External" /><Relationship Type="http://schemas.openxmlformats.org/officeDocument/2006/relationships/hyperlink" Id="rId90"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22" Target="https://doi.org/10.2307/1243543" TargetMode="External" /><Relationship Type="http://schemas.openxmlformats.org/officeDocument/2006/relationships/hyperlink" Id="rId148" Target="https://doi.org/10.2307/1243866" TargetMode="External" /><Relationship Type="http://schemas.openxmlformats.org/officeDocument/2006/relationships/hyperlink" Id="rId126" Target="https://doi.org/10.4159/harvard.9780674421042" TargetMode="External" /><Relationship Type="http://schemas.openxmlformats.org/officeDocument/2006/relationships/hyperlink" Id="rId114" Target="https://fcgma.org/groundwater-sustainability-plan" TargetMode="External" /><Relationship Type="http://schemas.openxmlformats.org/officeDocument/2006/relationships/hyperlink" Id="rId118" Target="https://kbifrm.psmfc.org/wp-content/uploads/2016/12/Graham{\_}2012{\_}0010{\_}Klamath-River-Basin-Restoration-Nonuse-Value-Survey-Final-Report.pdf" TargetMode="External" /><Relationship Type="http://schemas.openxmlformats.org/officeDocument/2006/relationships/hyperlink" Id="rId128" Target="https://pubs.usgs.gov/wsp/1462/report.pdf" TargetMode="External" /><Relationship Type="http://schemas.openxmlformats.org/officeDocument/2006/relationships/hyperlink" Id="rId144" Target="https://www.co.siskiyou.ca.us/naturalresources/page/scott-valley-gsp-chapters" TargetMode="External" /><Relationship Type="http://schemas.openxmlformats.org/officeDocument/2006/relationships/hyperlink" Id="rId146" Target="https://www.co.siskiyou.ca.us/scottvga/page/scott-valley-groundwater-advisory-committee-meeting-15" TargetMode="External" /><Relationship Type="http://schemas.openxmlformats.org/officeDocument/2006/relationships/hyperlink" Id="rId92" Target="https://www.fs.usda.gov/Internet/FSE{\_}DOCUMENTS/stelprd3850544.pdf" TargetMode="External" /><Relationship Type="http://schemas.openxmlformats.org/officeDocument/2006/relationships/hyperlink" Id="rId101" Target="https://www.waterboards.ca.gov/drought/scott{\_}shasta{\_}rivers/docs/swb{\_}2021{\_}shasta{\_}scott{\_}drought{\_}emergency{\_}final.pdf" TargetMode="External" /><Relationship Type="http://schemas.openxmlformats.org/officeDocument/2006/relationships/hyperlink" Id="rId150"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dcterms:created xsi:type="dcterms:W3CDTF">2025-11-05T20:52:01Z</dcterms:created>
  <dcterms:modified xsi:type="dcterms:W3CDTF">2025-11-05T20:52:01Z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2025-08-29</vt:lpwstr>
  </property>
  <property fmtid="{D5CDD505-2E9C-101B-9397-08002B2CF9AE}" pid="4" name="output">
    <vt:lpwstr/>
  </property>
</Properties>
</file>