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9.png" ContentType="image/png"/>
  <Override PartName="/word/media/rId63.png" ContentType="image/png"/>
  <Override PartName="/word/media/rId69.png" ContentType="image/png"/>
  <Override PartName="/word/media/rId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 assessment of stakeholder-defined portfolio of management options clarifies trade-offs in an active local water planning process</w:t>
      </w:r>
    </w:p>
    <w:p>
      <w:pPr>
        <w:pStyle w:val="Author"/>
      </w:pPr>
      <w:r>
        <w:t xml:space="preserve">Claire Kouba</w:t>
      </w:r>
    </w:p>
    <w:p>
      <w:pPr>
        <w:pStyle w:val="Date"/>
      </w:pPr>
      <w:r>
        <w:t xml:space="preserve">2025-11-12</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 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 Finally, regarding regulatory actions, management interventions targeted at low-flow periods produced a more efficient gain in environmental flow value per cost in agricultural productivity. This work demonstrates that basin-specific, stakeholder-informed objective functions can increase stakeholder-salience of existing hydrologic model results,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temporarily curtailed to preserve flows for aquatic species</w:t>
      </w:r>
      <w:r>
        <w:t xml:space="preserve"> </w:t>
      </w:r>
      <w:r>
        <w:t xml:space="preserve">(SWRCB 2021;</w:t>
      </w:r>
      <w:r>
        <w:t xml:space="preserve"> </w:t>
      </w: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STATE WATER RESOURCES CONTROL BOARD 2024)</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occur early enough to provide adult fall-run spawners access to preferred spawning reaches;</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Different functional flows are needed by other fish, such as Chinook</w:t>
      </w:r>
      <w:r>
        <w:t xml:space="preserve"> </w:t>
      </w:r>
      <w:r>
        <w:t xml:space="preserve">(Kouba et al. 2025)</w:t>
      </w:r>
      <w:r>
        <w:t xml:space="preserve">; as well other species, such as cottonwood trees, which require flood-stage flows to disperse their seeds</w:t>
      </w:r>
      <w:r>
        <w:t xml:space="preserve"> </w:t>
      </w:r>
      <w:r>
        <w:t xml:space="preserve">(Mahoney and Rood 1998)</w:t>
      </w:r>
      <w:r>
        <w:t xml:space="preserve">; but in this work we focus on coho salmon as a straightforward example in developing an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43"/>
    <w:bookmarkEnd w:id="44"/>
    <w:bookmarkStart w:id="58"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w:t>
      </w:r>
    </w:p>
    <w:p>
      <w:pPr>
        <w:pStyle w:val="Compact"/>
        <w:numPr>
          <w:ilvl w:val="0"/>
          <w:numId w:val="1002"/>
        </w:numPr>
      </w:pPr>
      <w:r>
        <w:t xml:space="preserve">maximize specific environmental flows,</w:t>
      </w:r>
    </w:p>
    <w:p>
      <w:pPr>
        <w:pStyle w:val="Compact"/>
        <w:numPr>
          <w:ilvl w:val="0"/>
          <w:numId w:val="1002"/>
        </w:numPr>
      </w:pPr>
      <w:r>
        <w:t xml:space="preserve">maintain current levels of agricultural productivity (represented as minimizing reduction in agricultural water use), and</w:t>
      </w:r>
    </w:p>
    <w:p>
      <w:pPr>
        <w:pStyle w:val="Compact"/>
        <w:numPr>
          <w:ilvl w:val="0"/>
          <w:numId w:val="1002"/>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1" w:name="objective-functions"/>
    <w:p>
      <w:pPr>
        <w:pStyle w:val="Heading2"/>
      </w:pPr>
      <w:r>
        <w:rPr>
          <w:rStyle w:val="SectionNumber"/>
        </w:rPr>
        <w:t xml:space="preserve">3.1</w:t>
      </w:r>
      <w:r>
        <w:tab/>
      </w:r>
      <w:r>
        <w:t xml:space="preserve">Objective functions</w:t>
      </w:r>
    </w:p>
    <w:bookmarkStart w:id="46" w:name="hydrologic-benefit-function"/>
    <w:p>
      <w:pPr>
        <w:pStyle w:val="Heading3"/>
      </w:pPr>
      <w:r>
        <w:rPr>
          <w:rStyle w:val="SectionNumber"/>
        </w:rPr>
        <w:t xml:space="preserve">3.1.1</w:t>
      </w:r>
      <w:r>
        <w:tab/>
      </w:r>
      <w:r>
        <w:t xml:space="preserve">Hydrologic Benefit function</w:t>
      </w:r>
    </w:p>
    <w:p>
      <w:pPr>
        <w:pStyle w:val="FirstParagraph"/>
      </w:pPr>
      <w:r>
        <w:t xml:space="preserve">In previous work</w:t>
      </w:r>
      <w:r>
        <w:t xml:space="preserve"> </w:t>
      </w:r>
      <w:r>
        <w:t xml:space="preserve">(Kouba et al. 2025)</w:t>
      </w:r>
      <w:r>
        <w:t xml:space="preserve">, we showed that the relative degree to which a given water year provided ecological services needed by coho salmon can be empirically estimated using a Hydrologic Benefit (HB) function, which is represented as a linear combination of annual functional flow values. Functional flows are set of streamflow metrics related to the timing, amplitude, and duration of flow phenomena</w:t>
      </w:r>
      <w:r>
        <w:t xml:space="preserve"> </w:t>
      </w:r>
      <w:r>
        <w:t xml:space="preserve">(Yarnell et al. 2015; Patterson et al. 2020; Carpenter 2024)</w:t>
      </w:r>
      <w:r>
        <w:t xml:space="preserve"> </w:t>
      </w:r>
      <w:r>
        <w:t xml:space="preserve">were weighted according to their power to predict coho outcomes, such as smolt production or smolt production normalized per female spawner. The combination of these weighted metrics can be interpreted as a prediction of coho salmon reproduction</w:t>
      </w:r>
      <w:r>
        <w:t xml:space="preserve"> </w:t>
      </w:r>
      <w:r>
        <w:rPr>
          <w:i/>
          <w:iCs/>
        </w:rPr>
        <w:t xml:space="preserve">due to hydrologic factors</w:t>
      </w:r>
      <w:r>
        <w:t xml:space="preserve">. Importantly, the HB function selected for this exercise only explains about</w:t>
      </w:r>
      <w:r>
        <w:t xml:space="preserve"> </w:t>
      </w:r>
      <w:r>
        <w:rPr>
          <w:b/>
          <w:bCs/>
        </w:rPr>
        <w:t xml:space="preserve">60%</w:t>
      </w:r>
      <w:r>
        <w:t xml:space="preserve"> </w:t>
      </w:r>
      <w:r>
        <w:t xml:space="preserve">of variation in observed smolt abundance, and the remaining 40% of variation is assumed related to other life conditions, e.g., number of returning spawners, water quality, food resources, and internal fishery population dynamics.</w:t>
      </w:r>
    </w:p>
    <w:p>
      <w:pPr>
        <w:pStyle w:val="BodyText"/>
      </w:pPr>
      <w:r>
        <w:t xml:space="preserve">Specifically, the HB function predicts a higher number of coho smolt produced (coho smolt-equivalent) is related to higher fall flows during a cohort’s parents’ spawning, lower fall flows during a cohort’s time as overwintering yearlings, and a slower spring recession (see intercept and coefficient values in Table</w:t>
      </w:r>
      <w:r>
        <w:t xml:space="preserve"> </w:t>
      </w:r>
      <w:r>
        <w:t xml:space="preserve">3</w:t>
      </w:r>
      <w:r>
        <w:t xml:space="preserve">).</w:t>
      </w:r>
    </w:p>
    <w:p>
      <w:pPr>
        <w:pStyle w:val="BodyText"/>
      </w:pPr>
      <w:r>
        <w:rPr>
          <w:b/>
          <w:bCs/>
        </w:rPr>
        <w:t xml:space="preserve">language on selecting smolt based on hydro only predictors, and only for coho</w:t>
      </w:r>
    </w:p>
    <w:bookmarkEnd w:id="46"/>
    <w:bookmarkStart w:id="48" w:name="ensemble-hb-function"/>
    <w:p>
      <w:pPr>
        <w:pStyle w:val="Heading3"/>
      </w:pPr>
      <w:r>
        <w:rPr>
          <w:rStyle w:val="SectionNumber"/>
        </w:rPr>
        <w:t xml:space="preserve">3.1.2</w:t>
      </w:r>
      <w:r>
        <w:tab/>
      </w:r>
      <w:r>
        <w:t xml:space="preserve">Ensemble HB function</w:t>
      </w:r>
    </w:p>
    <w:p>
      <w:pPr>
        <w:pStyle w:val="FirstParagraph"/>
      </w:pPr>
      <w:r>
        <w:t xml:space="preserve">For each species, across all statistical methods, the coefficients for any single predictor were consistently negative or positive; e.g.,</w:t>
      </w:r>
    </w:p>
    <w:p>
      <w:pPr>
        <w:pStyle w:val="TableCaption"/>
      </w:pPr>
      <w:bookmarkStart w:id="47" w:name="tab:coefTab"/>
      <w:bookmarkEnd w:id="47"/>
      <w:r>
        <w:t xml:space="preserve">Table 3:</w:t>
      </w:r>
      <w:r>
        <w:t xml:space="preserve"> </w:t>
      </w:r>
      <w:r>
        <w:t xml:space="preserve">Coefficients for the Hydrologic Benefit function, an emperical estimate of ecological services provided to coho salmon by specific functional flows. The predicted value is in units of log10(coho smolt) produced due to hydrologic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2.1393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d1_DS_Mag_50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Higher dry season flow (mid-late season, before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d1_DS_Mag_90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Higher dry season flow (early season, before parents' spawning)</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w1_Wet_Tim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Earlier wet season onset (as eggs and hatchlings)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f1_recon_120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Earlier fall reconnection (during parents' spawning)</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s1_SP_ROC_Max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max. rate of change, spring recession (as outmigrating smolt)</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w1_Wet_BFL_Mag_50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Lower wet season baseflows (as eggs and hatchlings)</w:t>
            </w:r>
          </w:p>
        </w:tc>
      </w:tr>
    </w:tbl>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w:t>
      </w:r>
      <w:r>
        <w:t xml:space="preserve"> </w:t>
      </w:r>
      <w:r>
        <w:rPr>
          <w:b/>
          <w:bCs/>
        </w:rPr>
        <w:t xml:space="preserve">4.5</w:t>
      </w:r>
      <w:r>
        <w:t xml:space="preserve"> </w:t>
      </w:r>
      <w:r>
        <w:t xml:space="preserve">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8"/>
    <w:bookmarkStart w:id="49" w:name="Xb6ca5dd654202e76d1db9f1bc12c98cced9d6aa"/>
    <w:p>
      <w:pPr>
        <w:pStyle w:val="Heading3"/>
      </w:pPr>
      <w:r>
        <w:rPr>
          <w:rStyle w:val="SectionNumber"/>
        </w:rPr>
        <w:t xml:space="preserve">3.1.3</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w:t>
      </w:r>
      <w:r>
        <w:t xml:space="preserve"> </w:t>
      </w:r>
      <w:r>
        <w:rPr>
          <w:b/>
          <w:bCs/>
        </w:rPr>
        <w:t xml:space="preserve">and grain?</w:t>
      </w:r>
      <w:r>
        <w:t xml:space="preserv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9"/>
    <w:bookmarkStart w:id="50" w:name="Xfd5664932b25b1108017cbc6e0e75c8014ecd36"/>
    <w:p>
      <w:pPr>
        <w:pStyle w:val="Heading3"/>
      </w:pPr>
      <w:r>
        <w:rPr>
          <w:rStyle w:val="SectionNumber"/>
        </w:rPr>
        <w:t xml:space="preserve">3.1.4</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3"/>
        </w:numPr>
      </w:pPr>
      <w:r>
        <w:t xml:space="preserve">No feasibility barriers (basecase; maintain current practices)</w:t>
      </w:r>
    </w:p>
    <w:p>
      <w:pPr>
        <w:pStyle w:val="Compact"/>
        <w:numPr>
          <w:ilvl w:val="0"/>
          <w:numId w:val="1003"/>
        </w:numPr>
      </w:pPr>
      <w:r>
        <w:t xml:space="preserve">Implementable with current infrastructure</w:t>
      </w:r>
    </w:p>
    <w:p>
      <w:pPr>
        <w:pStyle w:val="Compact"/>
        <w:numPr>
          <w:ilvl w:val="0"/>
          <w:numId w:val="1003"/>
        </w:numPr>
      </w:pPr>
      <w:r>
        <w:t xml:space="preserve">Requires new infrastructure that would take 1-2 years to build</w:t>
      </w:r>
    </w:p>
    <w:p>
      <w:pPr>
        <w:pStyle w:val="Compact"/>
        <w:numPr>
          <w:ilvl w:val="0"/>
          <w:numId w:val="1003"/>
        </w:numPr>
      </w:pPr>
      <w:r>
        <w:t xml:space="preserve">Requires new infrastructure that would take 3-5 years to build</w:t>
      </w:r>
    </w:p>
    <w:p>
      <w:pPr>
        <w:pStyle w:val="Compact"/>
        <w:numPr>
          <w:ilvl w:val="0"/>
          <w:numId w:val="1003"/>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5</w:t>
      </w:r>
      <w:r>
        <w:t xml:space="preserve"> </w:t>
      </w:r>
      <w:r>
        <w:t xml:space="preserve">for full list of assigned categories.</w:t>
      </w:r>
    </w:p>
    <w:bookmarkEnd w:id="50"/>
    <w:bookmarkEnd w:id="51"/>
    <w:bookmarkStart w:id="54" w:name="analyses-of-objective-function-values"/>
    <w:p>
      <w:pPr>
        <w:pStyle w:val="Heading2"/>
      </w:pPr>
      <w:r>
        <w:rPr>
          <w:rStyle w:val="SectionNumber"/>
        </w:rPr>
        <w:t xml:space="preserve">3.2</w:t>
      </w:r>
      <w:r>
        <w:tab/>
      </w:r>
      <w:r>
        <w:t xml:space="preserve">Analyses of objective function values</w:t>
      </w:r>
    </w:p>
    <w:bookmarkStart w:id="52"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2"/>
    <w:bookmarkStart w:id="53"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w:t>
      </w:r>
      <w:r>
        <w:rPr>
          <w:b/>
          <w:bCs/>
        </w:rPr>
        <w:t xml:space="preserve">ParetoVilfredoCours1896?</w:t>
      </w:r>
      <w:r>
        <w:t xml:space="preserve">)</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bookmarkEnd w:id="53"/>
    <w:bookmarkEnd w:id="54"/>
    <w:bookmarkStart w:id="55"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w:t>
      </w:r>
      <w:r>
        <w:t xml:space="preserve"> </w:t>
      </w:r>
      <w:r>
        <w:rPr>
          <w:b/>
          <w:bCs/>
        </w:rPr>
        <w:t xml:space="preserve">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r>
        <w:t xml:space="preserve"> </w:t>
      </w:r>
      <w:r>
        <w:rPr>
          <w:b/>
          <w:bCs/>
        </w:rPr>
        <w:t xml:space="preserve">Add text re: Leland’s updates to SVIHM? Bah, should I rerun everything using the latest model version?</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4"/>
        </w:numPr>
      </w:pPr>
      <w:r>
        <w:t xml:space="preserve">A prediction of Scott River daily average flow at the Fort Jones Gauge, which is co-located with the surface water outlet of the model domain; and</w:t>
      </w:r>
    </w:p>
    <w:p>
      <w:pPr>
        <w:pStyle w:val="Compact"/>
        <w:numPr>
          <w:ilvl w:val="0"/>
          <w:numId w:val="1004"/>
        </w:numPr>
      </w:pPr>
      <w:r>
        <w:t xml:space="preserve">Simulated total ET of crops and native vegetation within the model domain.</w:t>
      </w:r>
    </w:p>
    <w:bookmarkEnd w:id="55"/>
    <w:bookmarkStart w:id="57"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25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or an assumed crop water consumption of 80% versus 90% of historical). See</w:t>
      </w:r>
      <w:r>
        <w:t xml:space="preserve"> </w:t>
      </w:r>
      <w:r>
        <w:rPr>
          <w:i/>
          <w:iCs/>
        </w:rPr>
        <w:t xml:space="preserve">Chapter 2 Supplement</w:t>
      </w:r>
      <w:r>
        <w:t xml:space="preserve"> </w:t>
      </w:r>
      <w:r>
        <w:t xml:space="preserve">for more detailed scenario descriptions.</w:t>
      </w:r>
    </w:p>
    <w:p>
      <w:pPr>
        <w:pStyle w:val="TableCaption"/>
      </w:pPr>
      <w:bookmarkStart w:id="56" w:name="tab:scenCategoryTab"/>
      <w:bookmarkEnd w:id="56"/>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7"/>
    <w:bookmarkEnd w:id="58"/>
    <w:bookmarkStart w:id="80" w:name="results"/>
    <w:p>
      <w:pPr>
        <w:pStyle w:val="Heading1"/>
      </w:pPr>
      <w:r>
        <w:rPr>
          <w:rStyle w:val="SectionNumber"/>
        </w:rPr>
        <w:t xml:space="preserve">4</w:t>
      </w:r>
      <w:r>
        <w:tab/>
      </w:r>
      <w:r>
        <w:t xml:space="preserve">Results</w:t>
      </w:r>
    </w:p>
    <w:p>
      <w:pPr>
        <w:pStyle w:val="FirstParagraph"/>
      </w:pPr>
      <w:r>
        <w:t xml:space="preserve">As described above, objective functions were used to quantitatively summarize the achievement of environmental and agricultural goals for the basecase and 27 management scenarios. A Hydrologic Benefit (HB) value (in units of</w:t>
      </w:r>
      <w:r>
        <w:t xml:space="preserve"> </w:t>
      </w:r>
      <w:r>
        <w:rPr>
          <w:b/>
          <w:bCs/>
        </w:rPr>
        <w:t xml:space="preserve">predicted coho smolt production per spawning female, or coho spf-equivalent</w:t>
      </w:r>
      <w:r>
        <w:t xml:space="preserve">) and a total crop ET volume was calculated for each water year in the 28-year simulation period, for each scenario. Each scenario has also been given an infrastructure feasibility proxy (Table</w:t>
      </w:r>
      <w:r>
        <w:t xml:space="preserve"> </w:t>
      </w:r>
      <w:r>
        <w:t xml:space="preserve">5</w:t>
      </w:r>
      <w:r>
        <w:t xml:space="preserve">).</w:t>
      </w:r>
    </w:p>
    <w:bookmarkStart w:id="68" w:name="X7919b09686293416b4bcb59483f48ae87a57064"/>
    <w:p>
      <w:pPr>
        <w:pStyle w:val="Heading2"/>
      </w:pPr>
      <w:r>
        <w:rPr>
          <w:rStyle w:val="SectionNumber"/>
        </w:rPr>
        <w:t xml:space="preserve">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5:  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 title="" id="60" name="Picture"/>
            <a:graphic>
              <a:graphicData uri="http://schemas.openxmlformats.org/drawingml/2006/picture">
                <pic:pic>
                  <pic:nvPicPr>
                    <pic:cNvPr descr="Graphics%20and%20Supplements/Figure%204.pn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2" w:name="fig:benefitByWY"/>
      <w:bookmarkEnd w:id="62"/>
      <w:r>
        <w:t xml:space="preserve">Figure 5:</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64" name="Picture"/>
            <a:graphic>
              <a:graphicData uri="http://schemas.openxmlformats.org/drawingml/2006/picture">
                <pic:pic>
                  <pic:nvPicPr>
                    <pic:cNvPr descr="Graphics%20and%20Supplements/Figure%205.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6" w:name="fig:farmerFishTradeoffFigure"/>
      <w:bookmarkEnd w:id="66"/>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5</w:t>
      </w:r>
      <w:r>
        <w:t xml:space="preserve">) or using the 28-year mean values for each scenario (Figure</w:t>
      </w:r>
      <w:r>
        <w:t xml:space="preserve"> </w:t>
      </w:r>
      <w:r>
        <w:t xml:space="preserve">6</w:t>
      </w:r>
      <w:r>
        <w:t xml:space="preserve">; Table</w:t>
      </w:r>
      <w:r>
        <w:t xml:space="preserve"> </w:t>
      </w:r>
      <w:r>
        <w:t xml:space="preserve">5</w:t>
      </w:r>
      <w:r>
        <w:t xml:space="preserve">). In the basecase scenario, the 28-year mean annual ET volume is 118 million m</w:t>
      </w:r>
      <w:r>
        <w:rPr>
          <w:vertAlign w:val="superscript"/>
        </w:rPr>
        <w:t xml:space="preserve">3</w:t>
      </w:r>
      <w:r>
        <w:t xml:space="preserve"> </w:t>
      </w:r>
      <w:r>
        <w:t xml:space="preserve">of water, and the 28-year mean of annual HB values is 49.4 coho spf-equivalent (Table</w:t>
      </w:r>
      <w:r>
        <w:t xml:space="preserve"> </w:t>
      </w:r>
      <w:r>
        <w:t xml:space="preserve">5</w:t>
      </w:r>
      <w:r>
        <w:t xml:space="preserve">). Annual ET volume is relatively stable over the model period of water years 1991-2018, while annual HB values are much more variable (Figure</w:t>
      </w:r>
      <w:r>
        <w:t xml:space="preserve"> </w:t>
      </w:r>
      <w:r>
        <w:t xml:space="preserve">5</w:t>
      </w:r>
      <w:r>
        <w:t xml:space="preserve">). Among the 39 management scenarios, mean ET values ranged from 0 to 118 million m</w:t>
      </w:r>
      <w:r>
        <w:rPr>
          <w:vertAlign w:val="superscript"/>
        </w:rPr>
        <w:t xml:space="preserve">3</w:t>
      </w:r>
      <w:r>
        <w:t xml:space="preserve"> </w:t>
      </w:r>
      <w:r>
        <w:t xml:space="preserve">of water, while HB values ranged from 49 to 52.5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6</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0 to 1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6</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6</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0 to 1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6</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0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6</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7" w:name="tab:scenarioResultsTab"/>
      <w:bookmarkEnd w:id="67"/>
      <w:r>
        <w:t xml:space="preserve">Table 5:</w:t>
      </w:r>
      <w:r>
        <w:t xml:space="preserve"> </w:t>
      </w:r>
      <w:r>
        <w:t xml:space="preserve">Scenario attributes for 25 scenarios. Units for Hydrologic Benefit (HB) value are coho smolt per female-equivalent; for ET are million cubic meters; both are averages of 35 annual values.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8"/>
    <w:bookmarkStart w:id="73" w:name="X5717be130d28923be971a1bdea556d769a5487a"/>
    <w:p>
      <w:pPr>
        <w:pStyle w:val="Heading2"/>
      </w:pPr>
      <w:r>
        <w:rPr>
          <w:rStyle w:val="SectionNumber"/>
        </w:rPr>
        <w:t xml:space="preserve">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-20.85 to 0.4 when averaged over all years(Table</w:t>
      </w:r>
      <w:r>
        <w:t xml:space="preserve"> </w:t>
      </w:r>
      <w:r>
        <w:t xml:space="preserve">5</w:t>
      </w:r>
      <w:r>
        <w:t xml:space="preserve">). The range covers two orders of magnitude because the denominator of the ratio, lost ET, ranges from 0% to 100%, while the HB gains fall more narrowly between -0.7% to 6.3%.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7</w:t>
      </w:r>
      <w:r>
        <w:t xml:space="preserve">). These scenarios can produce substantial HB gains (ranging from 0 to 3) coho spf-equiv., but result in severe agricultural productivity reductions (-0.3%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(-0.1 to -0.1 million m</w:t>
      </w:r>
      <w:r>
        <w:rPr>
          <w:vertAlign w:val="superscript"/>
        </w:rPr>
        <w:t xml:space="preserve">3</w:t>
      </w:r>
      <w:r>
        <w:t xml:space="preserve">, or -0.1 to -0.1 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 title="" id="70" name="Picture"/>
            <a:graphic>
              <a:graphicData uri="http://schemas.openxmlformats.org/drawingml/2006/picture">
                <pic:pic>
                  <pic:nvPicPr>
                    <pic:cNvPr descr="Graphics%20and%20Supplements/Figure%207.png" id="71" name="Picture"/>
                    <pic:cNvPicPr>
                      <a:picLocks noChangeArrowheads="1" noChangeAspect="1"/>
                    </pic:cNvPicPr>
                  </pic:nvPicPr>
                  <pic:blipFill>
                    <a:blip r:embed="rId6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2" w:name="fig:efficiency"/>
      <w:bookmarkEnd w:id="72"/>
      <w:r>
        <w:t xml:space="preserve">Figure 7:</w:t>
      </w:r>
      <w:r>
        <w:t xml:space="preserve"> </w:t>
      </w:r>
      <w:r>
        <w:t xml:space="preserve"> </w:t>
      </w:r>
      <w:r>
        <w:t xml:space="preserve">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w:t>
      </w:r>
    </w:p>
    <w:bookmarkEnd w:id="73"/>
    <w:bookmarkStart w:id="79" w:name="Xfbc83626841bb94e70b2ed42e58f7fe62bf81a6"/>
    <w:p>
      <w:pPr>
        <w:pStyle w:val="Heading2"/>
      </w:pPr>
      <w:r>
        <w:rPr>
          <w:rStyle w:val="SectionNumber"/>
        </w:rPr>
        <w:t xml:space="preserve">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5</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6</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5" name="Picture"/>
            <a:graphic>
              <a:graphicData uri="http://schemas.openxmlformats.org/drawingml/2006/picture">
                <pic:pic>
                  <pic:nvPicPr>
                    <pic:cNvPr descr="Graphics%20and%20Supplements/hbf%20et%20infra%20plot3d_2025.11.04.jpg" id="76" name="Picture"/>
                    <pic:cNvPicPr>
                      <a:picLocks noChangeArrowheads="1" noChangeAspect="1"/>
                    </pic:cNvPicPr>
                  </pic:nvPicPr>
                  <pic:blipFill>
                    <a:blip r:embed="rId74"/>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7" w:name="fig:farmerFishInfraFigure3D"/>
      <w:bookmarkEnd w:id="77"/>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8" w:name="tab:gspMgmtList"/>
      <w:bookmarkEnd w:id="78"/>
      <w:r>
        <w:t xml:space="preserve">Table 6:</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49.45-49.56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49.45-49.56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49.33-52.47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49.57-50.06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49.18-50.22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49.52-50.79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9"/>
    <w:bookmarkEnd w:id="80"/>
    <w:bookmarkStart w:id="86"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Chinook salmon, indices of alteration</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1"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1"/>
    <w:bookmarkStart w:id="82"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5</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5</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5</w:t>
      </w:r>
      <w:r>
        <w:t xml:space="preserve">), the low-coho year HB performance of various model scenarios is a key scenario differentiator.</w:t>
      </w:r>
    </w:p>
    <w:bookmarkEnd w:id="82"/>
    <w:bookmarkStart w:id="83"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6</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5</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5</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7</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5</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7</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5</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5</w:t>
      </w:r>
      <w:r>
        <w:t xml:space="preserve">).</w:t>
      </w:r>
    </w:p>
    <w:bookmarkEnd w:id="83"/>
    <w:bookmarkStart w:id="84"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w:t>
      </w:r>
      <w:r>
        <w:rPr>
          <w:b/>
          <w:bCs/>
        </w:rPr>
        <w:t xml:space="preserve">25</w:t>
      </w:r>
      <w:r>
        <w:t xml:space="preserve"> </w:t>
      </w:r>
      <w:r>
        <w:t xml:space="preserve">of 25,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5</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7</w:t>
      </w:r>
      <w:r>
        <w:t xml:space="preserve">; Table</w:t>
      </w:r>
      <w:r>
        <w:t xml:space="preserve"> </w:t>
      </w:r>
      <w:r>
        <w:t xml:space="preserve">5</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4"/>
    <w:bookmarkStart w:id="85"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5"/>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5</w:t>
      </w:r>
      <w:r>
        <w:t xml:space="preserve">).</w:t>
      </w:r>
    </w:p>
    <w:p>
      <w:pPr>
        <w:pStyle w:val="Compact"/>
        <w:numPr>
          <w:ilvl w:val="0"/>
          <w:numId w:val="1005"/>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5"/>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6</w:t>
      </w:r>
      <w:r>
        <w:t xml:space="preserve">.</w:t>
      </w:r>
    </w:p>
    <w:p>
      <w:pPr>
        <w:pStyle w:val="Compact"/>
        <w:numPr>
          <w:ilvl w:val="0"/>
          <w:numId w:val="1005"/>
        </w:numPr>
      </w:pPr>
      <w:r>
        <w:t xml:space="preserve">In recent years, drought conditions have prompted state regulatory agencies to consider and then impose significant irrigation curtailments</w:t>
      </w:r>
      <w:r>
        <w:t xml:space="preserve"> </w:t>
      </w:r>
      <w:r>
        <w:t xml:space="preserve">(SWRCB 2021)</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5</w:t>
      </w:r>
      <w:r>
        <w:t xml:space="preserve">).</w:t>
      </w:r>
    </w:p>
    <w:bookmarkEnd w:id="85"/>
    <w:bookmarkEnd w:id="86"/>
    <w:bookmarkStart w:id="87"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7</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7"/>
    <w:bookmarkStart w:id="88" w:name="acknowledgments"/>
    <w:p>
      <w:pPr>
        <w:pStyle w:val="Heading1"/>
      </w:pPr>
      <w:r>
        <w:t xml:space="preserve">Acknowledgments</w:t>
      </w:r>
    </w:p>
    <w:bookmarkEnd w:id="88"/>
    <w:bookmarkStart w:id="143" w:name="references"/>
    <w:p>
      <w:pPr>
        <w:pStyle w:val="Heading1"/>
      </w:pPr>
      <w:r>
        <w:rPr>
          <w:rStyle w:val="SectionNumber"/>
        </w:rPr>
        <w:t xml:space="preserve">7</w:t>
      </w:r>
      <w:r>
        <w:tab/>
      </w:r>
      <w:r>
        <w:t xml:space="preserve">References</w:t>
      </w:r>
    </w:p>
    <w:bookmarkStart w:id="142" w:name="refs"/>
    <w:bookmarkStart w:id="90"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89">
        <w:r>
          <w:rPr>
            <w:rStyle w:val="Hyperlink"/>
          </w:rPr>
          <w:t xml:space="preserve">https://doi.org/10.3389/fclim.2021.719150</w:t>
        </w:r>
      </w:hyperlink>
      <w:r>
        <w:t xml:space="preserve">.</w:t>
      </w:r>
    </w:p>
    <w:bookmarkEnd w:id="90"/>
    <w:bookmarkStart w:id="92"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1">
        <w:r>
          <w:rPr>
            <w:rStyle w:val="Hyperlink"/>
          </w:rPr>
          <w:t xml:space="preserve">https://doi.org/10.1577/1548-8675(1994)014&lt;0237:HDACSO&gt;2.3.CO;2</w:t>
        </w:r>
      </w:hyperlink>
      <w:r>
        <w:t xml:space="preserve">.</w:t>
      </w:r>
    </w:p>
    <w:bookmarkEnd w:id="92"/>
    <w:bookmarkStart w:id="93"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93"/>
    <w:bookmarkStart w:id="94"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94"/>
    <w:bookmarkStart w:id="95"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95"/>
    <w:bookmarkStart w:id="96"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96"/>
    <w:bookmarkStart w:id="97"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97"/>
    <w:bookmarkStart w:id="98"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98"/>
    <w:bookmarkStart w:id="100"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99">
        <w:r>
          <w:rPr>
            <w:rStyle w:val="Hyperlink"/>
          </w:rPr>
          <w:t xml:space="preserve">https://doi.org/10.2135/cropsci1983.0011183X002300040016x</w:t>
        </w:r>
      </w:hyperlink>
      <w:r>
        <w:t xml:space="preserve">.</w:t>
      </w:r>
    </w:p>
    <w:bookmarkEnd w:id="100"/>
    <w:bookmarkStart w:id="102"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01">
        <w:r>
          <w:rPr>
            <w:rStyle w:val="Hyperlink"/>
          </w:rPr>
          <w:t xml:space="preserve">https://doi.org/10.1029/WR009i004p00826</w:t>
        </w:r>
      </w:hyperlink>
      <w:r>
        <w:t xml:space="preserve">.</w:t>
      </w:r>
    </w:p>
    <w:bookmarkEnd w:id="102"/>
    <w:bookmarkStart w:id="103" w:name="X57acf74f4e6bbb2dbfb24b295bee561f3691de6"/>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Klamath Watershed</w:t>
      </w:r>
      <w:r>
        <w:t xml:space="preserve">.”</w:t>
      </w:r>
      <w:r>
        <w:t xml:space="preserve"> </w:t>
      </w:r>
      <w:r>
        <w:t xml:space="preserve">2021. {{NOTICE OF APPROVAL OF EMERGENCY REGULATORY ACTION}}.</w:t>
      </w:r>
    </w:p>
    <w:bookmarkEnd w:id="103"/>
    <w:bookmarkStart w:id="104" w:name="X6facecaac3164717d4e5933b1aebd85f9388655"/>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{{NOTICE OF APPROVAL OF EMERGENCY REGULATORY ACTION}}.</w:t>
      </w:r>
    </w:p>
    <w:bookmarkEnd w:id="104"/>
    <w:bookmarkStart w:id="105"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5"/>
    <w:bookmarkStart w:id="106"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6"/>
    <w:bookmarkStart w:id="108"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7">
        <w:r>
          <w:rPr>
            <w:rStyle w:val="Hyperlink"/>
          </w:rPr>
          <w:t xml:space="preserve">https://doi.org/10.1111/j.1752-1688.2000.tb04280.x</w:t>
        </w:r>
      </w:hyperlink>
      <w:r>
        <w:t xml:space="preserve">.</w:t>
      </w:r>
    </w:p>
    <w:bookmarkEnd w:id="108"/>
    <w:bookmarkStart w:id="109"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09"/>
    <w:bookmarkStart w:id="111"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10">
        <w:r>
          <w:rPr>
            <w:rStyle w:val="Hyperlink"/>
          </w:rPr>
          <w:t xml:space="preserve">https://doi.org/10.1029/2004WR003787</w:t>
        </w:r>
      </w:hyperlink>
      <w:r>
        <w:t xml:space="preserve">.</w:t>
      </w:r>
    </w:p>
    <w:bookmarkEnd w:id="111"/>
    <w:bookmarkStart w:id="113"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2">
        <w:r>
          <w:rPr>
            <w:rStyle w:val="Hyperlink"/>
          </w:rPr>
          <w:t xml:space="preserve">https://doi.org/10.1002/eco.70098</w:t>
        </w:r>
      </w:hyperlink>
      <w:r>
        <w:t xml:space="preserve">.</w:t>
      </w:r>
    </w:p>
    <w:bookmarkEnd w:id="113"/>
    <w:bookmarkStart w:id="115"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4">
        <w:r>
          <w:rPr>
            <w:rStyle w:val="Hyperlink"/>
          </w:rPr>
          <w:t xml:space="preserve">https://doi.org/10.3133/wsp1462</w:t>
        </w:r>
      </w:hyperlink>
      <w:r>
        <w:t xml:space="preserve">.</w:t>
      </w:r>
    </w:p>
    <w:bookmarkEnd w:id="115"/>
    <w:bookmarkStart w:id="117"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16">
        <w:r>
          <w:rPr>
            <w:rStyle w:val="Hyperlink"/>
          </w:rPr>
          <w:t xml:space="preserve">https://doi.org/10.1007/BF03161678</w:t>
        </w:r>
      </w:hyperlink>
      <w:r>
        <w:t xml:space="preserve">.</w:t>
      </w:r>
    </w:p>
    <w:bookmarkEnd w:id="117"/>
    <w:bookmarkStart w:id="119"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18">
        <w:r>
          <w:rPr>
            <w:rStyle w:val="Hyperlink"/>
          </w:rPr>
          <w:t xml:space="preserve">https://doi.org/10.1029/WR009i004p00837</w:t>
        </w:r>
      </w:hyperlink>
      <w:r>
        <w:t xml:space="preserve">.</w:t>
      </w:r>
    </w:p>
    <w:bookmarkEnd w:id="119"/>
    <w:bookmarkStart w:id="121"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0">
        <w:r>
          <w:rPr>
            <w:rStyle w:val="Hyperlink"/>
          </w:rPr>
          <w:t xml:space="preserve">https://doi.org/10.1016/j.envsci.2016.05.006</w:t>
        </w:r>
      </w:hyperlink>
      <w:r>
        <w:t xml:space="preserve">.</w:t>
      </w:r>
    </w:p>
    <w:bookmarkEnd w:id="121"/>
    <w:bookmarkStart w:id="123"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22">
        <w:r>
          <w:rPr>
            <w:rStyle w:val="Hyperlink"/>
          </w:rPr>
          <w:t xml:space="preserve">https://doi.org/10.1111/fwb.13070</w:t>
        </w:r>
      </w:hyperlink>
      <w:r>
        <w:t xml:space="preserve">.</w:t>
      </w:r>
    </w:p>
    <w:bookmarkEnd w:id="123"/>
    <w:bookmarkStart w:id="125"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24">
        <w:r>
          <w:rPr>
            <w:rStyle w:val="Hyperlink"/>
          </w:rPr>
          <w:t xml:space="preserve">https://doi.org/10.1016/j.jhydrol.2020.124787</w:t>
        </w:r>
      </w:hyperlink>
      <w:r>
        <w:t xml:space="preserve">.</w:t>
      </w:r>
    </w:p>
    <w:bookmarkEnd w:id="125"/>
    <w:bookmarkStart w:id="126"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26"/>
    <w:bookmarkStart w:id="127"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27"/>
    <w:bookmarkStart w:id="128"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28"/>
    <w:bookmarkStart w:id="129"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29"/>
    <w:bookmarkStart w:id="130" w:name="Xa7b10fbb32571a990cee2341e679d296b855974"/>
    <w:p>
      <w:pPr>
        <w:pStyle w:val="Bibliography"/>
      </w:pPr>
      <w:r>
        <w:t xml:space="preserve">STATE WATER RESOURCES CONTROL BOARD. 2024.</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30"/>
    <w:bookmarkStart w:id="132"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31">
        <w:r>
          <w:rPr>
            <w:rStyle w:val="Hyperlink"/>
          </w:rPr>
          <w:t xml:space="preserve">https://doi.org/10.2307/1243866</w:t>
        </w:r>
      </w:hyperlink>
      <w:r>
        <w:t xml:space="preserve">.</w:t>
      </w:r>
    </w:p>
    <w:bookmarkEnd w:id="132"/>
    <w:bookmarkStart w:id="134"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33">
        <w:r>
          <w:rPr>
            <w:rStyle w:val="Hyperlink"/>
          </w:rPr>
          <w:t xml:space="preserve">https://doi.org/10.1029/2018WR024209</w:t>
        </w:r>
      </w:hyperlink>
      <w:r>
        <w:t xml:space="preserve">.</w:t>
      </w:r>
    </w:p>
    <w:bookmarkEnd w:id="134"/>
    <w:bookmarkStart w:id="136"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35">
        <w:r>
          <w:rPr>
            <w:rStyle w:val="Hyperlink"/>
          </w:rPr>
          <w:t xml:space="preserve">https://doi.org/10.1007/s10040-005-0015-y</w:t>
        </w:r>
      </w:hyperlink>
      <w:r>
        <w:t xml:space="preserve">.</w:t>
      </w:r>
    </w:p>
    <w:bookmarkEnd w:id="136"/>
    <w:bookmarkStart w:id="138"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37">
        <w:r>
          <w:rPr>
            <w:rStyle w:val="Hyperlink"/>
          </w:rPr>
          <w:t xml:space="preserve">https://doi.org/10.1093/biosci/biv102</w:t>
        </w:r>
      </w:hyperlink>
      <w:r>
        <w:t xml:space="preserve">.</w:t>
      </w:r>
    </w:p>
    <w:bookmarkEnd w:id="138"/>
    <w:bookmarkStart w:id="140"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39">
        <w:r>
          <w:rPr>
            <w:rStyle w:val="Hyperlink"/>
          </w:rPr>
          <w:t xml:space="preserve">https://doi.org/10.1029/WR018i005p01326</w:t>
        </w:r>
      </w:hyperlink>
      <w:r>
        <w:t xml:space="preserve">.</w:t>
      </w:r>
    </w:p>
    <w:bookmarkEnd w:id="140"/>
    <w:bookmarkStart w:id="141"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41"/>
    <w:bookmarkEnd w:id="142"/>
    <w:p>
      <w:r>
        <w:br w:type="page"/>
      </w:r>
    </w:p>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image" Id="rId74" Target="media/rId74.jpg" /><Relationship Type="http://schemas.openxmlformats.org/officeDocument/2006/relationships/hyperlink" Id="rId112" Target="https://doi.org/10.1002/eco.70098" TargetMode="External" /><Relationship Type="http://schemas.openxmlformats.org/officeDocument/2006/relationships/hyperlink" Id="rId116" Target="https://doi.org/10.1007/BF03161678" TargetMode="External" /><Relationship Type="http://schemas.openxmlformats.org/officeDocument/2006/relationships/hyperlink" Id="rId135" Target="https://doi.org/10.1007/s10040-005-0015-y" TargetMode="External" /><Relationship Type="http://schemas.openxmlformats.org/officeDocument/2006/relationships/hyperlink" Id="rId120" Target="https://doi.org/10.1016/j.envsci.2016.05.006" TargetMode="External" /><Relationship Type="http://schemas.openxmlformats.org/officeDocument/2006/relationships/hyperlink" Id="rId124" Target="https://doi.org/10.1016/j.jhydrol.2020.124787" TargetMode="External" /><Relationship Type="http://schemas.openxmlformats.org/officeDocument/2006/relationships/hyperlink" Id="rId110" Target="https://doi.org/10.1029/2004WR003787" TargetMode="External" /><Relationship Type="http://schemas.openxmlformats.org/officeDocument/2006/relationships/hyperlink" Id="rId133"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18" Target="https://doi.org/10.1029/WR009i004p00837" TargetMode="External" /><Relationship Type="http://schemas.openxmlformats.org/officeDocument/2006/relationships/hyperlink" Id="rId139" Target="https://doi.org/10.1029/WR018i005p01326" TargetMode="External" /><Relationship Type="http://schemas.openxmlformats.org/officeDocument/2006/relationships/hyperlink" Id="rId137" Target="https://doi.org/10.1093/biosci/biv102" TargetMode="External" /><Relationship Type="http://schemas.openxmlformats.org/officeDocument/2006/relationships/hyperlink" Id="rId122" Target="https://doi.org/10.1111/fwb.13070" TargetMode="External" /><Relationship Type="http://schemas.openxmlformats.org/officeDocument/2006/relationships/hyperlink" Id="rId107"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1" Target="https://doi.org/10.2307/1243866" TargetMode="External" /><Relationship Type="http://schemas.openxmlformats.org/officeDocument/2006/relationships/hyperlink" Id="rId114" Target="https://doi.org/10.3133/wsp1462" TargetMode="External" /><Relationship Type="http://schemas.openxmlformats.org/officeDocument/2006/relationships/hyperlink" Id="rId89"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2/eco.70098" TargetMode="External" /><Relationship Type="http://schemas.openxmlformats.org/officeDocument/2006/relationships/hyperlink" Id="rId116" Target="https://doi.org/10.1007/BF03161678" TargetMode="External" /><Relationship Type="http://schemas.openxmlformats.org/officeDocument/2006/relationships/hyperlink" Id="rId135" Target="https://doi.org/10.1007/s10040-005-0015-y" TargetMode="External" /><Relationship Type="http://schemas.openxmlformats.org/officeDocument/2006/relationships/hyperlink" Id="rId120" Target="https://doi.org/10.1016/j.envsci.2016.05.006" TargetMode="External" /><Relationship Type="http://schemas.openxmlformats.org/officeDocument/2006/relationships/hyperlink" Id="rId124" Target="https://doi.org/10.1016/j.jhydrol.2020.124787" TargetMode="External" /><Relationship Type="http://schemas.openxmlformats.org/officeDocument/2006/relationships/hyperlink" Id="rId110" Target="https://doi.org/10.1029/2004WR003787" TargetMode="External" /><Relationship Type="http://schemas.openxmlformats.org/officeDocument/2006/relationships/hyperlink" Id="rId133"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18" Target="https://doi.org/10.1029/WR009i004p00837" TargetMode="External" /><Relationship Type="http://schemas.openxmlformats.org/officeDocument/2006/relationships/hyperlink" Id="rId139" Target="https://doi.org/10.1029/WR018i005p01326" TargetMode="External" /><Relationship Type="http://schemas.openxmlformats.org/officeDocument/2006/relationships/hyperlink" Id="rId137" Target="https://doi.org/10.1093/biosci/biv102" TargetMode="External" /><Relationship Type="http://schemas.openxmlformats.org/officeDocument/2006/relationships/hyperlink" Id="rId122" Target="https://doi.org/10.1111/fwb.13070" TargetMode="External" /><Relationship Type="http://schemas.openxmlformats.org/officeDocument/2006/relationships/hyperlink" Id="rId107"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1" Target="https://doi.org/10.2307/1243866" TargetMode="External" /><Relationship Type="http://schemas.openxmlformats.org/officeDocument/2006/relationships/hyperlink" Id="rId114" Target="https://doi.org/10.3133/wsp1462" TargetMode="External" /><Relationship Type="http://schemas.openxmlformats.org/officeDocument/2006/relationships/hyperlink" Id="rId89"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stakeholder-defined portfolio of management options clarifies trade-offs in an active local water planning process</dc:title>
  <dc:creator>Claire Kouba</dc:creator>
  <cp:keywords/>
  <dcterms:created xsi:type="dcterms:W3CDTF">2026-01-14T22:56:28Z</dcterms:created>
  <dcterms:modified xsi:type="dcterms:W3CDTF">2026-01-14T22:56:28Z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