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3.png" ContentType="image/png"/>
  <Override PartName="/word/media/rId37.png" ContentType="image/png"/>
  <Override PartName="/word/media/rId59.png" ContentType="image/png"/>
  <Override PartName="/word/media/rId63.png" ContentType="image/png"/>
  <Override PartName="/word/media/rId69.png" ContentType="image/png"/>
  <Override PartName="/word/media/rId7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Multi-objective assessment of stakeholder-defined portfolio of management options clarifies trade-offs in an active local water planning process</w:t>
      </w:r>
    </w:p>
    <w:p>
      <w:pPr>
        <w:pStyle w:val="Author"/>
      </w:pPr>
      <w:r>
        <w:t xml:space="preserve">Claire Kouba</w:t>
      </w:r>
    </w:p>
    <w:p>
      <w:pPr>
        <w:pStyle w:val="Date"/>
      </w:pPr>
      <w:r>
        <w:t xml:space="preserve">2025-11-12</w:t>
      </w:r>
    </w:p>
    <w:bookmarkStart w:id="20" w:name="abstract"/>
    <w:p>
      <w:pPr>
        <w:pStyle w:val="Heading1"/>
      </w:pPr>
      <w:r>
        <w:t xml:space="preserve">Abstract</w:t>
      </w:r>
    </w:p>
    <w:p>
      <w:pPr>
        <w:pStyle w:val="FirstParagraph"/>
      </w:pPr>
      <w:r>
        <w:t xml:space="preserve">In the rural American West, water needs of agriculture and ecosystems are often in competition. Furthermore, in places with interconnected surface- and groundwater systems, stream-aquifer exchange increases the difficulty of tracking impacts of diverse water users on each other and on the system as a whole. Hydrologic models can estimate the impacts of water uses and management actions on groundwater elevation and streamflow, but may provide overwhelming amounts of information and/or may be challenging for stakeholders to interpret. In this study, we address these challenges and aim to increase utility of hydrologic model results for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 25 management scenarios developed for the GSP, which were simulated using an existing integrated surface- and groundwater model. We found that a trade-off in benefits for fish and farms was evident in every category of infrastructure investment (a proxy for project cost), though greater infrastructure investment can achieve some reductions in this trade-off. Additionally, although the GSP management priorities emphasized infrastructure investments, both infrastructure-based and regulatory approaches fell within the Pareto-optimal set of management options under a strict application of these objective functions. Finally, regarding regulatory actions, management interventions targeted at low-flow periods produced a more efficient gain in environmental flow value per cost in agricultural productivity. This work demonstrates that basin-specific, stakeholder-informed objective functions can increase stakeholder-salience of existing hydrologic model results, and can help clarify trade-offs in ongoing local water planning efforts.</w:t>
      </w:r>
    </w:p>
    <w:p>
      <w:r>
        <w:br w:type="page"/>
      </w:r>
    </w:p>
    <w:bookmarkEnd w:id="20"/>
    <w:bookmarkStart w:id="25" w:name="introduction"/>
    <w:p>
      <w:pPr>
        <w:pStyle w:val="Heading1"/>
      </w:pPr>
      <w:r>
        <w:rPr>
          <w:rStyle w:val="SectionNumber"/>
        </w:rPr>
        <w:t xml:space="preserve">1</w:t>
      </w:r>
      <w:r>
        <w:tab/>
      </w:r>
      <w:r>
        <w:t xml:space="preserve">Introduction</w:t>
      </w:r>
    </w:p>
    <w:p>
      <w:pPr>
        <w:pStyle w:val="FirstParagraph"/>
      </w:pPr>
      <w:r>
        <w:t xml:space="preserve">Climate adaptation in the water sector, in its many facets - e.g., securing water and food supplies, updating infrastructure to reduce flood and drought risk, and preserving ecosystem function - is often most effective when implemented at the local level</w:t>
      </w:r>
      <w:r>
        <w:t xml:space="preserve"> </w:t>
      </w:r>
      <w:r>
        <w:t xml:space="preserve">(e.g., Van Steenbergen 2006)</w:t>
      </w:r>
      <w:r>
        <w:t xml:space="preserve">. However, local water managers face a complex regulatory landscape and serve diverse stakeholders, and typically have unmet knowledge needs</w:t>
      </w:r>
      <w:r>
        <w:t xml:space="preserve"> </w:t>
      </w:r>
      <w:r>
        <w:t xml:space="preserve">(Bork and Hirokawa 2021; Nordgren, Stults, and Meerow 2016)</w:t>
      </w:r>
      <w:r>
        <w:t xml:space="preserve">.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w:t>
      </w:r>
      <w:r>
        <w:t xml:space="preserve"> </w:t>
      </w:r>
      <w:r>
        <w:t xml:space="preserve">(Freeman 2000)</w:t>
      </w:r>
      <w:r>
        <w:t xml:space="preserve">. In this study, we take advantage of the authors’ involvement with an existing water resource planning process, and a previously-developed integrated surface- and groundwater model, to test the utility of introducing quantitative objective functions into the public prioritization of groundwater management alternatives in a case study jurisdiction.</w:t>
      </w:r>
    </w:p>
    <w:p>
      <w:pPr>
        <w:pStyle w:val="BodyText"/>
      </w:pPr>
      <w:r>
        <w:t xml:space="preserve">In our study area, the intermontane rural Scott Valley in northern California (Figure</w:t>
      </w:r>
      <w:r>
        <w:t xml:space="preserve"> </w:t>
      </w:r>
      <w:r>
        <w:t xml:space="preserve">1</w:t>
      </w:r>
      <w:r>
        <w:t xml:space="preserve">), the local government and public stakeholders spent three years (2018-2021) developing a plan for the long-term use of groundwater (a Groundwater Sustainability Plan or GSP). In that process, they evaluated dozens of potential water management scenarios</w:t>
      </w:r>
      <w:r>
        <w:t xml:space="preserve"> </w:t>
      </w:r>
      <w:r>
        <w:t xml:space="preserve">(Siskiyou County 2021)</w:t>
      </w:r>
      <w:r>
        <w:t xml:space="preserve">. In public meetings, different objectives were often championed by individual stakeholders or interest groups. An integrated hydrologic model, the Scott Valley Integrated Hydrologic Model, or SVIHM</w:t>
      </w:r>
      <w:r>
        <w:t xml:space="preserve"> </w:t>
      </w:r>
      <w:r>
        <w:t xml:space="preserve">(Tolley, Foglia, and Harter 2019)</w:t>
      </w:r>
      <w:r>
        <w:t xml:space="preserve">,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pPr>
        <w:pStyle w:val="BodyText"/>
      </w:pPr>
      <w:r>
        <w:t xml:space="preserve">Differences between stakeholders in what is considered an acceptable trade-off are common in policy decisions</w:t>
      </w:r>
      <w:r>
        <w:t xml:space="preserve"> </w:t>
      </w:r>
      <w:r>
        <w:t xml:space="preserve">(Monarchi, Kisiel, and Duckstein 1973)</w:t>
      </w:r>
      <w:r>
        <w:t xml:space="preserve">. Consequently, multi-objective optimization studies often avoid proposing a single optimal solution; instead they identify a Pareto-optimal or non-inferior set of options, which can clarify the unavoidable trade-offs in the performance of various system objectives</w:t>
      </w:r>
      <w:r>
        <w:t xml:space="preserve"> </w:t>
      </w:r>
      <w:r>
        <w:t xml:space="preserve">(e.g., Cohon and Marks 1973)</w:t>
      </w:r>
      <w:r>
        <w:t xml:space="preserve">. Methods for finding the non-inferior set often involve uniform or randomized initial sampling of the decision space</w:t>
      </w:r>
      <w:r>
        <w:t xml:space="preserve"> </w:t>
      </w:r>
      <w:r>
        <w:t xml:space="preserve">(e.g., Monarchi, Kisiel, and Duckstein 1973; Yeh and Becker 1982; Kapelan, Savic, and Walters 2005)</w:t>
      </w:r>
      <w:r>
        <w:t xml:space="preserve">.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Because a full randomized sampling of this decision space would be computationally prohibitive, this study instead focused on a set of simulated management scenarios that were effectively pre-screened by stakeholders for feasibility in the landscape of existing land uses and political dynamics.</w:t>
      </w:r>
    </w:p>
    <w:p>
      <w:pPr>
        <w:pStyle w:val="BodyText"/>
      </w:pPr>
      <w:r>
        <w:t xml:space="preserve">In this study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and potentially new insights about the holistic management option landscape.</w:t>
      </w:r>
      <w:r>
        <w:t xml:space="preserve"> </w:t>
      </w:r>
    </w:p>
    <w:p>
      <w:pPr>
        <w:pStyle w:val="CaptionedFigure"/>
      </w:pPr>
      <w:r>
        <w:drawing>
          <wp:inline>
            <wp:extent cx="5334000" cy="6477000"/>
            <wp:effectExtent b="0" l="0" r="0" t="0"/>
            <wp:docPr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title="" id="22" name="Picture"/>
            <a:graphic>
              <a:graphicData uri="http://schemas.openxmlformats.org/drawingml/2006/picture">
                <pic:pic>
                  <pic:nvPicPr>
                    <pic:cNvPr descr="Graphics%20and%20Supplements/Ch.%202%20Scott%20valley%20setting%20and%20land%20use.png" id="23" name="Picture"/>
                    <pic:cNvPicPr>
                      <a:picLocks noChangeArrowheads="1" noChangeAspect="1"/>
                    </pic:cNvPicPr>
                  </pic:nvPicPr>
                  <pic:blipFill>
                    <a:blip r:embed="rId21"/>
                    <a:stretch>
                      <a:fillRect/>
                    </a:stretch>
                  </pic:blipFill>
                  <pic:spPr bwMode="auto">
                    <a:xfrm>
                      <a:off x="0" y="0"/>
                      <a:ext cx="5334000" cy="6477000"/>
                    </a:xfrm>
                    <a:prstGeom prst="rect">
                      <a:avLst/>
                    </a:prstGeom>
                    <a:noFill/>
                    <a:ln w="9525">
                      <a:noFill/>
                      <a:headEnd/>
                      <a:tailEnd/>
                    </a:ln>
                  </pic:spPr>
                </pic:pic>
              </a:graphicData>
            </a:graphic>
          </wp:inline>
        </w:drawing>
      </w:r>
    </w:p>
    <w:p>
      <w:pPr>
        <w:pStyle w:val="ImageCaption"/>
      </w:pPr>
      <w:bookmarkStart w:id="24" w:name="fig:scottLanduseMap"/>
      <w:bookmarkEnd w:id="24"/>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w:t>
      </w:r>
      <w:r>
        <w:t xml:space="preserve"> </w:t>
      </w:r>
    </w:p>
    <w:bookmarkEnd w:id="25"/>
    <w:bookmarkStart w:id="44" w:name="X1d0ab14f4559910db365e3bb8ee13a97d99320e"/>
    <w:p>
      <w:pPr>
        <w:pStyle w:val="Heading1"/>
      </w:pPr>
      <w:r>
        <w:rPr>
          <w:rStyle w:val="SectionNumber"/>
        </w:rPr>
        <w:t xml:space="preserve">2</w:t>
      </w:r>
      <w:r>
        <w:tab/>
      </w:r>
      <w:r>
        <w:t xml:space="preserve">Background: Case study and GSP development</w:t>
      </w:r>
    </w:p>
    <w:bookmarkStart w:id="30" w:name="hydrography-and-climate"/>
    <w:p>
      <w:pPr>
        <w:pStyle w:val="Heading2"/>
      </w:pPr>
      <w:r>
        <w:rPr>
          <w:rStyle w:val="SectionNumber"/>
        </w:rPr>
        <w:t xml:space="preserve">2.1</w:t>
      </w:r>
      <w:r>
        <w:tab/>
      </w:r>
      <w:r>
        <w:t xml:space="preserve">Hydrography and climate</w:t>
      </w:r>
    </w:p>
    <w:p>
      <w:pPr>
        <w:pStyle w:val="FirstParagraph"/>
      </w:pPr>
      <w:r>
        <w:t xml:space="preserve">The Scott River drains a 2,109 km</w:t>
      </w:r>
      <w:r>
        <w:rPr>
          <w:vertAlign w:val="superscript"/>
        </w:rPr>
        <w:t xml:space="preserve">2</w:t>
      </w:r>
      <w:r>
        <w:t xml:space="preserve"> </w:t>
      </w:r>
      <w:r>
        <w:t xml:space="preserve">(814 square mile) intermontane watershed known as Scott Valley, with forested uplands and a largely agricultural valley floor (Figure</w:t>
      </w:r>
      <w:r>
        <w:t xml:space="preserve"> </w:t>
      </w:r>
      <w:r>
        <w:t xml:space="preserve">1</w:t>
      </w:r>
      <w:r>
        <w:t xml:space="preserve">) overlying an alluvial aquifer up to 79 m (260 ft) thick</w:t>
      </w:r>
      <w:r>
        <w:t xml:space="preserve"> </w:t>
      </w:r>
      <w:r>
        <w:t xml:space="preserve">(SWRCB 1975; Mack 1958)</w:t>
      </w:r>
      <w:r>
        <w:t xml:space="preserve">. A key stream gauge (USGS Station ID 11519500, or the Fort Jones Gauge or FJ Gauge) is located downstream of the watershed’s cultivated areas (Figure</w:t>
      </w:r>
      <w:r>
        <w:t xml:space="preserve"> </w:t>
      </w:r>
      <w:r>
        <w:t xml:space="preserve">1</w:t>
      </w:r>
      <w:r>
        <w:t xml:space="preserve">).</w:t>
      </w:r>
    </w:p>
    <w:p>
      <w:pPr>
        <w:pStyle w:val="BodyText"/>
      </w:pPr>
      <w:r>
        <w:t xml:space="preserve">Scott Valley has a Mediterranean precipitation regime with distinctive seasons of cold, wet winters and warm, dry summers (Figure</w:t>
      </w:r>
      <w:r>
        <w:t xml:space="preserve"> </w:t>
      </w:r>
      <w:r>
        <w:t xml:space="preserve">2</w:t>
      </w:r>
      <w:r>
        <w:t xml:space="preserve">, panels A and B). Winter storms (October-April) and melting mountain snowpack (April-July) generate streamflow during the wet and growing seasons. As a result, the Scott River and tributary streams experience seasonal high and low flows (Figure</w:t>
      </w:r>
      <w:r>
        <w:t xml:space="preserve"> </w:t>
      </w:r>
      <w:r>
        <w:t xml:space="preserve">2</w:t>
      </w:r>
      <w:r>
        <w:t xml:space="preserve">, panel C).</w:t>
      </w:r>
    </w:p>
    <w:p>
      <w:pPr>
        <w:pStyle w:val="BodyText"/>
      </w:pPr>
      <w:r>
        <w:t xml:space="preserve">Streams and groundwater are highly interconnected in the Scott River watershed</w:t>
      </w:r>
      <w:r>
        <w:t xml:space="preserve"> </w:t>
      </w:r>
      <w:r>
        <w:t xml:space="preserve">(Tolley, Foglia, and Harter 2019)</w:t>
      </w:r>
      <w:r>
        <w:t xml:space="preserve">.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w:t>
      </w:r>
      <w:r>
        <w:t xml:space="preserve"> </w:t>
      </w:r>
      <w:r>
        <w:t xml:space="preserve">(Tolley, Foglia, and Harter 2019)</w:t>
      </w:r>
      <w:r>
        <w:t xml:space="preserve">.</w:t>
      </w:r>
    </w:p>
    <w:p>
      <w:pPr>
        <w:pStyle w:val="SourceCode"/>
      </w:pPr>
      <w:r>
        <w:rPr>
          <w:rStyle w:val="VerbatimChar"/>
        </w:rPr>
        <w:t xml:space="preserve">## png </w:t>
      </w:r>
      <w:r>
        <w:br/>
      </w:r>
      <w:r>
        <w:rPr>
          <w:rStyle w:val="VerbatimChar"/>
        </w:rPr>
        <w:t xml:space="preserve">##   2</w:t>
      </w:r>
    </w:p>
    <w:p>
      <w:pPr>
        <w:pStyle w:val="CaptionedFigure"/>
      </w:pPr>
      <w:r>
        <w:drawing>
          <wp:inline>
            <wp:extent cx="5334000" cy="4445000"/>
            <wp:effectExtent b="0" l="0" r="0" t="0"/>
            <wp:docPr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title="" id="27" name="Picture"/>
            <a:graphic>
              <a:graphicData uri="http://schemas.openxmlformats.org/drawingml/2006/picture">
                <pic:pic>
                  <pic:nvPicPr>
                    <pic:cNvPr descr="Graphics%20and%20Supplements/Figure%201.png" id="28" name="Picture"/>
                    <pic:cNvPicPr>
                      <a:picLocks noChangeArrowheads="1" noChangeAspect="1"/>
                    </pic:cNvPicPr>
                  </pic:nvPicPr>
                  <pic:blipFill>
                    <a:blip r:embed="rId2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bookmarkStart w:id="29" w:name="fig:precipAndTempFigure"/>
      <w:bookmarkEnd w:id="29"/>
      <w:r>
        <w:t xml:space="preserve">Figure 2:</w:t>
      </w:r>
      <w:r>
        <w:t xml:space="preserve"> </w:t>
      </w:r>
      <w:r>
        <w:t xml:space="preserve"> </w:t>
      </w:r>
      <w:r>
        <w:t xml:space="preserve">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bookmarkEnd w:id="30"/>
    <w:bookmarkStart w:id="42" w:name="land-and-water-uses"/>
    <w:p>
      <w:pPr>
        <w:pStyle w:val="Heading2"/>
      </w:pPr>
      <w:r>
        <w:rPr>
          <w:rStyle w:val="SectionNumber"/>
        </w:rPr>
        <w:t xml:space="preserve">2.2</w:t>
      </w:r>
      <w:r>
        <w:tab/>
      </w:r>
      <w:r>
        <w:t xml:space="preserve">Land and water uses</w:t>
      </w:r>
    </w:p>
    <w:p>
      <w:pPr>
        <w:pStyle w:val="FirstParagraph"/>
      </w:pPr>
      <w:r>
        <w:t xml:space="preserve">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w:t>
      </w:r>
      <w:r>
        <w:t xml:space="preserve"> </w:t>
      </w:r>
      <w:r>
        <w:t xml:space="preserve">(Siskiyou County 2021)</w:t>
      </w:r>
      <w:r>
        <w:t xml:space="preserve">.</w:t>
      </w:r>
    </w:p>
    <w:p>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w:t>
      </w:r>
      <w:r>
        <w:t xml:space="preserve"> </w:t>
      </w:r>
      <w:r>
        <w:t xml:space="preserve">(Harter and Hines 2008)</w:t>
      </w:r>
      <w:r>
        <w:t xml:space="preserve">. On the valley floor, according to land use surveys conducted by the California Department of Water Resources</w:t>
      </w:r>
      <w:r>
        <w:t xml:space="preserve"> </w:t>
      </w:r>
      <w:r>
        <w:t xml:space="preserve">(DWR 2017)</w:t>
      </w:r>
      <w:r>
        <w:t xml:space="preserve">, half of the area overlying the alluvial aquifer is covered by irrigated agriculture, notably pasture for cattle and an alfalfa/grain rotation (Figure</w:t>
      </w:r>
      <w:r>
        <w:t xml:space="preserve"> </w:t>
      </w:r>
      <w:r>
        <w:t xml:space="preserve">1</w:t>
      </w:r>
      <w:r>
        <w:t xml:space="preserve">; Table</w:t>
      </w:r>
      <w:r>
        <w:t xml:space="preserve"> </w:t>
      </w:r>
      <w:r>
        <w:t xml:space="preserve">1</w:t>
      </w:r>
      <w:r>
        <w:t xml:space="preserve">).</w:t>
      </w:r>
    </w:p>
    <w:p>
      <w:pPr>
        <w:pStyle w:val="BodyText"/>
      </w:pPr>
      <w:r>
        <w:t xml:space="preserve">Historically, local regulation of land use has focused on maintaining the rural and agricultural character of Scott Valley</w:t>
      </w:r>
      <w:r>
        <w:t xml:space="preserve"> </w:t>
      </w:r>
      <w:r>
        <w:t xml:space="preserve">(Scott Valley Area Plan Committee 1980)</w:t>
      </w:r>
      <w:r>
        <w:t xml:space="preserve">. However, during recent declarations of emergency drought conditions, water use has been temporarily curtailed to preserve flows for aquatic species</w:t>
      </w:r>
      <w:r>
        <w:t xml:space="preserve"> </w:t>
      </w:r>
      <w:r>
        <w:t xml:space="preserve">(SWRCB 2021;</w:t>
      </w:r>
      <w:r>
        <w:t xml:space="preserve"> </w:t>
      </w:r>
      <w:r>
        <w:t xml:space="preserve">“Establishment of</w:t>
      </w:r>
      <w:r>
        <w:t xml:space="preserve"> </w:t>
      </w:r>
      <w:r>
        <w:t xml:space="preserve">Minimum Instream Flow Requirements</w:t>
      </w:r>
      <w:r>
        <w:t xml:space="preserve">,</w:t>
      </w:r>
      <w:r>
        <w:t xml:space="preserve"> </w:t>
      </w:r>
      <w:r>
        <w:t xml:space="preserve">Curtailment Authority</w:t>
      </w:r>
      <w:r>
        <w:t xml:space="preserve">, and</w:t>
      </w:r>
      <w:r>
        <w:t xml:space="preserve"> </w:t>
      </w:r>
      <w:r>
        <w:t xml:space="preserve">Information Order Authority</w:t>
      </w:r>
      <w:r>
        <w:t xml:space="preserve"> </w:t>
      </w:r>
      <w:r>
        <w:t xml:space="preserve">in the</w:t>
      </w:r>
      <w:r>
        <w:t xml:space="preserve"> </w:t>
      </w:r>
      <w:r>
        <w:t xml:space="preserve">Scott River</w:t>
      </w:r>
      <w:r>
        <w:t xml:space="preserve"> </w:t>
      </w:r>
      <w:r>
        <w:t xml:space="preserve">and</w:t>
      </w:r>
      <w:r>
        <w:t xml:space="preserve"> </w:t>
      </w:r>
      <w:r>
        <w:t xml:space="preserve">Shasta River Watersheds</w:t>
      </w:r>
      <w:r>
        <w:t xml:space="preserve">”</w:t>
      </w:r>
      <w:r>
        <w:t xml:space="preserve"> </w:t>
      </w:r>
      <w:r>
        <w:t xml:space="preserve">2024; STATE WATER RESOURCES CONTROL BOARD 2024)</w:t>
      </w:r>
      <w:r>
        <w:t xml:space="preserve">.</w:t>
      </w:r>
    </w:p>
    <w:p>
      <w:pPr>
        <w:pStyle w:val="TableCaption"/>
      </w:pPr>
      <w:bookmarkStart w:id="31" w:name="tab:scottLanduseTable"/>
      <w:bookmarkEnd w:id="31"/>
      <w:r>
        <w:t xml:space="preserve">Table 1:</w:t>
      </w:r>
      <w:r>
        <w:t xml:space="preserve"> </w:t>
      </w:r>
      <w:r>
        <w:t xml:space="preserve">Acreage and percent of total Basin area covered by generalized land uses as reported in DWR's 2016 land use survey.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6"/>
        <w:gridCol w:w="1206"/>
        <w:gridCol w:w="3064"/>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Land Use 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Percent of Watershed Area</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Native Vegetation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378,005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89.4</w:t>
            </w:r>
          </w:p>
        </w:tc>
      </w:tr>
      <w:tr>
        <w:trPr>
          <w:trHeight w:val="60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Alfalfa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60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Residential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r>
      <w:tr>
        <w:trPr>
          <w:trHeight w:val="60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r>
      <w:tr>
        <w:trPr>
          <w:trHeight w:val="60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w:t>
            </w:r>
          </w:p>
        </w:tc>
      </w:tr>
      <w:tr>
        <w:trPr>
          <w:trHeight w:val="60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r>
      <w:tr>
        <w:trPr>
          <w:trHeight w:val="571"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615"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Other Crops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bl>
    <w:bookmarkStart w:id="32" w:name="environmental-stream-flows"/>
    <w:p>
      <w:pPr>
        <w:pStyle w:val="Heading3"/>
      </w:pPr>
      <w:r>
        <w:rPr>
          <w:rStyle w:val="SectionNumber"/>
        </w:rPr>
        <w:t xml:space="preserve">2.2.1</w:t>
      </w:r>
      <w:r>
        <w:tab/>
      </w:r>
      <w:r>
        <w:t xml:space="preserve">Environmental stream flows</w:t>
      </w:r>
    </w:p>
    <w:p>
      <w:pPr>
        <w:pStyle w:val="FirstParagraph"/>
      </w:pPr>
      <w:r>
        <w:t xml:space="preserve">Sufficient environmental flows, varying by season, are necessary to the survival of vulnerable species in the Scott River watershed</w:t>
      </w:r>
      <w:r>
        <w:t xml:space="preserve"> </w:t>
      </w:r>
      <w:r>
        <w:t xml:space="preserve">(Scott River Watershed Council 2018)</w:t>
      </w:r>
      <w:r>
        <w:t xml:space="preserve">. Coho salmon (</w:t>
      </w:r>
      <w:r>
        <w:rPr>
          <w:i/>
          <w:iCs/>
        </w:rPr>
        <w:t xml:space="preserve">Oncorhynchus kisutch</w:t>
      </w:r>
      <w:r>
        <w:t xml:space="preserve">)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w:t>
      </w:r>
      <w:r>
        <w:t xml:space="preserve"> </w:t>
      </w:r>
      <w:r>
        <w:t xml:space="preserve">(Brown, Moyle, and Yoshiyama 1994)</w:t>
      </w:r>
      <w:r>
        <w:t xml:space="preserve">.</w:t>
      </w:r>
    </w:p>
    <w:p>
      <w:pPr>
        <w:pStyle w:val="BodyText"/>
      </w:pPr>
      <w:r>
        <w:t xml:space="preserve">To complete their life cycle, coho salmon require several key functional flows in the Scott Valley freshwater stream system</w:t>
      </w:r>
      <w:r>
        <w:t xml:space="preserve"> </w:t>
      </w:r>
      <w:r>
        <w:t xml:space="preserve">(Kouba et al. 2025)</w:t>
      </w:r>
      <w:r>
        <w:t xml:space="preserve">, including the following:</w:t>
      </w:r>
    </w:p>
    <w:p>
      <w:pPr>
        <w:pStyle w:val="Compact"/>
        <w:numPr>
          <w:ilvl w:val="0"/>
          <w:numId w:val="1001"/>
        </w:numPr>
      </w:pPr>
      <w:r>
        <w:t xml:space="preserve">Fall flows, increasing after the dry season in response to early wet season storms, that occur early enough to provide adult fall-run spawners access to preferred spawning reaches;</w:t>
      </w:r>
    </w:p>
    <w:p>
      <w:pPr>
        <w:pStyle w:val="Compact"/>
        <w:numPr>
          <w:ilvl w:val="0"/>
          <w:numId w:val="1001"/>
        </w:numPr>
      </w:pPr>
      <w:r>
        <w:t xml:space="preserve">Flows providing habitat for rearing juvenile salmon for their ~12-15 months of freshwater residence; and</w:t>
      </w:r>
    </w:p>
    <w:p>
      <w:pPr>
        <w:pStyle w:val="Compact"/>
        <w:numPr>
          <w:ilvl w:val="0"/>
          <w:numId w:val="1001"/>
        </w:numPr>
      </w:pPr>
      <w:r>
        <w:t xml:space="preserve">Sufficient flow in the spring for yearling smolts to migrate to the ocean.</w:t>
      </w:r>
    </w:p>
    <w:p>
      <w:pPr>
        <w:pStyle w:val="FirstParagraph"/>
      </w:pPr>
      <w:r>
        <w:t xml:space="preserve">Different functional flows are needed by other fish, such as Chinook</w:t>
      </w:r>
      <w:r>
        <w:t xml:space="preserve"> </w:t>
      </w:r>
      <w:r>
        <w:t xml:space="preserve">(Kouba et al. 2025)</w:t>
      </w:r>
      <w:r>
        <w:t xml:space="preserve">; as well other species, such as cottonwood trees, which require flood-stage flows to disperse their seeds</w:t>
      </w:r>
      <w:r>
        <w:t xml:space="preserve"> </w:t>
      </w:r>
      <w:r>
        <w:t xml:space="preserve">(Mahoney and Rood 1998)</w:t>
      </w:r>
      <w:r>
        <w:t xml:space="preserve">; but in this work we focus on coho salmon as a straightforward example in developing an environmental objective function. Alternative objective function formulations are discussed in later sections.</w:t>
      </w:r>
    </w:p>
    <w:bookmarkEnd w:id="32"/>
    <w:bookmarkStart w:id="41" w:name="agricultural-water-demand"/>
    <w:p>
      <w:pPr>
        <w:pStyle w:val="Heading3"/>
      </w:pPr>
      <w:r>
        <w:rPr>
          <w:rStyle w:val="SectionNumber"/>
        </w:rPr>
        <w:t xml:space="preserve">2.2.2</w:t>
      </w:r>
      <w:r>
        <w:tab/>
      </w:r>
      <w:r>
        <w:t xml:space="preserve">Agricultural water demand</w:t>
      </w:r>
    </w:p>
    <w:p>
      <w:pPr>
        <w:pStyle w:val="FirstParagraph"/>
      </w:pPr>
      <w:r>
        <w:t xml:space="preserve">Agricultural water demand in Scott Valley has been simulated for a historical model period of Oct. 1, 1990 to Sept. 30, 2025, using the calibrated Scott Valley Integrated Hydrologic Model (SVIHM)</w:t>
      </w:r>
      <w:r>
        <w:t xml:space="preserve"> </w:t>
      </w:r>
      <w:r>
        <w:t xml:space="preserve">(Harter and Hines 2008; Foglia et al. 2013; Tolley, Foglia, and Harter 2019)</w:t>
      </w:r>
      <w:r>
        <w:t xml:space="preserve">. Water demand for crops and native vegetation (evapotranspiration, or ET, in Figure</w:t>
      </w:r>
      <w:r>
        <w:t xml:space="preserve"> </w:t>
      </w:r>
      <w:r>
        <w:t xml:space="preserve">3</w:t>
      </w:r>
      <w:r>
        <w:t xml:space="preserve">) and applied irrigation volumes (diverted surface water and pumped groundwater, noted as SW and GW Irrigation in Figure</w:t>
      </w:r>
      <w:r>
        <w:t xml:space="preserve"> </w:t>
      </w:r>
      <w:r>
        <w:t xml:space="preserve">3</w:t>
      </w:r>
      <w:r>
        <w:t xml:space="preserve">) are highest in the late summer. Annual crop ET and irrigation demand is relatively stable year to year while precipitation, and thus recharge to groundwater, are more variable (Figure</w:t>
      </w:r>
      <w:r>
        <w:t xml:space="preserve"> </w:t>
      </w:r>
      <w:r>
        <w:t xml:space="preserve">4</w:t>
      </w:r>
      <w:r>
        <w:t xml:space="preserve">).</w:t>
      </w:r>
    </w:p>
    <w:p>
      <w:pPr>
        <w:pStyle w:val="BodyText"/>
      </w:pPr>
      <w:r>
        <w:t xml:space="preserve">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w:t>
      </w:r>
      <w:r>
        <w:t xml:space="preserve"> </w:t>
      </w:r>
      <w:r>
        <w:t xml:space="preserve">(Tolley, Foglia, and Harter 2019)</w:t>
      </w:r>
      <w:r>
        <w:t xml:space="preserve">.</w:t>
      </w:r>
    </w:p>
    <w:p>
      <w:pPr>
        <w:pStyle w:val="BodyText"/>
      </w:pPr>
      <w:r>
        <w:t xml:space="preserve">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pPr>
        <w:pStyle w:val="CaptionedFigure"/>
      </w:pPr>
      <w:r>
        <w:drawing>
          <wp:inline>
            <wp:extent cx="5334000" cy="3048000"/>
            <wp:effectExtent b="0" l="0" r="0" t="0"/>
            <wp:docPr descr="Figure 3:  Average monthly water budget for the soil zone, simulated with SVIHM, for the model simulation period (water years 1991-2018). Positive and negative values indicate average net monthly fluxes into and out of the soil zone, respectively." title="" id="34" name="Picture"/>
            <a:graphic>
              <a:graphicData uri="http://schemas.openxmlformats.org/drawingml/2006/picture">
                <pic:pic>
                  <pic:nvPicPr>
                    <pic:cNvPr descr="Graphics%20and%20Supplements/Figure%202.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36" w:name="fig:avgWaterBudgetFig"/>
      <w:bookmarkEnd w:id="36"/>
      <w:r>
        <w:t xml:space="preserve">Figure 3:</w:t>
      </w:r>
      <w:r>
        <w:t xml:space="preserve"> </w:t>
      </w:r>
      <w:r>
        <w:t xml:space="preserve"> </w:t>
      </w:r>
      <w:r>
        <w:t xml:space="preserve">Average monthly water budget for the soil zone, simulated with SVIHM, for the model simulation period (water years 1991-2018). Positive and negative values indicate average net monthly fluxes into and out of the soil zone, respectively.</w:t>
      </w:r>
    </w:p>
    <w:p>
      <w:pPr>
        <w:pStyle w:val="SourceCode"/>
      </w:pPr>
      <w:r>
        <w:rPr>
          <w:rStyle w:val="VerbatimChar"/>
        </w:rPr>
        <w:t xml:space="preserve">## png </w:t>
      </w:r>
      <w:r>
        <w:br/>
      </w:r>
      <w:r>
        <w:rPr>
          <w:rStyle w:val="VerbatimChar"/>
        </w:rPr>
        <w:t xml:space="preserve">##   2</w:t>
      </w:r>
    </w:p>
    <w:p>
      <w:pPr>
        <w:pStyle w:val="CaptionedFigure"/>
      </w:pPr>
      <w:r>
        <w:drawing>
          <wp:inline>
            <wp:extent cx="5334000" cy="3048000"/>
            <wp:effectExtent b="0" l="0" r="0" t="0"/>
            <wp:docPr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title="" id="38" name="Picture"/>
            <a:graphic>
              <a:graphicData uri="http://schemas.openxmlformats.org/drawingml/2006/picture">
                <pic:pic>
                  <pic:nvPicPr>
                    <pic:cNvPr descr="Graphics%20and%20Supplements/Figure%203.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40" w:name="fig:annualSWBMBudget"/>
      <w:bookmarkEnd w:id="40"/>
      <w:r>
        <w:t xml:space="preserve">Figure 4:</w:t>
      </w:r>
      <w:r>
        <w:t xml:space="preserve"> </w:t>
      </w:r>
      <w:r>
        <w:t xml:space="preserve"> </w:t>
      </w:r>
      <w:r>
        <w:t xml:space="preserve">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bookmarkEnd w:id="41"/>
    <w:bookmarkEnd w:id="42"/>
    <w:bookmarkStart w:id="43" w:name="gsp-development"/>
    <w:p>
      <w:pPr>
        <w:pStyle w:val="Heading2"/>
      </w:pPr>
      <w:r>
        <w:rPr>
          <w:rStyle w:val="SectionNumber"/>
        </w:rPr>
        <w:t xml:space="preserve">2.3</w:t>
      </w:r>
      <w:r>
        <w:tab/>
      </w:r>
      <w:r>
        <w:t xml:space="preserve">GSP development</w:t>
      </w:r>
    </w:p>
    <w:p>
      <w:pPr>
        <w:pStyle w:val="FirstParagraph"/>
      </w:pPr>
      <w:r>
        <w:t xml:space="preserve">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w:t>
      </w:r>
      <w:r>
        <w:t xml:space="preserve"> </w:t>
      </w:r>
      <w:r>
        <w:t xml:space="preserve">(Siskiyou County 2021)</w:t>
      </w:r>
      <w:r>
        <w:t xml:space="preserve">.</w:t>
      </w:r>
    </w:p>
    <w:p>
      <w:pPr>
        <w:pStyle w:val="BodyText"/>
      </w:pPr>
      <w:r>
        <w:t xml:space="preserve">SGMA requires each local GSA to define sustainability in the negative, by quantifying and then avoiding</w:t>
      </w:r>
      <w:r>
        <w:t xml:space="preserve"> </w:t>
      </w:r>
      <w:r>
        <w:t xml:space="preserve">“undesirable results”</w:t>
      </w:r>
      <w:r>
        <w:t xml:space="preserve"> </w:t>
      </w:r>
      <w:r>
        <w:t xml:space="preserve">that would be</w:t>
      </w:r>
      <w:r>
        <w:t xml:space="preserve"> </w:t>
      </w:r>
      <w:r>
        <w:t xml:space="preserve">“significant and unreasonable”</w:t>
      </w:r>
      <w:r>
        <w:t xml:space="preserve">. The central undesirable result in Scott Valley is streamflow depletion due to groundwater pumping. Consequently, a central challenge of GSP development was deciding the amount of (estimated) streamflow depletion that the GSA should aim to reverse, accounting for environmental water demand and what degree of water security was owed to local agriculture.</w:t>
      </w:r>
    </w:p>
    <w:p>
      <w:pPr>
        <w:pStyle w:val="BodyText"/>
      </w:pPr>
      <w:r>
        <w:t xml:space="preserve">During GSP development, 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w:t>
      </w:r>
      <w:r>
        <w:t xml:space="preserve"> </w:t>
      </w:r>
      <w:r>
        <w:t xml:space="preserve">(Tolley, Foglia, and Harter 2019)</w:t>
      </w:r>
      <w:r>
        <w:t xml:space="preserve">, as described below.</w:t>
      </w:r>
    </w:p>
    <w:bookmarkEnd w:id="43"/>
    <w:bookmarkEnd w:id="44"/>
    <w:bookmarkStart w:id="58" w:name="methods"/>
    <w:p>
      <w:pPr>
        <w:pStyle w:val="Heading1"/>
      </w:pPr>
      <w:r>
        <w:rPr>
          <w:rStyle w:val="SectionNumber"/>
        </w:rPr>
        <w:t xml:space="preserve">3</w:t>
      </w:r>
      <w:r>
        <w:tab/>
      </w:r>
      <w:r>
        <w:t xml:space="preserve">Methods</w:t>
      </w:r>
    </w:p>
    <w:p>
      <w:pPr>
        <w:pStyle w:val="FirstParagraph"/>
      </w:pPr>
      <w:r>
        <w:t xml:space="preserve">We developed two objective functions and one categorical objective proxy to evaluate the management scenarios developed for the GSP. The three objectives were:</w:t>
      </w:r>
    </w:p>
    <w:p>
      <w:pPr>
        <w:pStyle w:val="Compact"/>
        <w:numPr>
          <w:ilvl w:val="0"/>
          <w:numId w:val="1002"/>
        </w:numPr>
      </w:pPr>
      <w:r>
        <w:t xml:space="preserve">maximize specific environmental flows,</w:t>
      </w:r>
    </w:p>
    <w:p>
      <w:pPr>
        <w:pStyle w:val="Compact"/>
        <w:numPr>
          <w:ilvl w:val="0"/>
          <w:numId w:val="1002"/>
        </w:numPr>
      </w:pPr>
      <w:r>
        <w:t xml:space="preserve">maintain current levels of agricultural productivity (represented as minimizing reduction in agricultural water use), and</w:t>
      </w:r>
    </w:p>
    <w:p>
      <w:pPr>
        <w:pStyle w:val="Compact"/>
        <w:numPr>
          <w:ilvl w:val="0"/>
          <w:numId w:val="1002"/>
        </w:numPr>
      </w:pPr>
      <w:r>
        <w:t xml:space="preserve">minimize new infrastructure costs (represented as a categorical infrastructure/feasibility proxy) (Table</w:t>
      </w:r>
      <w:r>
        <w:t xml:space="preserve"> </w:t>
      </w:r>
      <w:r>
        <w:t xml:space="preserve">2</w:t>
      </w:r>
      <w:r>
        <w:t xml:space="preserve">).</w:t>
      </w:r>
    </w:p>
    <w:p>
      <w:pPr>
        <w:pStyle w:val="FirstParagraph"/>
      </w:pPr>
      <w:r>
        <w:t xml:space="preserve">We then applied these to the results of each simulated management scenario, found the Pareto-optimal set of scenarios, and compared them to the prioritization of management actions adopted in the GSP</w:t>
      </w:r>
      <w:r>
        <w:t xml:space="preserve"> </w:t>
      </w:r>
      <w:r>
        <w:t xml:space="preserve">(Siskiyou County 2021)</w:t>
      </w:r>
      <w:r>
        <w:t xml:space="preserve">.</w:t>
      </w:r>
    </w:p>
    <w:p>
      <w:pPr>
        <w:pStyle w:val="TableCaption"/>
      </w:pPr>
      <w:bookmarkStart w:id="45" w:name="tab:objFunctionTable"/>
      <w:bookmarkEnd w:id="45"/>
      <w:r>
        <w:t xml:space="preserve">Table 2:</w:t>
      </w:r>
      <w:r>
        <w:t xml:space="preserve"> </w:t>
      </w:r>
      <w:r>
        <w:t xml:space="preserve">Management objectives and description of objective functions applied to summarize scenario performance.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Management Objective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Objective Function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Maximize specific environmental flows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Hydrologic Benefit function, based on flow metrics empirically correlated with coho salmon reproduction rates (higher values preferred)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reduction of agricultural water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ET volume over model domain (higher values preferred)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new infrastructure investment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Feasibility category of 1-4 (lower values preferred)</w:t>
            </w:r>
          </w:p>
        </w:tc>
      </w:tr>
    </w:tbl>
    <w:bookmarkStart w:id="51" w:name="objective-functions"/>
    <w:p>
      <w:pPr>
        <w:pStyle w:val="Heading2"/>
      </w:pPr>
      <w:r>
        <w:rPr>
          <w:rStyle w:val="SectionNumber"/>
        </w:rPr>
        <w:t xml:space="preserve">3.1</w:t>
      </w:r>
      <w:r>
        <w:tab/>
      </w:r>
      <w:r>
        <w:t xml:space="preserve">Objective functions</w:t>
      </w:r>
    </w:p>
    <w:bookmarkStart w:id="46" w:name="hydrologic-benefit-function"/>
    <w:p>
      <w:pPr>
        <w:pStyle w:val="Heading3"/>
      </w:pPr>
      <w:r>
        <w:rPr>
          <w:rStyle w:val="SectionNumber"/>
        </w:rPr>
        <w:t xml:space="preserve">3.1.1</w:t>
      </w:r>
      <w:r>
        <w:tab/>
      </w:r>
      <w:r>
        <w:t xml:space="preserve">Hydrologic Benefit function</w:t>
      </w:r>
    </w:p>
    <w:p>
      <w:pPr>
        <w:pStyle w:val="FirstParagraph"/>
      </w:pPr>
      <w:r>
        <w:t xml:space="preserve">In previous work</w:t>
      </w:r>
      <w:r>
        <w:t xml:space="preserve"> </w:t>
      </w:r>
      <w:r>
        <w:t xml:space="preserve">(Kouba et al. 2025)</w:t>
      </w:r>
      <w:r>
        <w:t xml:space="preserve">, we showed that the relative degree to which a given water year provided ecological services needed by coho salmon can be empirically estimated using a Hydrologic Benefit (HB) function, which is represented as a linear combination of annual functional flow values. Functional flows are set of streamflow metrics related to the timing, amplitude, and duration of flow phenomena</w:t>
      </w:r>
      <w:r>
        <w:t xml:space="preserve"> </w:t>
      </w:r>
      <w:r>
        <w:t xml:space="preserve">(Yarnell et al. 2015; Patterson et al. 2020; Carpenter 2024)</w:t>
      </w:r>
      <w:r>
        <w:t xml:space="preserve"> </w:t>
      </w:r>
      <w:r>
        <w:t xml:space="preserve">were weighted according to their power to predict coho outcomes, such as smolt production or smolt production normalized per female spawner. The combination of these weighted metrics can be interpreted as a prediction of coho salmon reproduction</w:t>
      </w:r>
      <w:r>
        <w:t xml:space="preserve"> </w:t>
      </w:r>
      <w:r>
        <w:rPr>
          <w:i/>
          <w:iCs/>
        </w:rPr>
        <w:t xml:space="preserve">due to hydrologic factors</w:t>
      </w:r>
      <w:r>
        <w:t xml:space="preserve">. Importantly, the HB function selected for this exercise only explains about</w:t>
      </w:r>
      <w:r>
        <w:t xml:space="preserve"> </w:t>
      </w:r>
      <w:r>
        <w:rPr>
          <w:b/>
          <w:bCs/>
        </w:rPr>
        <w:t xml:space="preserve">60%</w:t>
      </w:r>
      <w:r>
        <w:t xml:space="preserve"> </w:t>
      </w:r>
      <w:r>
        <w:t xml:space="preserve">of variation in observed smolt abundance, and the remaining 40% of variation is assumed related to other life conditions, e.g., number of returning spawners, water quality, food resources, and internal fishery population dynamics.</w:t>
      </w:r>
    </w:p>
    <w:p>
      <w:pPr>
        <w:pStyle w:val="BodyText"/>
      </w:pPr>
      <w:r>
        <w:t xml:space="preserve">Specifically, the HB function predicts a higher number of coho smolt produced (coho smolt-equivalent) is related to higher fall flows during a cohort’s parents’ spawning, lower fall flows during a cohort’s time as overwintering yearlings, and a slower spring recession (see intercept and coefficient values in Table</w:t>
      </w:r>
      <w:r>
        <w:t xml:space="preserve"> </w:t>
      </w:r>
      <w:r>
        <w:t xml:space="preserve">3</w:t>
      </w:r>
      <w:r>
        <w:t xml:space="preserve">).</w:t>
      </w:r>
    </w:p>
    <w:p>
      <w:pPr>
        <w:pStyle w:val="BodyText"/>
      </w:pPr>
      <w:r>
        <w:rPr>
          <w:b/>
          <w:bCs/>
        </w:rPr>
        <w:t xml:space="preserve">language on selecting smolt based on hydro only predictors, and only for coho</w:t>
      </w:r>
    </w:p>
    <w:bookmarkEnd w:id="46"/>
    <w:bookmarkStart w:id="48" w:name="ensemble-hb-function"/>
    <w:p>
      <w:pPr>
        <w:pStyle w:val="Heading3"/>
      </w:pPr>
      <w:r>
        <w:rPr>
          <w:rStyle w:val="SectionNumber"/>
        </w:rPr>
        <w:t xml:space="preserve">3.1.2</w:t>
      </w:r>
      <w:r>
        <w:tab/>
      </w:r>
      <w:r>
        <w:t xml:space="preserve">Ensemble HB function</w:t>
      </w:r>
    </w:p>
    <w:p>
      <w:pPr>
        <w:pStyle w:val="FirstParagraph"/>
      </w:pPr>
      <w:r>
        <w:t xml:space="preserve">For each species, across all statistical methods, the coefficients for any single predictor were consistently negative or positive; e.g.,</w:t>
      </w:r>
    </w:p>
    <w:p>
      <w:pPr>
        <w:pStyle w:val="TableCaption"/>
      </w:pPr>
      <w:bookmarkStart w:id="47" w:name="tab:coefTab"/>
      <w:bookmarkEnd w:id="47"/>
      <w:r>
        <w:t xml:space="preserve">Table 3:</w:t>
      </w:r>
      <w:r>
        <w:t xml:space="preserve"> </w:t>
      </w:r>
      <w:r>
        <w:t xml:space="preserve">Coefficients for the Hydrologic Benefit function, an emperical estimate of ecological services provided to coho salmon by specific functional flows. The predicted value is in units of log10(coho smolt) produced due to hydrologic factors.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Larger fall flow increase (during parents' spawning)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dry season flows (early season, before parents' spawning)</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Higher wet season baseflows (as eggs and hatchlings)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Higher wet season baseflows (as overwintering juveniles)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Earlier wet season onset (as eggs and fry)</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Slower rate of change, spring recession (as recent hatchlings)</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Smaller fall flow increase (as juvenile fish)</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f1_recon_120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Earlier fall reconnection (during parents' spawning)</w:t>
            </w:r>
          </w:p>
        </w:tc>
      </w:tr>
    </w:tbl>
    <w:p>
      <w:pPr>
        <w:pStyle w:val="BodyText"/>
      </w:pPr>
      <w:r>
        <w:t xml:space="preserve">The HB function was formulated based on functional flow metrics of the observed daily average flow record of the FJ gauge (</w:t>
      </w:r>
      <m:oMath>
        <m:r>
          <m:t>F</m:t>
        </m:r>
        <m:sSub>
          <m:e>
            <m:r>
              <m:t>J</m:t>
            </m:r>
          </m:e>
          <m:sub>
            <m:r>
              <m:t>o</m:t>
            </m:r>
            <m:r>
              <m:t>b</m:t>
            </m:r>
            <m:r>
              <m:t>s</m:t>
            </m:r>
          </m:sub>
        </m:sSub>
      </m:oMath>
      <w:r>
        <w:t xml:space="preserve">). One key result of the historical basecase scenario is a simulated estimate of the historical FJ gauge record (</w:t>
      </w:r>
      <m:oMath>
        <m:r>
          <m:t>F</m:t>
        </m:r>
        <m:sSub>
          <m:e>
            <m:r>
              <m:t>J</m:t>
            </m:r>
          </m:e>
          <m:sub>
            <m:r>
              <m:t>s</m:t>
            </m:r>
            <m:r>
              <m:t>i</m:t>
            </m:r>
            <m:r>
              <m:t>m</m:t>
            </m:r>
            <m:r>
              <m:rPr>
                <m:sty m:val="p"/>
              </m:rPr>
              <m:t>,</m:t>
            </m:r>
            <m:r>
              <m:t> </m:t>
            </m:r>
            <m:r>
              <m:t>b</m:t>
            </m:r>
            <m:r>
              <m:t>a</m:t>
            </m:r>
            <m:r>
              <m:t>s</m:t>
            </m:r>
            <m:r>
              <m:t>e</m:t>
            </m:r>
            <m:r>
              <m:t>c</m:t>
            </m:r>
            <m:r>
              <m:t>a</m:t>
            </m:r>
            <m:r>
              <m:t>s</m:t>
            </m:r>
            <m:r>
              <m:t>e</m:t>
            </m:r>
          </m:sub>
        </m:sSub>
      </m:oMath>
      <w:r>
        <w:t xml:space="preserve">); however, although SVIHM was extensively calibrated</w:t>
      </w:r>
      <w:r>
        <w:t xml:space="preserve"> </w:t>
      </w:r>
      <w:r>
        <w:t xml:space="preserve">(Tolley, Foglia, and Harter 2019)</w:t>
      </w:r>
      <w:r>
        <w:t xml:space="preserve">, because all models involve structural simplifications of a full-scale watershed,</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w:t>
      </w:r>
      <w:r>
        <w:t xml:space="preserve">sometimes over- or under-estimates</w:t>
      </w:r>
      <w:r>
        <w:t xml:space="preserve"> </w:t>
      </w:r>
      <m:oMath>
        <m:r>
          <m:t>F</m:t>
        </m:r>
        <m:sSub>
          <m:e>
            <m:r>
              <m:t>J</m:t>
            </m:r>
          </m:e>
          <m:sub>
            <m:r>
              <m:t>o</m:t>
            </m:r>
            <m:r>
              <m:t>b</m:t>
            </m:r>
            <m:r>
              <m:t>s</m:t>
            </m:r>
          </m:sub>
        </m:sSub>
      </m:oMath>
      <w:r>
        <w:t xml:space="preserve">. As a result of these differences, HB values calculated from flow metrics of</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w:t>
      </w:r>
      <w:r>
        <w:t xml:space="preserve">tend to be higher than HB values derived from</w:t>
      </w:r>
      <w:r>
        <w:t xml:space="preserve"> </w:t>
      </w:r>
      <m:oMath>
        <m:r>
          <m:t>F</m:t>
        </m:r>
        <m:sSub>
          <m:e>
            <m:r>
              <m:t>J</m:t>
            </m:r>
          </m:e>
          <m:sub>
            <m:r>
              <m:t>o</m:t>
            </m:r>
            <m:r>
              <m:t>b</m:t>
            </m:r>
            <m:r>
              <m:t>s</m:t>
            </m:r>
          </m:sub>
        </m:sSub>
      </m:oMath>
      <w:r>
        <w:t xml:space="preserve"> </w:t>
      </w:r>
      <w:r>
        <w:t xml:space="preserve">by a mean of</w:t>
      </w:r>
      <w:r>
        <w:t xml:space="preserve"> </w:t>
      </w:r>
      <w:r>
        <w:rPr>
          <w:b/>
          <w:bCs/>
        </w:rPr>
        <w:t xml:space="preserve">4.5</w:t>
      </w:r>
      <w:r>
        <w:t xml:space="preserve"> </w:t>
      </w:r>
      <w:r>
        <w:t xml:space="preserve">coho spf-equiv.</w:t>
      </w:r>
    </w:p>
    <w:p>
      <w:pPr>
        <w:pStyle w:val="BodyText"/>
      </w:pPr>
      <w:r>
        <w:t xml:space="preserve">To control for this, all basecase HB values used in this study are derived from</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making them directly comparable to HB values derived from the simulated FJ flow records in the hypothetical management scenarios.</w:t>
      </w:r>
    </w:p>
    <w:bookmarkEnd w:id="48"/>
    <w:bookmarkStart w:id="49" w:name="Xb6ca5dd654202e76d1db9f1bc12c98cced9d6aa"/>
    <w:p>
      <w:pPr>
        <w:pStyle w:val="Heading3"/>
      </w:pPr>
      <w:r>
        <w:rPr>
          <w:rStyle w:val="SectionNumber"/>
        </w:rPr>
        <w:t xml:space="preserve">3.1.3</w:t>
      </w:r>
      <w:r>
        <w:tab/>
      </w:r>
      <w:r>
        <w:t xml:space="preserve">ET volume function (agricultural benefit proxy)</w:t>
      </w:r>
    </w:p>
    <w:p>
      <w:pPr>
        <w:pStyle w:val="FirstParagraph"/>
      </w:pPr>
      <w:r>
        <w:t xml:space="preserve">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pPr>
        <w:pStyle w:val="BodyText"/>
      </w:pPr>
      <w:r>
        <w:t xml:space="preserve">Additionally, for alfalfa and pasture</w:t>
      </w:r>
      <w:r>
        <w:t xml:space="preserve"> </w:t>
      </w:r>
      <w:r>
        <w:rPr>
          <w:b/>
          <w:bCs/>
        </w:rPr>
        <w:t xml:space="preserve">and grain?</w:t>
      </w:r>
      <w:r>
        <w:t xml:space="preserve">, which continue growing as long as water is available, a strong relationship between crop ET and yield is assumed</w:t>
      </w:r>
      <w:r>
        <w:t xml:space="preserve"> </w:t>
      </w:r>
      <w:r>
        <w:t xml:space="preserve">(Carter and Sheaffer 1983)</w:t>
      </w:r>
      <w:r>
        <w:t xml:space="preserve">. The assumption that crop ET is consistently related to yield or revenue breaks down for a management scenario that includes changing crops; this is explored further in the Discussion section. But on the merits of these options, annual crop ET was selected to represent agricultural benefit.</w:t>
      </w:r>
    </w:p>
    <w:bookmarkEnd w:id="49"/>
    <w:bookmarkStart w:id="50" w:name="Xfd5664932b25b1108017cbc6e0e75c8014ecd36"/>
    <w:p>
      <w:pPr>
        <w:pStyle w:val="Heading3"/>
      </w:pPr>
      <w:r>
        <w:rPr>
          <w:rStyle w:val="SectionNumber"/>
        </w:rPr>
        <w:t xml:space="preserve">3.1.4</w:t>
      </w:r>
      <w:r>
        <w:tab/>
      </w:r>
      <w:r>
        <w:t xml:space="preserve">Proxy for scenario infrastructure investment</w:t>
      </w:r>
    </w:p>
    <w:p>
      <w:pPr>
        <w:pStyle w:val="FirstParagraph"/>
      </w:pPr>
      <w:r>
        <w:t xml:space="preserve">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pPr>
        <w:pStyle w:val="Compact"/>
        <w:numPr>
          <w:ilvl w:val="0"/>
          <w:numId w:val="1003"/>
        </w:numPr>
      </w:pPr>
      <w:r>
        <w:t xml:space="preserve">No feasibility barriers (basecase; maintain current practices)</w:t>
      </w:r>
    </w:p>
    <w:p>
      <w:pPr>
        <w:pStyle w:val="Compact"/>
        <w:numPr>
          <w:ilvl w:val="0"/>
          <w:numId w:val="1003"/>
        </w:numPr>
      </w:pPr>
      <w:r>
        <w:t xml:space="preserve">Implementable with current infrastructure</w:t>
      </w:r>
    </w:p>
    <w:p>
      <w:pPr>
        <w:pStyle w:val="Compact"/>
        <w:numPr>
          <w:ilvl w:val="0"/>
          <w:numId w:val="1003"/>
        </w:numPr>
      </w:pPr>
      <w:r>
        <w:t xml:space="preserve">Requires new infrastructure that would take 1-2 years to build</w:t>
      </w:r>
    </w:p>
    <w:p>
      <w:pPr>
        <w:pStyle w:val="Compact"/>
        <w:numPr>
          <w:ilvl w:val="0"/>
          <w:numId w:val="1003"/>
        </w:numPr>
      </w:pPr>
      <w:r>
        <w:t xml:space="preserve">Requires new infrastructure that would take 3-5 years to build</w:t>
      </w:r>
    </w:p>
    <w:p>
      <w:pPr>
        <w:pStyle w:val="Compact"/>
        <w:numPr>
          <w:ilvl w:val="0"/>
          <w:numId w:val="1003"/>
        </w:numPr>
      </w:pPr>
      <w:r>
        <w:t xml:space="preserve">Requires new infrastructure that would take 5+ years to build</w:t>
      </w:r>
    </w:p>
    <w:p>
      <w:pPr>
        <w:pStyle w:val="FirstParagraph"/>
      </w:pPr>
      <w:r>
        <w:t xml:space="preserve">This reflects the first-order understanding that, for example, building a reservoir (assigned to category 4) will take more effort and resources in terms of permitting and construction than widespread installation of highly efficient irrigation systems (assigned to category 2). See Table</w:t>
      </w:r>
      <w:r>
        <w:t xml:space="preserve"> </w:t>
      </w:r>
      <w:r>
        <w:t xml:space="preserve">5</w:t>
      </w:r>
      <w:r>
        <w:t xml:space="preserve"> </w:t>
      </w:r>
      <w:r>
        <w:t xml:space="preserve">for full list of assigned categories.</w:t>
      </w:r>
    </w:p>
    <w:bookmarkEnd w:id="50"/>
    <w:bookmarkEnd w:id="51"/>
    <w:bookmarkStart w:id="54" w:name="analyses-of-objective-function-values"/>
    <w:p>
      <w:pPr>
        <w:pStyle w:val="Heading2"/>
      </w:pPr>
      <w:r>
        <w:rPr>
          <w:rStyle w:val="SectionNumber"/>
        </w:rPr>
        <w:t xml:space="preserve">3.2</w:t>
      </w:r>
      <w:r>
        <w:tab/>
      </w:r>
      <w:r>
        <w:t xml:space="preserve">Analyses of objective function values</w:t>
      </w:r>
    </w:p>
    <w:bookmarkStart w:id="52" w:name="trade-off-efficiency"/>
    <w:p>
      <w:pPr>
        <w:pStyle w:val="Heading3"/>
      </w:pPr>
      <w:r>
        <w:rPr>
          <w:rStyle w:val="SectionNumber"/>
        </w:rPr>
        <w:t xml:space="preserve">3.2.1</w:t>
      </w:r>
      <w:r>
        <w:tab/>
      </w:r>
      <w:r>
        <w:t xml:space="preserve">Trade-off efficiency</w:t>
      </w:r>
    </w:p>
    <w:p>
      <w:pPr>
        <w:pStyle w:val="FirstParagraph"/>
      </w:pPr>
      <w:r>
        <w:t xml:space="preserve">Combining two of the three objectives, scenarios can also be compared in terms of environmental benefit per agricultural cost. This</w:t>
      </w:r>
      <w:r>
        <w:t xml:space="preserve"> </w:t>
      </w:r>
      <w:r>
        <w:t xml:space="preserve">“trade-off efficiency”</w:t>
      </w:r>
      <w:r>
        <w:t xml:space="preserve"> </w:t>
      </w:r>
      <w:r>
        <w:t xml:space="preserve">of a management scenario, or</w:t>
      </w:r>
      <w:r>
        <w:t xml:space="preserve"> </w:t>
      </w:r>
      <m:oMath>
        <m:r>
          <m:t>E</m:t>
        </m:r>
        <m:r>
          <m:t>f</m:t>
        </m:r>
        <m:r>
          <m:t>f</m:t>
        </m:r>
        <m:r>
          <m:t> </m:t>
        </m:r>
        <m:r>
          <m:t>s</m:t>
        </m:r>
        <m:r>
          <m:t>c</m:t>
        </m:r>
        <m:r>
          <m:t>e</m:t>
        </m:r>
        <m:r>
          <m:t>n</m:t>
        </m:r>
        <m:r>
          <m:t> </m:t>
        </m:r>
      </m:oMath>
      <w:r>
        <w:t xml:space="preserve">, is unitless (i.e., it has units of smolt-equiv. per smolt-equiv. / million m</w:t>
      </w:r>
      <w:r>
        <w:rPr>
          <w:vertAlign w:val="superscript"/>
        </w:rPr>
        <w:t xml:space="preserve">3</w:t>
      </w:r>
      <w:r>
        <w:t xml:space="preserve"> </w:t>
      </w:r>
      <w:r>
        <w:t xml:space="preserve">per million m</w:t>
      </w:r>
      <w:r>
        <w:rPr>
          <w:vertAlign w:val="superscript"/>
        </w:rPr>
        <w:t xml:space="preserve">3</w:t>
      </w:r>
      <w:r>
        <w:t xml:space="preserve">) (see equations below).</w:t>
      </w:r>
    </w:p>
    <w:p>
      <w:pPr>
        <w:pStyle w:val="BodyText"/>
      </w:pPr>
      <m:oMathPara>
        <m:oMathParaPr>
          <m:jc m:val="center"/>
        </m:oMathParaPr>
        <m:oMath>
          <m:r>
            <m:t>H</m:t>
          </m:r>
          <m:sSub>
            <m:e>
              <m:r>
                <m:t>B</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H</m:t>
              </m:r>
              <m:sSub>
                <m:e>
                  <m:r>
                    <m:t>B</m:t>
                  </m:r>
                </m:e>
                <m:sub>
                  <m:r>
                    <m:t>w</m:t>
                  </m:r>
                  <m:sSub>
                    <m:e>
                      <m:r>
                        <m:t>y</m:t>
                      </m:r>
                    </m:e>
                    <m:sub>
                      <m:r>
                        <m:t>i</m:t>
                      </m:r>
                    </m:sub>
                  </m:sSub>
                </m:sub>
              </m:sSub>
            </m:e>
          </m:nary>
        </m:oMath>
      </m:oMathPara>
    </w:p>
    <w:p>
      <w:pPr>
        <w:pStyle w:val="FirstParagraph"/>
      </w:pPr>
      <m:oMathPara>
        <m:oMathParaPr>
          <m:jc m:val="center"/>
        </m:oMathParaPr>
        <m:oMath>
          <m:r>
            <m:t>E</m:t>
          </m:r>
          <m:sSub>
            <m:e>
              <m:r>
                <m:t>T</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C</m:t>
              </m:r>
              <m:r>
                <m:t>r</m:t>
              </m:r>
              <m:r>
                <m:t>o</m:t>
              </m:r>
              <m:r>
                <m:t>p</m:t>
              </m:r>
              <m:r>
                <m:t> </m:t>
              </m:r>
              <m:r>
                <m:t>E</m:t>
              </m:r>
              <m:sSub>
                <m:e>
                  <m:r>
                    <m:t>T</m:t>
                  </m:r>
                </m:e>
                <m:sub>
                  <m:r>
                    <m:t>a</m:t>
                  </m:r>
                  <m:r>
                    <m:t>n</m:t>
                  </m:r>
                  <m:r>
                    <m:t>n</m:t>
                  </m:r>
                  <m:r>
                    <m:t>u</m:t>
                  </m:r>
                  <m:r>
                    <m:t>a</m:t>
                  </m:r>
                  <m:r>
                    <m:t>l</m:t>
                  </m:r>
                  <m:r>
                    <m:rPr>
                      <m:sty m:val="p"/>
                    </m:rPr>
                    <m:t>,</m:t>
                  </m:r>
                  <m:r>
                    <m:t> </m:t>
                  </m:r>
                  <m:r>
                    <m:t>w</m:t>
                  </m:r>
                  <m:sSub>
                    <m:e>
                      <m:r>
                        <m:t>y</m:t>
                      </m:r>
                    </m:e>
                    <m:sub>
                      <m:r>
                        <m:t>i</m:t>
                      </m:r>
                    </m:sub>
                  </m:sSub>
                </m:sub>
              </m:sSub>
            </m:e>
          </m:nary>
        </m:oMath>
      </m:oMathPara>
    </w:p>
    <w:p>
      <w:pPr>
        <w:pStyle w:val="FirstParagraph"/>
      </w:pPr>
      <m:oMathPara>
        <m:oMathParaPr>
          <m:jc m:val="center"/>
        </m:oMathParaPr>
        <m:oMath>
          <m:r>
            <m:t>E</m:t>
          </m:r>
          <m:r>
            <m:t>f</m:t>
          </m:r>
          <m:sSub>
            <m:e>
              <m:r>
                <m:t>f</m:t>
              </m:r>
            </m:e>
            <m:sub>
              <m:r>
                <m:t>s</m:t>
              </m:r>
              <m:r>
                <m:t>c</m:t>
              </m:r>
              <m:r>
                <m:t>e</m:t>
              </m:r>
              <m:r>
                <m:t>n</m:t>
              </m:r>
            </m:sub>
          </m:sSub>
          <m:r>
            <m:rPr>
              <m:sty m:val="p"/>
            </m:rPr>
            <m:t>=</m:t>
          </m:r>
          <m:f>
            <m:fPr>
              <m:type m:val="bar"/>
            </m:fPr>
            <m:num>
              <m:d>
                <m:dPr>
                  <m:begChr m:val="("/>
                  <m:sepChr m:val=""/>
                  <m:endChr m:val=")"/>
                  <m:grow/>
                </m:dPr>
                <m:e>
                  <m:r>
                    <m:t>H</m:t>
                  </m:r>
                  <m:sSub>
                    <m:e>
                      <m:r>
                        <m:t>B</m:t>
                      </m:r>
                    </m:e>
                    <m:sub>
                      <m:r>
                        <m:t>a</m:t>
                      </m:r>
                      <m:r>
                        <m:t>v</m:t>
                      </m:r>
                      <m:r>
                        <m:t>g</m:t>
                      </m:r>
                      <m:r>
                        <m:rPr>
                          <m:sty m:val="p"/>
                        </m:rPr>
                        <m:t>,</m:t>
                      </m:r>
                      <m:r>
                        <m:t> </m:t>
                      </m:r>
                      <m:r>
                        <m:t>s</m:t>
                      </m:r>
                      <m:r>
                        <m:t>c</m:t>
                      </m:r>
                      <m:r>
                        <m:t>e</m:t>
                      </m:r>
                      <m:r>
                        <m:t>n</m:t>
                      </m:r>
                    </m:sub>
                  </m:sSub>
                  <m:r>
                    <m:rPr>
                      <m:sty m:val="p"/>
                    </m:rPr>
                    <m:t>−</m:t>
                  </m:r>
                  <m:r>
                    <m:t>H</m:t>
                  </m:r>
                  <m:sSub>
                    <m:e>
                      <m:r>
                        <m:t>B</m:t>
                      </m:r>
                    </m:e>
                    <m:sub>
                      <m:r>
                        <m:t>a</m:t>
                      </m:r>
                      <m:r>
                        <m:t>v</m:t>
                      </m:r>
                      <m:r>
                        <m:t>g</m:t>
                      </m:r>
                      <m:r>
                        <m:rPr>
                          <m:sty m:val="p"/>
                        </m:rPr>
                        <m:t>,</m:t>
                      </m:r>
                      <m:r>
                        <m:t> </m:t>
                      </m:r>
                      <m:r>
                        <m:t>b</m:t>
                      </m:r>
                      <m:r>
                        <m:t>a</m:t>
                      </m:r>
                      <m:r>
                        <m:t>s</m:t>
                      </m:r>
                      <m:r>
                        <m:t>e</m:t>
                      </m:r>
                      <m:r>
                        <m:t>c</m:t>
                      </m:r>
                      <m:r>
                        <m:t>a</m:t>
                      </m:r>
                      <m:r>
                        <m:t>s</m:t>
                      </m:r>
                      <m:r>
                        <m:t>e</m:t>
                      </m:r>
                    </m:sub>
                  </m:sSub>
                </m:e>
              </m:d>
              <m:r>
                <m:rPr>
                  <m:sty m:val="p"/>
                </m:rPr>
                <m:t>/</m:t>
              </m:r>
              <m:r>
                <m:t>H</m:t>
              </m:r>
              <m:sSub>
                <m:e>
                  <m:r>
                    <m:t>B</m:t>
                  </m:r>
                </m:e>
                <m:sub>
                  <m:r>
                    <m:t>a</m:t>
                  </m:r>
                  <m:r>
                    <m:t>v</m:t>
                  </m:r>
                  <m:r>
                    <m:t>g</m:t>
                  </m:r>
                  <m:r>
                    <m:rPr>
                      <m:sty m:val="p"/>
                    </m:rPr>
                    <m:t>,</m:t>
                  </m:r>
                  <m:r>
                    <m:t> </m:t>
                  </m:r>
                  <m:r>
                    <m:t>b</m:t>
                  </m:r>
                  <m:r>
                    <m:t>a</m:t>
                  </m:r>
                  <m:r>
                    <m:t>s</m:t>
                  </m:r>
                  <m:r>
                    <m:t>e</m:t>
                  </m:r>
                  <m:r>
                    <m:t>c</m:t>
                  </m:r>
                  <m:r>
                    <m:t>a</m:t>
                  </m:r>
                  <m:r>
                    <m:t>s</m:t>
                  </m:r>
                  <m:r>
                    <m:t>e</m:t>
                  </m:r>
                </m:sub>
              </m:sSub>
            </m:num>
            <m:den>
              <m:r>
                <m:rPr>
                  <m:sty m:val="p"/>
                </m:rPr>
                <m:t>−</m:t>
              </m:r>
              <m:r>
                <m:t>1</m:t>
              </m:r>
              <m:r>
                <m:rPr>
                  <m:sty m:val="p"/>
                </m:rPr>
                <m:t>*</m:t>
              </m:r>
              <m:d>
                <m:dPr>
                  <m:begChr m:val="("/>
                  <m:sepChr m:val=""/>
                  <m:endChr m:val=")"/>
                  <m:grow/>
                </m:dPr>
                <m:e>
                  <m:r>
                    <m:t>E</m:t>
                  </m:r>
                  <m:sSub>
                    <m:e>
                      <m:r>
                        <m:t>T</m:t>
                      </m:r>
                    </m:e>
                    <m:sub>
                      <m:r>
                        <m:t>a</m:t>
                      </m:r>
                      <m:r>
                        <m:t>v</m:t>
                      </m:r>
                      <m:r>
                        <m:t>g</m:t>
                      </m:r>
                      <m:r>
                        <m:rPr>
                          <m:sty m:val="p"/>
                        </m:rPr>
                        <m:t>,</m:t>
                      </m:r>
                      <m:r>
                        <m:t> </m:t>
                      </m:r>
                      <m:r>
                        <m:t>s</m:t>
                      </m:r>
                      <m:r>
                        <m:t>c</m:t>
                      </m:r>
                      <m:r>
                        <m:t>e</m:t>
                      </m:r>
                      <m:r>
                        <m:t>n</m:t>
                      </m:r>
                    </m:sub>
                  </m:sSub>
                  <m:r>
                    <m:rPr>
                      <m:sty m:val="p"/>
                    </m:rPr>
                    <m:t>−</m:t>
                  </m:r>
                  <m:r>
                    <m:t>E</m:t>
                  </m:r>
                  <m:sSub>
                    <m:e>
                      <m:r>
                        <m:t>T</m:t>
                      </m:r>
                    </m:e>
                    <m:sub>
                      <m:r>
                        <m:t>a</m:t>
                      </m:r>
                      <m:r>
                        <m:t>v</m:t>
                      </m:r>
                      <m:r>
                        <m:t>g</m:t>
                      </m:r>
                      <m:r>
                        <m:rPr>
                          <m:sty m:val="p"/>
                        </m:rPr>
                        <m:t>,</m:t>
                      </m:r>
                      <m:r>
                        <m:t> </m:t>
                      </m:r>
                      <m:r>
                        <m:t>b</m:t>
                      </m:r>
                      <m:r>
                        <m:t>a</m:t>
                      </m:r>
                      <m:r>
                        <m:t>s</m:t>
                      </m:r>
                      <m:r>
                        <m:t>e</m:t>
                      </m:r>
                      <m:r>
                        <m:t>c</m:t>
                      </m:r>
                      <m:r>
                        <m:t>a</m:t>
                      </m:r>
                      <m:r>
                        <m:t>s</m:t>
                      </m:r>
                      <m:r>
                        <m:t>e</m:t>
                      </m:r>
                    </m:sub>
                  </m:sSub>
                </m:e>
              </m:d>
              <m:r>
                <m:rPr>
                  <m:sty m:val="p"/>
                </m:rPr>
                <m:t>/</m:t>
              </m:r>
              <m:r>
                <m:t>E</m:t>
              </m:r>
              <m:sSub>
                <m:e>
                  <m:r>
                    <m:t>T</m:t>
                  </m:r>
                </m:e>
                <m:sub>
                  <m:r>
                    <m:t>a</m:t>
                  </m:r>
                  <m:r>
                    <m:t>v</m:t>
                  </m:r>
                  <m:r>
                    <m:t>g</m:t>
                  </m:r>
                  <m:r>
                    <m:rPr>
                      <m:sty m:val="p"/>
                    </m:rPr>
                    <m:t>,</m:t>
                  </m:r>
                  <m:r>
                    <m:t> </m:t>
                  </m:r>
                  <m:r>
                    <m:t>b</m:t>
                  </m:r>
                  <m:r>
                    <m:t>a</m:t>
                  </m:r>
                  <m:r>
                    <m:t>s</m:t>
                  </m:r>
                  <m:r>
                    <m:t>e</m:t>
                  </m:r>
                  <m:r>
                    <m:t>c</m:t>
                  </m:r>
                  <m:r>
                    <m:t>a</m:t>
                  </m:r>
                  <m:r>
                    <m:t>s</m:t>
                  </m:r>
                  <m:r>
                    <m:t>e</m:t>
                  </m:r>
                </m:sub>
              </m:sSub>
            </m:den>
          </m:f>
        </m:oMath>
      </m:oMathPara>
    </w:p>
    <w:bookmarkEnd w:id="52"/>
    <w:bookmarkStart w:id="53" w:name="pareto-optimal-set-of-management-actions"/>
    <w:p>
      <w:pPr>
        <w:pStyle w:val="Heading3"/>
      </w:pPr>
      <w:r>
        <w:rPr>
          <w:rStyle w:val="SectionNumber"/>
        </w:rPr>
        <w:t xml:space="preserve">3.2.2</w:t>
      </w:r>
      <w:r>
        <w:tab/>
      </w:r>
      <w:r>
        <w:t xml:space="preserve">Pareto-optimal set of management actions</w:t>
      </w:r>
    </w:p>
    <w:p>
      <w:pPr>
        <w:pStyle w:val="FirstParagraph"/>
      </w:pPr>
      <w:r>
        <w:t xml:space="preserve">After calculating the objective function values for each scenario, we applied a simple algorithm to identify the Pareto-optimal set of scenarios</w:t>
      </w:r>
      <w:r>
        <w:t xml:space="preserve"> </w:t>
      </w:r>
      <w:r>
        <w:t xml:space="preserve">(</w:t>
      </w:r>
      <w:r>
        <w:rPr>
          <w:b/>
          <w:bCs/>
        </w:rPr>
        <w:t xml:space="preserve">ParetoVilfredoCours1896?</w:t>
      </w:r>
      <w:r>
        <w:t xml:space="preserve">)</w:t>
      </w:r>
      <w:r>
        <w:t xml:space="preserve">.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identify a single best scenario or evaluate trade-offs between objectives; we use it here to identify obviously suboptimal scenarios.</w:t>
      </w:r>
    </w:p>
    <w:bookmarkEnd w:id="53"/>
    <w:bookmarkEnd w:id="54"/>
    <w:bookmarkStart w:id="55" w:name="hydrologic-model-summary"/>
    <w:p>
      <w:pPr>
        <w:pStyle w:val="Heading2"/>
      </w:pPr>
      <w:r>
        <w:rPr>
          <w:rStyle w:val="SectionNumber"/>
        </w:rPr>
        <w:t xml:space="preserve">3.3</w:t>
      </w:r>
      <w:r>
        <w:tab/>
      </w:r>
      <w:r>
        <w:t xml:space="preserve">Hydrologic model summary</w:t>
      </w:r>
    </w:p>
    <w:p>
      <w:pPr>
        <w:pStyle w:val="FirstParagraph"/>
      </w:pPr>
      <w:r>
        <w:t xml:space="preserve">The Scott Valley Integrated Hydrologic Model (SVIHM)</w:t>
      </w:r>
      <w:r>
        <w:t xml:space="preserve"> </w:t>
      </w:r>
      <w:r>
        <w:t xml:space="preserve">(2019)</w:t>
      </w:r>
      <w:r>
        <w:t xml:space="preserve"> </w:t>
      </w:r>
      <w:r>
        <w:t xml:space="preserve">is a surface and groundwater model driven by tributary stream inflows, precipitation, and reference evapotranspiration (ET</w:t>
      </w:r>
      <w:r>
        <w:rPr>
          <w:vertAlign w:val="subscript"/>
        </w:rPr>
        <w:t xml:space="preserve">0</w:t>
      </w:r>
      <w:r>
        <w:t xml:space="preserve">). Like all models, it does not perfectly reproduce historical observations, but it successfully captures key watershed-scale hydrologic phenomena that can be used to evaluate potential outcomes of specific management actions.</w:t>
      </w:r>
    </w:p>
    <w:p>
      <w:pPr>
        <w:pStyle w:val="BodyText"/>
      </w:pPr>
      <w:r>
        <w:t xml:space="preserve">The SVIHM is composed of three cascading sub-models. First,</w:t>
      </w:r>
      <w:r>
        <w:t xml:space="preserve"> </w:t>
      </w:r>
      <w:r>
        <w:rPr>
          <w:b/>
          <w:bCs/>
        </w:rPr>
        <w:t xml:space="preserve">complete daily records of tributary stream inflow are generated using a statistical streamflow regression model, in which the continuous Fort Jones record was used to predict missing values in the daily flow records of 12 major tributaries</w:t>
      </w:r>
      <w:r>
        <w:t xml:space="preserve"> </w:t>
      </w:r>
      <w:r>
        <w:t xml:space="preserve">(Foglia et al. 2013)</w:t>
      </w:r>
      <w:r>
        <w:t xml:space="preserve">.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w:t>
      </w:r>
      <w:r>
        <w:t xml:space="preserve"> </w:t>
      </w:r>
      <w:r>
        <w:t xml:space="preserve">(Tolley, Foglia, and Harter 2019)</w:t>
      </w:r>
      <w:r>
        <w:t xml:space="preserve">.</w:t>
      </w:r>
      <w:r>
        <w:t xml:space="preserve"> </w:t>
      </w:r>
      <w:r>
        <w:rPr>
          <w:b/>
          <w:bCs/>
        </w:rPr>
        <w:t xml:space="preserve">Add text re: Leland’s updates to SVIHM? Bah, should I rerun everything using the latest model version?</w:t>
      </w:r>
    </w:p>
    <w:p>
      <w:pPr>
        <w:pStyle w:val="BodyText"/>
      </w:pPr>
      <w:r>
        <w:t xml:space="preserve">For GSP development, SVIHM was used extensively to perform what-if scenarios using the historic climate and land use forcing period, covering 1991-2018. (For purposes of this study, the model period has been extended through Sept. 30, 2025.) Scenario simulations repeat the calibrated historical basecase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pPr>
        <w:pStyle w:val="Compact"/>
        <w:numPr>
          <w:ilvl w:val="0"/>
          <w:numId w:val="1004"/>
        </w:numPr>
      </w:pPr>
      <w:r>
        <w:t xml:space="preserve">A prediction of Scott River daily average flow at the Fort Jones Gauge, which is co-located with the surface water outlet of the model domain; and</w:t>
      </w:r>
    </w:p>
    <w:p>
      <w:pPr>
        <w:pStyle w:val="Compact"/>
        <w:numPr>
          <w:ilvl w:val="0"/>
          <w:numId w:val="1004"/>
        </w:numPr>
      </w:pPr>
      <w:r>
        <w:t xml:space="preserve">Simulated total ET of crops and native vegetation within the model domain.</w:t>
      </w:r>
    </w:p>
    <w:bookmarkEnd w:id="55"/>
    <w:bookmarkStart w:id="57" w:name="management-scenario-descriptions"/>
    <w:p>
      <w:pPr>
        <w:pStyle w:val="Heading2"/>
      </w:pPr>
      <w:r>
        <w:rPr>
          <w:rStyle w:val="SectionNumber"/>
        </w:rPr>
        <w:t xml:space="preserve">3.4</w:t>
      </w:r>
      <w:r>
        <w:tab/>
      </w:r>
      <w:r>
        <w:t xml:space="preserve">Management scenario descriptions</w:t>
      </w:r>
    </w:p>
    <w:p>
      <w:pPr>
        <w:pStyle w:val="FirstParagraph"/>
      </w:pPr>
      <w:r>
        <w:t xml:space="preserve">For the Scott Valley GSP, SVIHM was used to simulate 64 management action scenarios; in most other California GSPs, between one and five scenarios was more common</w:t>
      </w:r>
      <w:r>
        <w:t xml:space="preserve"> </w:t>
      </w:r>
      <w:r>
        <w:t xml:space="preserve">(e.g., FCGMA 2019; YSGA 2022)</w:t>
      </w:r>
      <w:r>
        <w:t xml:space="preserve">. This high number of scenarios was possible because the SVIHM had been under development for 8 years prior to the start of GSP work</w:t>
      </w:r>
      <w:r>
        <w:t xml:space="preserve"> </w:t>
      </w:r>
      <w:r>
        <w:t xml:space="preserve">(e.g., Foglia et al. 2013; Tolley, Foglia, and Harter 2019)</w:t>
      </w:r>
      <w:r>
        <w:t xml:space="preserve">, and cost-effective technical support was provided by graduate students at the University of California, Davis.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because they are largely redundant with some of the 25 considered here.</w:t>
      </w:r>
    </w:p>
    <w:p>
      <w:pPr>
        <w:pStyle w:val="BodyText"/>
      </w:pPr>
      <w:r>
        <w:t xml:space="preserve">The scenarios are grouped here by category (Table</w:t>
      </w:r>
      <w:r>
        <w:t xml:space="preserve"> </w:t>
      </w:r>
      <w:r>
        <w:t xml:space="preserve">4</w:t>
      </w:r>
      <w:r>
        <w:t xml:space="preserve">). Within each category various details were altered (e.g., an alfalfa irrigation cessation date of July 10 versus August 15, or an assumed crop water consumption of 80% versus 90% of historical). See</w:t>
      </w:r>
      <w:r>
        <w:t xml:space="preserve"> </w:t>
      </w:r>
      <w:r>
        <w:rPr>
          <w:i/>
          <w:iCs/>
        </w:rPr>
        <w:t xml:space="preserve">Chapter 2 Supplement</w:t>
      </w:r>
      <w:r>
        <w:t xml:space="preserve"> </w:t>
      </w:r>
      <w:r>
        <w:t xml:space="preserve">for more detailed scenario descriptions.</w:t>
      </w:r>
    </w:p>
    <w:p>
      <w:pPr>
        <w:pStyle w:val="TableCaption"/>
      </w:pPr>
      <w:bookmarkStart w:id="56" w:name="tab:scenCategoryTab"/>
      <w:bookmarkEnd w:id="56"/>
      <w:r>
        <w:t xml:space="preserve">Table 4:</w:t>
      </w:r>
      <w:r>
        <w:t xml:space="preserve"> </w:t>
      </w:r>
      <w:r>
        <w:t xml:space="preserve">Management scenario categories (abbreviated), a general description, the number of scenarios in each category, the feasibility proxy and the type of management action.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2592"/>
        <w:gridCol w:w="1152"/>
        <w:gridCol w:w="1152"/>
        <w:gridCol w:w="216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Category 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Scen.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 Proxy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Mgmt. Type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(Alfalfa Rot. to Perm. Grain)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Alfalfa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(Curtail) All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Land Use (high 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Land Use (low 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bl>
    <w:bookmarkEnd w:id="57"/>
    <w:bookmarkEnd w:id="58"/>
    <w:bookmarkStart w:id="80" w:name="results"/>
    <w:p>
      <w:pPr>
        <w:pStyle w:val="Heading1"/>
      </w:pPr>
      <w:r>
        <w:rPr>
          <w:rStyle w:val="SectionNumber"/>
        </w:rPr>
        <w:t xml:space="preserve">4</w:t>
      </w:r>
      <w:r>
        <w:tab/>
      </w:r>
      <w:r>
        <w:t xml:space="preserve">Results</w:t>
      </w:r>
    </w:p>
    <w:p>
      <w:pPr>
        <w:pStyle w:val="FirstParagraph"/>
      </w:pPr>
      <w:r>
        <w:t xml:space="preserve">As described above, objective functions were used to quantitatively summarize the achievement of environmental and agricultural goals for the basecase and 27 management scenarios. A Hydrologic Benefit (HB) value (in units of</w:t>
      </w:r>
      <w:r>
        <w:t xml:space="preserve"> </w:t>
      </w:r>
      <w:r>
        <w:rPr>
          <w:b/>
          <w:bCs/>
        </w:rPr>
        <w:t xml:space="preserve">predicted coho smolt production per spawning female, or coho spf-equivalent</w:t>
      </w:r>
      <w:r>
        <w:t xml:space="preserve">) and a total crop ET volume was calculated for each water year in the 28-year simulation period, for each scenario. Each scenario has also been given an infrastructure feasibility proxy (Table</w:t>
      </w:r>
      <w:r>
        <w:t xml:space="preserve"> </w:t>
      </w:r>
      <w:r>
        <w:t xml:space="preserve">5</w:t>
      </w:r>
      <w:r>
        <w:t xml:space="preserve">).</w:t>
      </w:r>
    </w:p>
    <w:bookmarkStart w:id="68" w:name="X7919b09686293416b4bcb59483f48ae87a57064"/>
    <w:p>
      <w:pPr>
        <w:pStyle w:val="Heading2"/>
      </w:pPr>
      <w:r>
        <w:rPr>
          <w:rStyle w:val="SectionNumber"/>
        </w:rPr>
        <w:t xml:space="preserve">4.1</w:t>
      </w:r>
      <w:r>
        <w:tab/>
      </w:r>
      <w:r>
        <w:t xml:space="preserve">Environmental and agricultural objective function values</w:t>
      </w:r>
    </w:p>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5: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title="" id="60" name="Picture"/>
            <a:graphic>
              <a:graphicData uri="http://schemas.openxmlformats.org/drawingml/2006/picture">
                <pic:pic>
                  <pic:nvPicPr>
                    <pic:cNvPr descr="Graphics%20and%20Supplements/Figure%204.png" id="61" name="Picture"/>
                    <pic:cNvPicPr>
                      <a:picLocks noChangeArrowheads="1" noChangeAspect="1"/>
                    </pic:cNvPicPr>
                  </pic:nvPicPr>
                  <pic:blipFill>
                    <a:blip r:embed="rId5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2" w:name="fig:benefitByWY"/>
      <w:bookmarkEnd w:id="62"/>
      <w:r>
        <w:t xml:space="preserve">Figure 5:</w:t>
      </w:r>
      <w:r>
        <w:t xml:space="preserve"> </w:t>
      </w:r>
      <w:r>
        <w:t xml:space="preserve"> </w:t>
      </w:r>
      <w:r>
        <w:t xml:space="preserve">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title="" id="64" name="Picture"/>
            <a:graphic>
              <a:graphicData uri="http://schemas.openxmlformats.org/drawingml/2006/picture">
                <pic:pic>
                  <pic:nvPicPr>
                    <pic:cNvPr descr="Graphics%20and%20Supplements/Figure%205.png" id="65" name="Picture"/>
                    <pic:cNvPicPr>
                      <a:picLocks noChangeArrowheads="1" noChangeAspect="1"/>
                    </pic:cNvPicPr>
                  </pic:nvPicPr>
                  <pic:blipFill>
                    <a:blip r:embed="rId6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6" w:name="fig:farmerFishTradeoffFigure"/>
      <w:bookmarkEnd w:id="66"/>
      <w:r>
        <w:t xml:space="preserve">Figure 6:</w:t>
      </w:r>
      <w:r>
        <w:t xml:space="preserve"> </w:t>
      </w:r>
      <w:r>
        <w:t xml:space="preserve"> </w:t>
      </w:r>
      <w:r>
        <w:t xml:space="preserve">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pPr>
        <w:pStyle w:val="SourceCode"/>
      </w:pPr>
      <w:r>
        <w:rPr>
          <w:rStyle w:val="VerbatimChar"/>
        </w:rPr>
        <w:t xml:space="preserve">## png </w:t>
      </w:r>
      <w:r>
        <w:br/>
      </w:r>
      <w:r>
        <w:rPr>
          <w:rStyle w:val="VerbatimChar"/>
        </w:rPr>
        <w:t xml:space="preserve">##   2</w:t>
      </w:r>
    </w:p>
    <w:p>
      <w:pPr>
        <w:pStyle w:val="FirstParagraph"/>
      </w:pPr>
      <w:r>
        <w:t xml:space="preserve">The aggregate hydrologic impact of each management scenario can be compared against the historical basecase using the annual objective function values over the full 28-year record (e.g., Figure</w:t>
      </w:r>
      <w:r>
        <w:t xml:space="preserve"> </w:t>
      </w:r>
      <w:r>
        <w:t xml:space="preserve">5</w:t>
      </w:r>
      <w:r>
        <w:t xml:space="preserve">) or using the 28-year mean values for each scenario (Figure</w:t>
      </w:r>
      <w:r>
        <w:t xml:space="preserve"> </w:t>
      </w:r>
      <w:r>
        <w:t xml:space="preserve">6</w:t>
      </w:r>
      <w:r>
        <w:t xml:space="preserve">; Table</w:t>
      </w:r>
      <w:r>
        <w:t xml:space="preserve"> </w:t>
      </w:r>
      <w:r>
        <w:t xml:space="preserve">5</w:t>
      </w:r>
      <w:r>
        <w:t xml:space="preserve">). In the basecase scenario, the 28-year mean annual ET volume is 118 million m</w:t>
      </w:r>
      <w:r>
        <w:rPr>
          <w:vertAlign w:val="superscript"/>
        </w:rPr>
        <w:t xml:space="preserve">3</w:t>
      </w:r>
      <w:r>
        <w:t xml:space="preserve"> </w:t>
      </w:r>
      <w:r>
        <w:t xml:space="preserve">of water, and the 28-year mean of annual HB values is 44.3 coho spf-equivalent (Table</w:t>
      </w:r>
      <w:r>
        <w:t xml:space="preserve"> </w:t>
      </w:r>
      <w:r>
        <w:t xml:space="preserve">5</w:t>
      </w:r>
      <w:r>
        <w:t xml:space="preserve">). Annual ET volume is relatively stable over the model period of water years 1991-2018, while annual HB values are much more variable (Figure</w:t>
      </w:r>
      <w:r>
        <w:t xml:space="preserve"> </w:t>
      </w:r>
      <w:r>
        <w:t xml:space="preserve">5</w:t>
      </w:r>
      <w:r>
        <w:t xml:space="preserve">). Among the 39 management scenarios, mean ET values ranged from 0 to 118 million m</w:t>
      </w:r>
      <w:r>
        <w:rPr>
          <w:vertAlign w:val="superscript"/>
        </w:rPr>
        <w:t xml:space="preserve">3</w:t>
      </w:r>
      <w:r>
        <w:t xml:space="preserve"> </w:t>
      </w:r>
      <w:r>
        <w:t xml:space="preserve">of water, while HB values ranged from 41.9 to 54.7 coho spf-equivalent.</w:t>
      </w:r>
    </w:p>
    <w:p>
      <w:pPr>
        <w:pStyle w:val="BodyText"/>
      </w:pPr>
      <w:r>
        <w:t xml:space="preserve">Four scenario categories fall in a cluster with relatively high ET values, indicating that these scenarios conserve nearly all the basecase economic benefits for local growers: Enhanced Recharge, Expanded Enhanced Recharge, Irrigation Efficiency, and Small Reservoir (Figure</w:t>
      </w:r>
      <w:r>
        <w:t xml:space="preserve"> </w:t>
      </w:r>
      <w:r>
        <w:t xml:space="preserve">6</w:t>
      </w:r>
      <w:r>
        <w:t xml:space="preserve">). The scenarios in this group all require some degree of infrastructure investment, and they have a minimal impact on crop ET: the mean ET values of scenarios in this cluster are 118 to 118 million m</w:t>
      </w:r>
      <w:r>
        <w:rPr>
          <w:vertAlign w:val="superscript"/>
        </w:rPr>
        <w:t xml:space="preserve">3</w:t>
      </w:r>
      <w:r>
        <w:t xml:space="preserve">, or 0 percent less to 0.2 percent more than basecase. Their mean improvement in HB values over the basecase ranges from -2 to 3 coho spf-equivalent.</w:t>
      </w:r>
    </w:p>
    <w:p>
      <w:pPr>
        <w:pStyle w:val="BodyText"/>
      </w:pPr>
      <w:r>
        <w:t xml:space="preserve">The mean ET volumes of the two Crop Change scenarios fall below those in the aforementioned cluster, with and million m</w:t>
      </w:r>
      <w:r>
        <w:rPr>
          <w:vertAlign w:val="superscript"/>
        </w:rPr>
        <w:t xml:space="preserve">3</w:t>
      </w:r>
      <w:r>
        <w:t xml:space="preserve">, while HB values are and respectively (Figure</w:t>
      </w:r>
      <w:r>
        <w:t xml:space="preserve"> </w:t>
      </w:r>
      <w:r>
        <w:t xml:space="preserve">6</w:t>
      </w:r>
      <w:r>
        <w:t xml:space="preserve">). In these scenarios, existing crop coefficients are multiplied by a factor of 0.8 or 0.9; conceptually, this would involve replacing all existing irrigated acreage with unspecified crops which had a designated 80% and 90% of historical ET demand. As discussed later, in this scenario the relationship between water use and revenue may be distinctly different from that of alfalfa and pasture, so the actual</w:t>
      </w:r>
      <w:r>
        <w:t xml:space="preserve"> </w:t>
      </w:r>
      <w:r>
        <w:t xml:space="preserve">“farmer benefit”</w:t>
      </w:r>
      <w:r>
        <w:t xml:space="preserve"> </w:t>
      </w:r>
      <w:r>
        <w:t xml:space="preserve">may be higher or lower than this proxy suggests.</w:t>
      </w:r>
    </w:p>
    <w:p>
      <w:pPr>
        <w:pStyle w:val="BodyText"/>
      </w:pPr>
      <w:r>
        <w:t xml:space="preserve">Two regulatory management categories, Alfalfa Irrigation and Curtailment, involve irrigation schedule changes, and result in a range of reductions in applied irrigation volume, depending on the date of intervention. The scenarios in these categories trace two trade-off arcs in average HB-ET space (Figure</w:t>
      </w:r>
      <w:r>
        <w:t xml:space="preserve"> </w:t>
      </w:r>
      <w:r>
        <w:t xml:space="preserve">6</w:t>
      </w:r>
      <w:r>
        <w:t xml:space="preserve">). The first category, early cessation of alfalfa irrigation (during all or only dry water years), is intended to simulate growers harvesting two cuttings only (i.e., one or two fewer cuttings than current) in a given year. This was simulated by ceasing alfalfa irrigation earlier in the growing season (with cutoff dates on July 10, August 1 and August 15) than the basecase default date of Sept. 1. (The Sept. 1 cutoff date assumes that growers obtain three cuttings, but does not incorporate the known small number of growers which occasionally irrigate longer to obtain a fourth cutting.) Alfalfa acreage is concentrated near the Scott River channel, much of it in the Adjudicated Zone (Figure</w:t>
      </w:r>
      <w:r>
        <w:t xml:space="preserve"> </w:t>
      </w:r>
      <w:r>
        <w:t xml:space="preserve">1</w:t>
      </w:r>
      <w:r>
        <w:t xml:space="preserve">), with predominately groundwater irrigation sources. The second regulatory category, Curtailment of all irrigation starting on a range of dates (June 1st through August 15th), represent book-end scenario simulations to approximate regulatory actions proposed by state resource management agencies in response to extreme drought conditions</w:t>
      </w:r>
      <w:r>
        <w:t xml:space="preserve"> </w:t>
      </w:r>
      <w:r>
        <w:t xml:space="preserve">(SWRCB 2021)</w:t>
      </w:r>
      <w:r>
        <w:t xml:space="preserve">. The mean ET values of scenarios in these two categories are 103 to 117 million m</w:t>
      </w:r>
      <w:r>
        <w:rPr>
          <w:vertAlign w:val="superscript"/>
        </w:rPr>
        <w:t xml:space="preserve">3</w:t>
      </w:r>
      <w:r>
        <w:t xml:space="preserve">, or 13 to 1 percent less than basecase; HB gains over basecase are 2 to 7 coho spf-equivalent.</w:t>
      </w:r>
    </w:p>
    <w:p>
      <w:pPr>
        <w:pStyle w:val="BodyText"/>
      </w:pPr>
      <w:r>
        <w:t xml:space="preserve">The third regulatory category, Low Flow Diversion Limits, regulates surface water diversion for irrigation, and contains only one scenario (Figure</w:t>
      </w:r>
      <w:r>
        <w:t xml:space="preserve"> </w:t>
      </w:r>
      <w:r>
        <w:t xml:space="preserve">6</w:t>
      </w:r>
      <w:r>
        <w:t xml:space="preserve">). Among all scenarios, it is the only scenario that focuses solely on management of surface water diversions for irrigation. It assumes the FJ Gauge flowrate is representative of watershed conditions, and limits diversions of surface water from all tributaries on days when the FJ Gauge flowrate falls below a recently proposed instream flow regime that is considered to be protective of anadromous fish in the Scott River</w:t>
      </w:r>
      <w:r>
        <w:t xml:space="preserve"> </w:t>
      </w:r>
      <w:r>
        <w:t xml:space="preserve">(CDFW 2017)</w:t>
      </w:r>
      <w:r>
        <w:t xml:space="preserve">. Under this Low Flow Diversion Limits scenario, the mean crop ET volume is 4 million m</w:t>
      </w:r>
      <w:r>
        <w:rPr>
          <w:vertAlign w:val="superscript"/>
        </w:rPr>
        <w:t xml:space="preserve">3</w:t>
      </w:r>
      <w:r>
        <w:t xml:space="preserve"> </w:t>
      </w:r>
      <w:r>
        <w:t xml:space="preserve">(~3%) less than basecase, while the mean HB value is 1 coho spf-equivalent greater than basecase.</w:t>
      </w:r>
    </w:p>
    <w:p>
      <w:pPr>
        <w:pStyle w:val="BodyText"/>
      </w:pPr>
      <w:r>
        <w:t xml:space="preserve">The remaining two categories, abbreviated as</w:t>
      </w:r>
      <w:r>
        <w:t xml:space="preserve"> </w:t>
      </w:r>
      <w:r>
        <w:t xml:space="preserve">“NatVeg”</w:t>
      </w:r>
      <w:r>
        <w:t xml:space="preserve"> </w:t>
      </w:r>
      <w:r>
        <w:t xml:space="preserve">and</w:t>
      </w:r>
      <w:r>
        <w:t xml:space="preserve"> </w:t>
      </w:r>
      <w:r>
        <w:t xml:space="preserve">“NatVegET”</w:t>
      </w:r>
      <w:r>
        <w:t xml:space="preserve">, relate to land cover type and are not proposed as management actions. Rather, these provide reference scenarios for conditions in some or all parts of the valley that could be considered to stand in for undefined</w:t>
      </w:r>
      <w:r>
        <w:t xml:space="preserve"> </w:t>
      </w:r>
      <w:r>
        <w:t xml:space="preserve">“pre-historic”</w:t>
      </w:r>
      <w:r>
        <w:t xml:space="preserve">,</w:t>
      </w:r>
      <w:r>
        <w:t xml:space="preserve"> </w:t>
      </w:r>
      <w:r>
        <w:t xml:space="preserve">“unimpaired”</w:t>
      </w:r>
      <w:r>
        <w:t xml:space="preserve">, or</w:t>
      </w:r>
      <w:r>
        <w:t xml:space="preserve"> </w:t>
      </w:r>
      <w:r>
        <w:t xml:space="preserve">“conservation”</w:t>
      </w:r>
      <w:r>
        <w:t xml:space="preserve"> </w:t>
      </w:r>
      <w:r>
        <w:t xml:space="preserve">conditions. They involve simulating native vegetation in place of irrigated acreage, and were designed to estimate the streamflow depletion attributable to agricultural water use in different areas of Scott Valley. These scenarios produce substantial HB gains at a high ET cost relative to basecase (Figure</w:t>
      </w:r>
      <w:r>
        <w:t xml:space="preserve"> </w:t>
      </w:r>
      <w:r>
        <w:t xml:space="preserve">6</w:t>
      </w:r>
      <w:r>
        <w:t xml:space="preserve">).</w:t>
      </w:r>
    </w:p>
    <w:p>
      <w:pPr>
        <w:pStyle w:val="BodyText"/>
      </w:pPr>
      <w:r>
        <w:t xml:space="preserve">The key geographic feature in the NatVeg and NatVegET scenarios is the</w:t>
      </w:r>
      <w:r>
        <w:t xml:space="preserve"> </w:t>
      </w:r>
      <w:r>
        <w:t xml:space="preserve">“Interconnected Zone”</w:t>
      </w:r>
      <w:r>
        <w:t xml:space="preserve"> </w:t>
      </w:r>
      <w:r>
        <w:t xml:space="preserve">in the 1980 Scott Valley surface water adjudication</w:t>
      </w:r>
      <w:r>
        <w:t xml:space="preserve"> </w:t>
      </w:r>
      <w:r>
        <w:t xml:space="preserve">(California State Water Resources Control Board 1980)</w:t>
      </w:r>
      <w:r>
        <w:t xml:space="preserve">, referred to here as the</w:t>
      </w:r>
      <w:r>
        <w:t xml:space="preserve"> </w:t>
      </w:r>
      <w:r>
        <w:t xml:space="preserve">“adjudicated zone”</w:t>
      </w:r>
      <w:r>
        <w:t xml:space="preserve"> </w:t>
      </w:r>
      <w:r>
        <w:t xml:space="preserve">of groundwater pumping (Figure</w:t>
      </w:r>
      <w:r>
        <w:t xml:space="preserve"> </w:t>
      </w:r>
      <w:r>
        <w:t xml:space="preserve">1</w:t>
      </w:r>
      <w:r>
        <w:t xml:space="preserve">), and the six scenarios in each category represent the cessation of all irrigation or the cessation of only groundwater pumping in three spatial configurations: within the adjudicated zone, outside of the adjudicated zone, or in both areas. All areas where irrigation or pumping is turned off are assumed to return to (unirrigated) native vegetation.</w:t>
      </w:r>
    </w:p>
    <w:p>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NatVeg and NatVeg ET scenarios generate higher simulated FJ streamflow in most months of the model period.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 (See</w:t>
      </w:r>
      <w:r>
        <w:t xml:space="preserve"> </w:t>
      </w:r>
      <w:r>
        <w:rPr>
          <w:i/>
          <w:iCs/>
        </w:rPr>
        <w:t xml:space="preserve">Supplemental Material</w:t>
      </w:r>
      <w:r>
        <w:t xml:space="preserve"> </w:t>
      </w:r>
      <w:r>
        <w:t xml:space="preserve">for more details on this scenario design.)</w:t>
      </w:r>
    </w:p>
    <w:p>
      <w:pPr>
        <w:pStyle w:val="TableCaption"/>
      </w:pPr>
      <w:bookmarkStart w:id="67" w:name="tab:scenarioResultsTab"/>
      <w:bookmarkEnd w:id="67"/>
      <w:r>
        <w:t xml:space="preserve">Table 5:</w:t>
      </w:r>
      <w:r>
        <w:t xml:space="preserve"> </w:t>
      </w:r>
      <w:r>
        <w:t xml:space="preserve">Scenario attributes for 25 scenarios. Units for Hydrologic Benefit (HB) value are coho smolt per female-equivalent; for ET are million cubic meters; both are averages of 35 annual values. Efficiency not calculated for scenarios with no average ET loss.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1440"/>
        <w:gridCol w:w="1008"/>
        <w:gridCol w:w="1008"/>
        <w:gridCol w:w="1008"/>
        <w:gridCol w:w="1152"/>
        <w:gridCol w:w="1152"/>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HB / 1.000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Pareto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Efficiency</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alf_curtail_07.15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0.79</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alf_curtail_07.31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2.12</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alf_curtail_08.15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4.54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curtail_all_07.15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1.25</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curtail_all_07.31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1.82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curtail_all_08.15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1.42</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eflows25_div_lims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grain_12k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0.34</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grain_14k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grain_6k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0.24</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4.68</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0.35</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maxMAR_fields2024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0.98</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natveg_high_12k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natveg_high_4k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0.16</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natveg_high_8k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natveg_low_12k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0.08</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natveg_low_4k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0.35</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natveg_low_8k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0.14</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0.23</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reservoir_etna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reservoir_french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body25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reservoir_shackleford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bl>
    <w:bookmarkEnd w:id="68"/>
    <w:bookmarkStart w:id="73" w:name="X5717be130d28923be971a1bdea556d769a5487a"/>
    <w:p>
      <w:pPr>
        <w:pStyle w:val="Heading2"/>
      </w:pPr>
      <w:r>
        <w:rPr>
          <w:rStyle w:val="SectionNumber"/>
        </w:rPr>
        <w:t xml:space="preserve">4.2</w:t>
      </w:r>
      <w:r>
        <w:tab/>
      </w:r>
      <w:r>
        <w:t xml:space="preserve">Agricultural-environmental trade-off efficiency</w:t>
      </w:r>
    </w:p>
    <w:p>
      <w:pPr>
        <w:pStyle w:val="FirstParagraph"/>
      </w:pPr>
      <w:r>
        <w:t xml:space="preserve">The trade-off efficiency between the environmental and agricultural objective functions is defined as the average HB value gained, relative to HB</w:t>
      </w:r>
      <w:r>
        <w:rPr>
          <w:vertAlign w:val="subscript"/>
        </w:rPr>
        <w:t xml:space="preserve">basecase</w:t>
      </w:r>
      <w:r>
        <w:t xml:space="preserve">, per ET value lost relative to ET</w:t>
      </w:r>
      <w:r>
        <w:rPr>
          <w:vertAlign w:val="subscript"/>
        </w:rPr>
        <w:t xml:space="preserve">basecase</w:t>
      </w:r>
      <w:r>
        <w:t xml:space="preserve"> </w:t>
      </w:r>
      <w:r>
        <w:t xml:space="preserve">(see formula in Methods). However, six scenarios (the five reservoir scenarios and managed aquifer recharge, or MAR) actually resulted in an average ET volume slightly greater than the basecase, and so avoided any ET cost. These scenarios were excluded from the efficiency calculations because including them would produce nonsensical negative efficiencies.</w:t>
      </w:r>
    </w:p>
    <w:p>
      <w:pPr>
        <w:pStyle w:val="BodyText"/>
      </w:pPr>
      <w:r>
        <w:t xml:space="preserve">For all other scenarios, trade-off efficiencies ranged from 0.05 to 4.7 when averaged over all years(Table</w:t>
      </w:r>
      <w:r>
        <w:t xml:space="preserve"> </w:t>
      </w:r>
      <w:r>
        <w:t xml:space="preserve">5</w:t>
      </w:r>
      <w:r>
        <w:t xml:space="preserve">). The range covers two orders of magnitude because the denominator of the ratio, lost ET, ranges from 0% to 100%, while the HB gains fall more narrowly between 0% to 23.4%. Efficiencies greater than 1 indicate that a scenario produces more than a 1% increase in HB value per 1% loss in ET value. However, because the HB and ET units are non-commensurable, the absolute value of the trade-off efficiency is not of great significance; the trade-off efficiency metric is most useful for scenario comparisons.</w:t>
      </w:r>
    </w:p>
    <w:p>
      <w:pPr>
        <w:pStyle w:val="BodyText"/>
      </w:pPr>
      <w:r>
        <w:t xml:space="preserve">Four scenario categories form a</w:t>
      </w:r>
      <w:r>
        <w:t xml:space="preserve"> </w:t>
      </w:r>
      <w:r>
        <w:t xml:space="preserve">“low-efficiency”</w:t>
      </w:r>
      <w:r>
        <w:t xml:space="preserve"> </w:t>
      </w:r>
      <w:r>
        <w:t xml:space="preserve">cluster, with all-years efficiencies of less than 1: Crop Change, Curtailment, and the two Natural Vegetation categories (Figure</w:t>
      </w:r>
      <w:r>
        <w:t xml:space="preserve"> </w:t>
      </w:r>
      <w:r>
        <w:t xml:space="preserve">7</w:t>
      </w:r>
      <w:r>
        <w:t xml:space="preserve">). These scenarios can produce substantial HB gains (ranging from 0 to 10) coho spf-equiv., but result in severe agricultural productivity reductions (0% to 100%). The</w:t>
      </w:r>
      <w:r>
        <w:t xml:space="preserve"> </w:t>
      </w:r>
      <w:r>
        <w:t xml:space="preserve">“high-efficiency”</w:t>
      </w:r>
      <w:r>
        <w:t xml:space="preserve"> </w:t>
      </w:r>
      <w:r>
        <w:t xml:space="preserve">scenarios, which have an all-years trade-off efficiency greater than 1 (the Enhanced Recharge, Low Flow Diversion Limits, Irrigation Efficiency and Alfalfa Irrigation scenarios), tend to be associated with a small ET cost relative to basecase (-0.2 to 14.9 million m</w:t>
      </w:r>
      <w:r>
        <w:rPr>
          <w:vertAlign w:val="superscript"/>
        </w:rPr>
        <w:t xml:space="preserve">3</w:t>
      </w:r>
      <w:r>
        <w:t xml:space="preserve">, or -0.2 to 12.7 percent of basecase crop ET).</w:t>
      </w:r>
    </w:p>
    <w:p>
      <w:pPr>
        <w:pStyle w:val="SourceCode"/>
      </w:pPr>
      <w:r>
        <w:rPr>
          <w:rStyle w:val="VerbatimChar"/>
        </w:rPr>
        <w:t xml:space="preserve">## png </w:t>
      </w:r>
      <w:r>
        <w:br/>
      </w:r>
      <w:r>
        <w:rPr>
          <w:rStyle w:val="VerbatimChar"/>
        </w:rPr>
        <w:t xml:space="preserve">##   2</w:t>
      </w:r>
    </w:p>
    <w:p>
      <w:pPr>
        <w:pStyle w:val="CaptionedFigure"/>
      </w:pPr>
      <w:r>
        <w:drawing>
          <wp:inline>
            <wp:extent cx="5334000" cy="4000499"/>
            <wp:effectExtent b="0" l="0" r="0" t="0"/>
            <wp:docPr descr="Figure 7: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 title="" id="70" name="Picture"/>
            <a:graphic>
              <a:graphicData uri="http://schemas.openxmlformats.org/drawingml/2006/picture">
                <pic:pic>
                  <pic:nvPicPr>
                    <pic:cNvPr descr="Graphics%20and%20Supplements/Figure%207.png" id="71" name="Picture"/>
                    <pic:cNvPicPr>
                      <a:picLocks noChangeArrowheads="1" noChangeAspect="1"/>
                    </pic:cNvPicPr>
                  </pic:nvPicPr>
                  <pic:blipFill>
                    <a:blip r:embed="rId69"/>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bookmarkStart w:id="72" w:name="fig:efficiency"/>
      <w:bookmarkEnd w:id="72"/>
      <w:r>
        <w:t xml:space="preserve">Figure 7:</w:t>
      </w:r>
      <w:r>
        <w:t xml:space="preserve"> </w:t>
      </w:r>
      <w:r>
        <w:t xml:space="preserve"> </w:t>
      </w:r>
      <w:r>
        <w:t xml:space="preserve">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w:t>
      </w:r>
    </w:p>
    <w:bookmarkEnd w:id="73"/>
    <w:bookmarkStart w:id="79" w:name="Xfbc83626841bb94e70b2ed42e58f7fe62bf81a6"/>
    <w:p>
      <w:pPr>
        <w:pStyle w:val="Heading2"/>
      </w:pPr>
      <w:r>
        <w:rPr>
          <w:rStyle w:val="SectionNumber"/>
        </w:rPr>
        <w:t xml:space="preserve">4.3</w:t>
      </w:r>
      <w:r>
        <w:tab/>
      </w:r>
      <w:r>
        <w:t xml:space="preserve">Infrastructure objective, Pareto-optimal set and GSP priorities</w:t>
      </w:r>
    </w:p>
    <w:p>
      <w:pPr>
        <w:pStyle w:val="FirstParagraph"/>
      </w:pPr>
      <w:r>
        <w:t xml:space="preserve">By plotting the environmental, agricultural, and infrastructure objectives in a three-dimensional scatterplot, it is possible to visualize the combined set of management scenarios as four different trade-off arcs in different infrastructure categories (Figure</w:t>
      </w:r>
      <w:r>
        <w:t xml:space="preserve"> </w:t>
      </w:r>
      <w:r>
        <w:t xml:space="preserve">8</w:t>
      </w:r>
      <w:r>
        <w:t xml:space="preserve">).</w:t>
      </w:r>
    </w:p>
    <w:p>
      <w:pPr>
        <w:pStyle w:val="BodyText"/>
      </w:pPr>
      <w:r>
        <w:t xml:space="preserve">The Pareto-optimal set of management actions include more than half (25) of the simulated scenarios (Table</w:t>
      </w:r>
      <w:r>
        <w:t xml:space="preserve"> </w:t>
      </w:r>
      <w:r>
        <w:t xml:space="preserve">5</w:t>
      </w:r>
      <w:r>
        <w:t xml:space="preserve">; Figure</w:t>
      </w:r>
      <w:r>
        <w:t xml:space="preserve"> </w:t>
      </w:r>
      <w:r>
        <w:t xml:space="preserve">8</w:t>
      </w:r>
      <w:r>
        <w:t xml:space="preserve">). All the suboptimal scenarios are in infrastructure category 2 (infrastructure timeline of 1-2 years). The suboptimal set are either related to land use change (Crop Change, NatVeg, and NatVegET), which reduce crop ET demand or irrigated acreage, or they involve deployment of more efficient irrigation (Irrigation Efficiency), which has little impact on either HB or ET values.</w:t>
      </w:r>
    </w:p>
    <w:p>
      <w:pPr>
        <w:pStyle w:val="BodyText"/>
      </w:pPr>
      <w:r>
        <w:t xml:space="preserve">Infrastructure category 1 (no infrastructure investment needed) contains all the Regulation-type scenarios. In the Alfalfa Irrigation and Curtailment scenario categories, the trade-off arcs show the effect of intervention date: an earlier date of intervention (irrigation cutoff) produces a greater HB value at a higher ET cost, compared to a later date of intervention. The scenarios in infrastructure categories 3 and 4 (infrastructure timeline of 3-5 and 5+ years) involve no or minimal ET cost, and a range of HB gains on the middle-to-lower end of the HB gain spectrum (Reservoirs, Enhanced Recharge, and Expanded Enhanced Recharge; Figure</w:t>
      </w:r>
      <w:r>
        <w:t xml:space="preserve"> </w:t>
      </w:r>
      <w:r>
        <w:t xml:space="preserve">6</w:t>
      </w:r>
      <w:r>
        <w:t xml:space="preserve">).</w:t>
      </w:r>
    </w:p>
    <w:p>
      <w:pPr>
        <w:pStyle w:val="BodyText"/>
      </w:pPr>
      <w:r>
        <w:t xml:space="preserve">To determine if the strict application of objective functions would produce different management priorities than the public policy development process that took place 2018-2021, we made a high-level, conceptual comparison of the Pareto-optimal set of management actions and the management actions and projects listed for consideration in the GSP</w:t>
      </w:r>
      <w:r>
        <w:t xml:space="preserve"> </w:t>
      </w:r>
      <w:r>
        <w:t xml:space="preserve">(Siskiyou County 2021)</w:t>
      </w:r>
      <w:r>
        <w:t xml:space="preserve">. Management actions considered in the GSP have some analogs in the set of 25 simulated scenarios.</w:t>
      </w:r>
    </w:p>
    <w:p>
      <w:pPr>
        <w:pStyle w:val="BodyText"/>
      </w:pPr>
      <w:r>
        <w:t xml:space="preserve">High-priority scenarios tend to be associated with higher average crop ET values and modest HB gains relative to basecase (Table</w:t>
      </w:r>
      <w:r>
        <w:t xml:space="preserve"> </w:t>
      </w:r>
      <w:r>
        <w:t xml:space="preserve">6</w:t>
      </w:r>
      <w:r>
        <w:t xml:space="preserve">); i.e., the GSP priorities demonstrate a preference for management actions with high trade-off efficiencies. Specifically, Enhanced Recharge and Irrigation Efficiency are represented in Tiers I and II, signifying they are considered implementable in the short- or medium-term. Another high-efficiency scenario, Low Flow Diversion Limits, is represented three times in Table</w:t>
      </w:r>
      <w:r>
        <w:t xml:space="preserve"> </w:t>
      </w:r>
      <w:r>
        <w:t xml:space="preserve">6</w:t>
      </w:r>
      <w:r>
        <w:t xml:space="preserve">: the two analogs for it in Tier I are limited either in time (Water Trust Leasing, which occurs opportunistically in extreme droughts) or in space (the current two-creek extent of the existing watermaster program). An expanded watermaster program, which would more closely resemble the Low Flow Diversion Limits scenario, appears in Tier III.</w:t>
      </w:r>
    </w:p>
    <w:p>
      <w:pPr>
        <w:pStyle w:val="BodyText"/>
      </w:pPr>
      <w:r>
        <w:t xml:space="preserve">The final high-efficiency scenario category, Alfalfa Irrigation, is not included in the list of management actions; conversely, low-efficiency scenarios in categories NatVeg and Crop Change were included, in a spatially-limited form, in Tier II under the umbrella of</w:t>
      </w:r>
      <w:r>
        <w:t xml:space="preserve"> </w:t>
      </w:r>
      <w:r>
        <w:t xml:space="preserve">“Voluntary Managed Land Repurposing”</w:t>
      </w:r>
      <w:r>
        <w:t xml:space="preserve">. This indicates that political considerations not currently included in the three objective functions produce a preference for some amount of land repurposing rather than imposing limitations on alfalfa irrigation.</w:t>
      </w:r>
    </w:p>
    <w:p>
      <w:pPr>
        <w:pStyle w:val="BodyText"/>
      </w:pPr>
      <w:r>
        <w:t xml:space="preserve">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pPr>
        <w:pStyle w:val="CaptionedFigure"/>
      </w:pPr>
      <w:r>
        <w:drawing>
          <wp:inline>
            <wp:extent cx="4038600" cy="4019550"/>
            <wp:effectExtent b="0" l="0" r="0" t="0"/>
            <wp:docPr descr="Figure 8:  A three-dimensional scatter plot of the objective function values for basecase and 39 management scenarios, averaged over 28 water years (1991-2018). Larger spheres are shown for the Pareto-optimal set of scenarios. Scenario colors correspond to legend in Figures 6 and 7." title="" id="75" name="Picture"/>
            <a:graphic>
              <a:graphicData uri="http://schemas.openxmlformats.org/drawingml/2006/picture">
                <pic:pic>
                  <pic:nvPicPr>
                    <pic:cNvPr descr="Graphics%20and%20Supplements/hbf%20et%20infra%20plot3d_2025.11.04.jpg" id="76" name="Picture"/>
                    <pic:cNvPicPr>
                      <a:picLocks noChangeArrowheads="1" noChangeAspect="1"/>
                    </pic:cNvPicPr>
                  </pic:nvPicPr>
                  <pic:blipFill>
                    <a:blip r:embed="rId74"/>
                    <a:stretch>
                      <a:fillRect/>
                    </a:stretch>
                  </pic:blipFill>
                  <pic:spPr bwMode="auto">
                    <a:xfrm>
                      <a:off x="0" y="0"/>
                      <a:ext cx="4038600" cy="4019550"/>
                    </a:xfrm>
                    <a:prstGeom prst="rect">
                      <a:avLst/>
                    </a:prstGeom>
                    <a:noFill/>
                    <a:ln w="9525">
                      <a:noFill/>
                      <a:headEnd/>
                      <a:tailEnd/>
                    </a:ln>
                  </pic:spPr>
                </pic:pic>
              </a:graphicData>
            </a:graphic>
          </wp:inline>
        </w:drawing>
      </w:r>
    </w:p>
    <w:p>
      <w:pPr>
        <w:pStyle w:val="ImageCaption"/>
      </w:pPr>
      <w:bookmarkStart w:id="77" w:name="fig:farmerFishInfraFigure3D"/>
      <w:bookmarkEnd w:id="77"/>
      <w:r>
        <w:t xml:space="preserve">Figure 8:</w:t>
      </w:r>
      <w:r>
        <w:t xml:space="preserve"> </w:t>
      </w:r>
      <w:r>
        <w:t xml:space="preserve"> </w:t>
      </w:r>
      <w:r>
        <w:t xml:space="preserve">A three-dimensional scatter plot of the objective function values for basecase and 39 management scenarios, averaged over 28 water years (1991-2018). Larger spheres are shown for the Pareto-optimal set of scenarios. Scenario colors correspond to legend in Figures 6 and 7.</w:t>
      </w:r>
    </w:p>
    <w:p>
      <w:pPr>
        <w:pStyle w:val="TableCaption"/>
      </w:pPr>
      <w:bookmarkStart w:id="78" w:name="tab:gspMgmtList"/>
      <w:bookmarkEnd w:id="78"/>
      <w:r>
        <w:t xml:space="preserve">Table 6:</w:t>
      </w:r>
      <w:r>
        <w:t xml:space="preserve"> </w:t>
      </w:r>
      <w:r>
        <w:t xml:space="preserve">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2880"/>
        <w:gridCol w:w="3168"/>
        <w:gridCol w:w="1296"/>
        <w:gridCol w:w="1296"/>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GSP Management 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Closest Simulated Analogue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HB 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ET Range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(two creeks)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River Water Trust Leasing 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Improvements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44.67-46.09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115-117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Efficiency Improvements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44.67-46.09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115-117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  - NFWF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Recharge Project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Voluntary Managed Land Repurposing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Crop Change (CropCh) and possibly some amount of Natural Vegetation Land Use (NatVegH or 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44.92-54.66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0-109</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Alternative, lower ET crops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45.11-47.04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93-109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Floodplain Reconnection/ Expansion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Reservoirs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 (Res)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41.9-46.92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118-118</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Strategic Groundwater Pumping Curtailment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Cease Alfalfa Irrigation Early (AlfIrr); Possibly Curtail Irrigation Early (Curtail)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45.83-51.32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103-117</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(expanded)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bl>
    <w:p>
      <w:r>
        <w:br w:type="page"/>
      </w:r>
    </w:p>
    <w:bookmarkEnd w:id="79"/>
    <w:bookmarkEnd w:id="80"/>
    <w:bookmarkStart w:id="86" w:name="discussion"/>
    <w:p>
      <w:pPr>
        <w:pStyle w:val="Heading1"/>
      </w:pPr>
      <w:r>
        <w:rPr>
          <w:rStyle w:val="SectionNumber"/>
        </w:rPr>
        <w:t xml:space="preserve">5</w:t>
      </w:r>
      <w:r>
        <w:tab/>
      </w:r>
      <w:r>
        <w:t xml:space="preserve">Discussion</w:t>
      </w:r>
    </w:p>
    <w:p>
      <w:pPr>
        <w:pStyle w:val="FirstParagraph"/>
      </w:pPr>
      <w:r>
        <w:rPr>
          <w:b/>
          <w:bCs/>
        </w:rPr>
        <w:t xml:space="preserve">add discussion of alternative env obj functions: Chinook salmon, indices of alteration</w:t>
      </w:r>
    </w:p>
    <w:p>
      <w:pPr>
        <w:pStyle w:val="BodyText"/>
      </w:pPr>
      <w:r>
        <w:t xml:space="preserve">The portfolio of scenarios proposed by stakeholders and simulated for this study included a range of infrastructure investments, regulatory actions and major land use changes. The number and diversity of simulated scenarios was made possible by a surface- and groundwater model designed to approximate existing land use and agricultural water use behavior in the local context [SVIHM;</w:t>
      </w:r>
      <w:r>
        <w:t xml:space="preserve"> </w:t>
      </w:r>
      <w:r>
        <w:t xml:space="preserve">Tolley, Foglia, and Harter (2019)</w:t>
      </w:r>
      <w:r>
        <w:t xml:space="preserve">]. Though the ultimate future effect of these management actions would depend on climate variability and implementation details that have not been explicitly simulated (e.g., the precise location of pumps needed to divert surface water for the expanded enhanced recharge scenarios), it is possible to use objective functions and historical climate records to draw some high-level findings regarding their relative merits.</w:t>
      </w:r>
    </w:p>
    <w:bookmarkStart w:id="81" w:name="Xa151cb59b4ad5c02348e31b83bab4d8169de230"/>
    <w:p>
      <w:pPr>
        <w:pStyle w:val="Heading2"/>
      </w:pPr>
      <w:r>
        <w:rPr>
          <w:rStyle w:val="SectionNumber"/>
        </w:rPr>
        <w:t xml:space="preserve">5.1</w:t>
      </w:r>
      <w:r>
        <w:tab/>
      </w:r>
      <w:r>
        <w:t xml:space="preserve">Contextualizing low objective function values</w:t>
      </w:r>
    </w:p>
    <w:p>
      <w:pPr>
        <w:pStyle w:val="FirstParagraph"/>
      </w:pPr>
      <w:r>
        <w:t xml:space="preserve">The HB function incorporates several hydrologic metrics, but years with low HB values (i.e., low predicted coho-spf equivalent) usually share several characteristics.</w:t>
      </w:r>
    </w:p>
    <w:p>
      <w:pPr>
        <w:pStyle w:val="BodyText"/>
      </w:pPr>
      <w:r>
        <w:t xml:space="preserve">A water year with a low HB value (e.g., &lt; XX coho spf-equiv.) commonly occurs after a dry season with multiple dried-out mainstem Scott River reaches, culminating in a prolonged fall period (e.g., 4 to 8 weeks after September 1st) of FJ Gauge flows lower than 10 cfs. In a low-HB water year, high winter baseflows (e.g., &gt; 200 cfs) may not arrive until December or January, and the rainy season may be short (e.g., &lt; 100 days). These hydrologic features have implications for fishery stability. In water year 2014, for example, salmon access flows were significantly delayed, and coho salmon laid their eggs in the mainstem of the Scott River rather than in their preferred tributary stream habitat, which put them at higher risk of getting scoured away in a winter storm</w:t>
      </w:r>
      <w:r>
        <w:t xml:space="preserve"> </w:t>
      </w:r>
      <w:r>
        <w:t xml:space="preserve">(CDFW 2015)</w:t>
      </w:r>
      <w:r>
        <w:t xml:space="preserve">.</w:t>
      </w:r>
    </w:p>
    <w:p>
      <w:pPr>
        <w:pStyle w:val="BodyText"/>
      </w:pPr>
      <w:r>
        <w:t xml:space="preserve">Because no recent precedent exists for a low-crop-ET year, interpreting the numerical values of the ET objective function requires more speculation, and the specific impact of ET loss on the agricultural community depends on the specific management action and its enforcement. One method to address uncertainty related to impact of management actions on agricultural objectives is to survey regional agricultural practitioners and experts about the likely costs of a proposed management action</w:t>
      </w:r>
      <w:r>
        <w:t xml:space="preserve"> </w:t>
      </w:r>
      <w:r>
        <w:t xml:space="preserve">(Sunding 1996)</w:t>
      </w:r>
      <w:r>
        <w:t xml:space="preserve">. In the public meetings during GSP development, some informal (i.e., non-quantitative) surveying of stakeholder expectations of the costs of management actions took place. In terms of operational impacts, Scott Valley agricultural stakeholders stated that short-term interventions (such as fallowing an alfalfa field for one year, or curtailing pasture irrigation for a growing season) could have long-term impacts (such as affecting alfalfa yield the following year, or forcing a rancher to sell a herd</w:t>
      </w:r>
      <w:r>
        <w:t xml:space="preserve"> </w:t>
      </w:r>
      <w:r>
        <w:t xml:space="preserve">(SVGAC 2021)</w:t>
      </w:r>
      <w:r>
        <w:t xml:space="preserve">. The current agricultural benefit proxy, annual crop ET, does not capture these multi-year costs to the local agricultural sector, or the regional impact that reduced agricultural productivity will have on economically disadvantaged local communities.</w:t>
      </w:r>
    </w:p>
    <w:p>
      <w:pPr>
        <w:pStyle w:val="BodyText"/>
      </w:pPr>
      <w:r>
        <w:t xml:space="preserve">These predicted on-the-ground consequences can facilitate interpretation of scenario results.</w:t>
      </w:r>
    </w:p>
    <w:bookmarkEnd w:id="81"/>
    <w:bookmarkStart w:id="82" w:name="Xeb4407dfc59ea709d91a13199c8e469abf09cea"/>
    <w:p>
      <w:pPr>
        <w:pStyle w:val="Heading2"/>
      </w:pPr>
      <w:r>
        <w:rPr>
          <w:rStyle w:val="SectionNumber"/>
        </w:rPr>
        <w:t xml:space="preserve">5.2</w:t>
      </w:r>
      <w:r>
        <w:tab/>
      </w:r>
      <w:r>
        <w:t xml:space="preserve">Environmental objective performance in historically low-coho years</w:t>
      </w:r>
    </w:p>
    <w:p>
      <w:pPr>
        <w:pStyle w:val="FirstParagraph"/>
      </w:pPr>
      <w:r>
        <w:t xml:space="preserve">Management scenario performance in dry years, rather than over the whole model period, is another informative metric for resource managers. For example, in potentially unstable fish populations, conditions during critical dry years can be more significant than long-term average conditions</w:t>
      </w:r>
      <w:r>
        <w:t xml:space="preserve"> </w:t>
      </w:r>
      <w:r>
        <w:t xml:space="preserve">(e.g., Ohlberger et al. 2018)</w:t>
      </w:r>
      <w:r>
        <w:t xml:space="preserve">. Eight dry years occurred during the 1991-2018 model period: 1991, ’92, ’94, 2001, ’09, ’13, ’14, and ’18 (Figure</w:t>
      </w:r>
      <w:r>
        <w:t xml:space="preserve"> </w:t>
      </w:r>
      <w:r>
        <w:t xml:space="preserve">5</w:t>
      </w:r>
      <w:r>
        <w:t xml:space="preserve">). Dry years were classified using quartiles of the distribution of total annual FJ Gauge flow over the full record of water years 1942-2021. The lowest to highest quartiles of total annual flow are classified as Dry, Below Average, Above Average, and Wet water year types, respectively.</w:t>
      </w:r>
    </w:p>
    <w:p>
      <w:pPr>
        <w:pStyle w:val="BodyText"/>
      </w:pPr>
      <w:r>
        <w:t xml:space="preserve">However, in this system, the years following dry periods may be more informative. As mentioned in Methods, the lowest basecase HB values, operationally defined here as years with basecase HB values of less than XX predicted coho spf-equivalent, tend to occur in years following one or more dry years (i.e., 1993, 1995, 2002, and 2014-16 in Figure</w:t>
      </w:r>
      <w:r>
        <w:t xml:space="preserve"> </w:t>
      </w:r>
      <w:r>
        <w:t xml:space="preserve">5</w:t>
      </w:r>
      <w:r>
        <w:t xml:space="preserve">;</w:t>
      </w:r>
      <w:r>
        <w:t xml:space="preserve"> </w:t>
      </w:r>
      <w:r>
        <w:t xml:space="preserve">“low-coho years”</w:t>
      </w:r>
      <w:r>
        <w:t xml:space="preserve">). In the Scott River watershed, one mechanism producing this pattern is delayed onset of winter storms, which cannot be managed through policy. Another mechanism is the depletion of stored groundwater in dry years, which can reduce dry-season baseflow and delay stream system reconnection during the onset of the following wet season</w:t>
      </w:r>
      <w:r>
        <w:t xml:space="preserve"> </w:t>
      </w:r>
      <w:r>
        <w:t xml:space="preserve">(Tolley, Foglia, and Harter 2019)</w:t>
      </w:r>
      <w:r>
        <w:t xml:space="preserve">. Regardless of the primary cause of the low fall flows in a particular year, the HB value for each water year is sensitive to long periods in the fall with flow below 10 and 100 cfs (see Chapter 1 of this dissertation for more details on coho salmon sensitivity to low fall flows).</w:t>
      </w:r>
    </w:p>
    <w:p>
      <w:pPr>
        <w:pStyle w:val="BodyText"/>
      </w:pPr>
      <w:r>
        <w:t xml:space="preserve">Because many aspects of scenario performance are relatively consistent (i.e., for any given scenario, ET costs are relatively static year to year, and most scenarios demonstrate consistently small HB gains over basecase in high-coho spf years; Figure</w:t>
      </w:r>
      <w:r>
        <w:t xml:space="preserve"> </w:t>
      </w:r>
      <w:r>
        <w:t xml:space="preserve">5</w:t>
      </w:r>
      <w:r>
        <w:t xml:space="preserve">), the low-coho year HB performance of various model scenarios is a key scenario differentiator.</w:t>
      </w:r>
    </w:p>
    <w:bookmarkEnd w:id="82"/>
    <w:bookmarkStart w:id="83" w:name="environmental-agricultural-trade-offs"/>
    <w:p>
      <w:pPr>
        <w:pStyle w:val="Heading2"/>
      </w:pPr>
      <w:r>
        <w:rPr>
          <w:rStyle w:val="SectionNumber"/>
        </w:rPr>
        <w:t xml:space="preserve">5.3</w:t>
      </w:r>
      <w:r>
        <w:tab/>
      </w:r>
      <w:r>
        <w:t xml:space="preserve">Environmental-agricultural trade-offs</w:t>
      </w:r>
    </w:p>
    <w:p>
      <w:pPr>
        <w:pStyle w:val="FirstParagraph"/>
      </w:pPr>
      <w:r>
        <w:t xml:space="preserve">Balancing agricultural and environmental water demands in this watershed commonly takes the form of seeking management actions that can improve flow conditions while minimizing the resulting reduction in agricultural water availability. Consequently, a subset of the proposed scenarios rely on infrastructure investments to produce modest HB improvements with minimal-to-no ET reductions (Enhanced Recharge, Expanded Enhanced Recharge, Irrigation Efficiency, and Reservoirs) (Figure</w:t>
      </w:r>
      <w:r>
        <w:t xml:space="preserve"> </w:t>
      </w:r>
      <w:r>
        <w:t xml:space="preserve">6</w:t>
      </w:r>
      <w:r>
        <w:t xml:space="preserve">). The remaining categories tend to include some level of ET reduction, due to reduced water availability for irrigation.</w:t>
      </w:r>
    </w:p>
    <w:p>
      <w:pPr>
        <w:pStyle w:val="BodyText"/>
      </w:pPr>
      <w:r>
        <w:t xml:space="preserve">The environmental gain-agricultural cost trade-off is evident both within individual categories and between distinct scenario categories, especially in HB performance in low-coho years.</w:t>
      </w:r>
    </w:p>
    <w:p>
      <w:pPr>
        <w:pStyle w:val="BodyText"/>
      </w:pPr>
      <w:r>
        <w:t xml:space="preserve">Among Alfalfa Irrigation scenarios, and ET costs are small (averaging 1 and 3 million m</w:t>
      </w:r>
      <w:r>
        <w:rPr>
          <w:vertAlign w:val="superscript"/>
        </w:rPr>
        <w:t xml:space="preserve">3</w:t>
      </w:r>
      <w:r>
        <w:t xml:space="preserve">, respectively, in all years); conversely, the more extreme July 10th cutoff date produces an average of 8 million m</w:t>
      </w:r>
      <w:r>
        <w:rPr>
          <w:vertAlign w:val="superscript"/>
        </w:rPr>
        <w:t xml:space="preserve">3</w:t>
      </w:r>
      <w:r>
        <w:t xml:space="preserve">, or 7%, reduction in ET in all years (panels A and B of Figure</w:t>
      </w:r>
      <w:r>
        <w:t xml:space="preserve"> </w:t>
      </w:r>
      <w:r>
        <w:t xml:space="preserve">5</w:t>
      </w:r>
      <w:r>
        <w:t xml:space="preserve">).</w:t>
      </w:r>
    </w:p>
    <w:p>
      <w:pPr>
        <w:pStyle w:val="BodyText"/>
      </w:pPr>
      <w:r>
        <w:t xml:space="preserve">Trade-off is also evident between scenario categories. The Enhanced Recharge scenario</w:t>
      </w:r>
      <w:r>
        <w:t xml:space="preserve"> </w:t>
      </w:r>
      <w:r>
        <w:rPr>
          <w:rStyle w:val="VerbatimChar"/>
        </w:rPr>
        <w:t xml:space="preserve">mar_ilr</w:t>
      </w:r>
      <w:r>
        <w:t xml:space="preserve"> </w:t>
      </w:r>
      <w:r>
        <w:t xml:space="preserve">has a minimal ET cost (an average of 0 million m</w:t>
      </w:r>
      <w:r>
        <w:rPr>
          <w:vertAlign w:val="superscript"/>
        </w:rPr>
        <w:t xml:space="preserve">3</w:t>
      </w:r>
      <w:r>
        <w:t xml:space="preserve"> </w:t>
      </w:r>
      <w:r>
        <w:t xml:space="preserve">less than basecase in all years). At the other extreme, the Curtailment scenario in which all irrigation is cut off on August 1st (</w:t>
      </w:r>
      <w:r>
        <w:rPr>
          <w:rStyle w:val="VerbatimChar"/>
        </w:rPr>
        <w:t xml:space="preserve">curtail_start_07.31</w:t>
      </w:r>
      <w:r>
        <w:t xml:space="preserve">), but reduces ET by an average of 9 million m</w:t>
      </w:r>
      <w:r>
        <w:rPr>
          <w:vertAlign w:val="superscript"/>
        </w:rPr>
        <w:t xml:space="preserve">3</w:t>
      </w:r>
      <w:r>
        <w:t xml:space="preserve"> </w:t>
      </w:r>
      <w:r>
        <w:t xml:space="preserve">or 7% (panels C and D of Figure</w:t>
      </w:r>
      <w:r>
        <w:t xml:space="preserve"> </w:t>
      </w:r>
      <w:r>
        <w:t xml:space="preserve">5</w:t>
      </w:r>
      <w:r>
        <w:t xml:space="preserve">). Compared to</w:t>
      </w:r>
      <w:r>
        <w:t xml:space="preserve"> </w:t>
      </w:r>
      <w:r>
        <w:rPr>
          <w:rStyle w:val="VerbatimChar"/>
        </w:rPr>
        <w:t xml:space="preserve">curtail_start_07.31</w:t>
      </w:r>
      <w:r>
        <w:t xml:space="preserve">, the Low Flow Diversion Limits (</w:t>
      </w:r>
      <w:r>
        <w:rPr>
          <w:rStyle w:val="VerbatimChar"/>
        </w:rPr>
        <w:t xml:space="preserve">flowlims</w:t>
      </w:r>
      <w:r>
        <w:t xml:space="preserve">) scenario reduces ET by an average of 3%.</w:t>
      </w:r>
    </w:p>
    <w:p>
      <w:pPr>
        <w:pStyle w:val="BodyText"/>
      </w:pPr>
      <w:r>
        <w:t xml:space="preserve">The 33 scenarios with ET lower than basecase sort clearly into one high- and one low-efficiency cluster (Figure</w:t>
      </w:r>
      <w:r>
        <w:t xml:space="preserve"> </w:t>
      </w:r>
      <w:r>
        <w:t xml:space="preserve">7</w:t>
      </w:r>
      <w:r>
        <w:t xml:space="preserve">). The high-efficiency scenarios are composed of three infrastructure-type management actions (Enhanced Recharge, Expanded Enhanced Recharge and Irrigation Efficiency) and two regulatory-type management actions (Alfalfa Irrigation and Low Flow Diversion Limits), while the low-efficiency group contains one infrastructure-type (Crop Change), one regulatory-type (Curtailment), and the two native vegetation-type scenarios. The previously-stated caveat regarding the Crop Change scenario’s true agricultural benefit potentially being higher or lower than the values in Table</w:t>
      </w:r>
      <w:r>
        <w:t xml:space="preserve"> </w:t>
      </w:r>
      <w:r>
        <w:t xml:space="preserve">5</w:t>
      </w:r>
      <w:r>
        <w:t xml:space="preserve"> </w:t>
      </w:r>
      <w:r>
        <w:t xml:space="preserve">apply to these efficiency calculations as well. The trade-off efficiencies provide an informal cost-benefit assessment, though interpretation is somewhat limited, as the unitless quantity tends to group together scenarios with widely varying absolute values of HB and ET (e.g., Crop Change and some Curtailment scenarios).</w:t>
      </w:r>
    </w:p>
    <w:p>
      <w:pPr>
        <w:pStyle w:val="BodyText"/>
      </w:pPr>
      <w:r>
        <w:t xml:space="preserve">There is a clear positive relationship between efficiency in all years and in low-coho years, but in nearly all scenarios the low-coho year efficiency average is higher than over the 28-year model period (Figure</w:t>
      </w:r>
      <w:r>
        <w:t xml:space="preserve"> </w:t>
      </w:r>
      <w:r>
        <w:t xml:space="preserve">7</w:t>
      </w:r>
      <w:r>
        <w:t xml:space="preserve">). In other words, in low-coho years, a given amount of crop ET reduction produces a greater environmental flow enhancement than on average over all years. This is corroborated by annual scenario HB values: in high-coho years, HB gains are small or minimal, while substantial improvements are seen for some scenarios in low-coho years (panels A and C in Figure</w:t>
      </w:r>
      <w:r>
        <w:t xml:space="preserve"> </w:t>
      </w:r>
      <w:r>
        <w:t xml:space="preserve">5</w:t>
      </w:r>
      <w:r>
        <w:t xml:space="preserve">). One possible explanation is that, in high-coho years, environmental flows tend to already be sufficient, and most management scenarios can generate only marginal improvements in hydrologic conditions. This suggests that targeting management actions to dry years (which tend to precede the low-coho water years) may produce the highest efficiency management actions. This possibility was supported by the two cases where this comparison was explicitly simulated: the efficiencies for the Alfalfa Irrigation scenarios for dry years only (</w:t>
      </w:r>
      <w:r>
        <w:rPr>
          <w:rStyle w:val="VerbatimChar"/>
        </w:rPr>
        <w:t xml:space="preserve">alf_irr_stop_07.31_dry_yrs_only</w:t>
      </w:r>
      <w:r>
        <w:t xml:space="preserve"> </w:t>
      </w:r>
      <w:r>
        <w:t xml:space="preserve">and</w:t>
      </w:r>
      <w:r>
        <w:t xml:space="preserve"> </w:t>
      </w:r>
      <w:r>
        <w:rPr>
          <w:rStyle w:val="VerbatimChar"/>
        </w:rPr>
        <w:t xml:space="preserve">alf_irr_stop_08.15_dry_yrs_only</w:t>
      </w:r>
      <w:r>
        <w:t xml:space="preserve">) are higher than for their corresponding scenarios with an intervention in all years (</w:t>
      </w:r>
      <w:r>
        <w:rPr>
          <w:rStyle w:val="VerbatimChar"/>
        </w:rPr>
        <w:t xml:space="preserve">alf_irr_stop_07.31</w:t>
      </w:r>
      <w:r>
        <w:t xml:space="preserve"> </w:t>
      </w:r>
      <w:r>
        <w:t xml:space="preserve">and</w:t>
      </w:r>
      <w:r>
        <w:t xml:space="preserve"> </w:t>
      </w:r>
      <w:r>
        <w:rPr>
          <w:rStyle w:val="VerbatimChar"/>
        </w:rPr>
        <w:t xml:space="preserve">alf_irr_stop_08.15</w:t>
      </w:r>
      <w:r>
        <w:t xml:space="preserve">; Table</w:t>
      </w:r>
      <w:r>
        <w:t xml:space="preserve"> </w:t>
      </w:r>
      <w:r>
        <w:t xml:space="preserve">5</w:t>
      </w:r>
      <w:r>
        <w:t xml:space="preserve">).</w:t>
      </w:r>
    </w:p>
    <w:bookmarkEnd w:id="83"/>
    <w:bookmarkStart w:id="84" w:name="Xb48c0b1c357814727cacf50afe35e98b0bf92dd"/>
    <w:p>
      <w:pPr>
        <w:pStyle w:val="Heading2"/>
      </w:pPr>
      <w:r>
        <w:rPr>
          <w:rStyle w:val="SectionNumber"/>
        </w:rPr>
        <w:t xml:space="preserve">5.4</w:t>
      </w:r>
      <w:r>
        <w:tab/>
      </w:r>
      <w:r>
        <w:t xml:space="preserve">Pareto-optimal solution set and GSP priority management actions</w:t>
      </w:r>
    </w:p>
    <w:p>
      <w:pPr>
        <w:pStyle w:val="FirstParagraph"/>
      </w:pPr>
      <w:r>
        <w:t xml:space="preserve">Within the proposed suite of management actions, more than half (</w:t>
      </w:r>
      <w:r>
        <w:rPr>
          <w:b/>
          <w:bCs/>
        </w:rPr>
        <w:t xml:space="preserve">25</w:t>
      </w:r>
      <w:r>
        <w:t xml:space="preserve"> </w:t>
      </w:r>
      <w:r>
        <w:t xml:space="preserve">of 25, including the basecase) fall within the Pareto-optimal set based on the infrastructure category and the 28-year average values of objective functions. This same set remains Pareto-optimal when the objective functions are averaged only over the six low-coho water years, with one exception (the French Creek reservoir scenario is Pareto-optimal when averaged in all years, but not in low-coho years).</w:t>
      </w:r>
    </w:p>
    <w:p>
      <w:pPr>
        <w:pStyle w:val="BodyText"/>
      </w:pPr>
      <w:r>
        <w:t xml:space="preserve">The non-Pareto-optimal scenarios (i.e. the scenarios outperformed in multiple objectives) are in the Irrigation Efficiency, Crop Change and Native Vegetation categories. (The 20% improved Irrigation Efficiency scenario is outperformed in both HB and ET objectives by both of the alfalfa irrigation scenarios with a cutoff date of August 15; Table</w:t>
      </w:r>
      <w:r>
        <w:t xml:space="preserve"> </w:t>
      </w:r>
      <w:r>
        <w:t xml:space="preserve">5</w:t>
      </w:r>
      <w:r>
        <w:t xml:space="preserve">). Native Vegetation scenarios, under two different assumptions about vegetation type/ET demand of the vegetation replacing cultivated agriculture, can produce significant HB improvements, but at a relatively high cost in regional agricultural productivity; these two scenario categories have the lowest trade-off efficiency (Figure</w:t>
      </w:r>
      <w:r>
        <w:t xml:space="preserve"> </w:t>
      </w:r>
      <w:r>
        <w:t xml:space="preserve">7</w:t>
      </w:r>
      <w:r>
        <w:t xml:space="preserve">; Table</w:t>
      </w:r>
      <w:r>
        <w:t xml:space="preserve"> </w:t>
      </w:r>
      <w:r>
        <w:t xml:space="preserve">5</w:t>
      </w:r>
      <w:r>
        <w:t xml:space="preserve">).</w:t>
      </w:r>
    </w:p>
    <w:p>
      <w:pPr>
        <w:pStyle w:val="BodyText"/>
      </w:pPr>
      <w:r>
        <w:t xml:space="preserve">Pareto-suboptimal status is less certain in the case of the Crop Change scenario, since the ET volume proxy for agricultural revenue/benefit may not be valid for alternative crops. (Crops that have been mentioned during stakeholder meetings as possibly suited to the climate of Scott Valley or have been cultivated in a trial setting are high(er) value annuals in lieu of the current perennial crops, e.g., potatoes, sunflowers, and carrots for seed, though notably, to the authors’ knowledge no local grower has cultivated any of these commercially.)</w:t>
      </w:r>
    </w:p>
    <w:p>
      <w:pPr>
        <w:pStyle w:val="BodyText"/>
      </w:pPr>
      <w:r>
        <w:t xml:space="preserve">Many of the simulated scenarios were included in the ultimate list of management priorities in the adopted GSP</w:t>
      </w:r>
      <w:r>
        <w:t xml:space="preserve"> </w:t>
      </w:r>
      <w:r>
        <w:t xml:space="preserve">(Siskiyou County 2021)</w:t>
      </w:r>
      <w:r>
        <w:t xml:space="preserve">, though in a variety of forms (e.g., the Low Flow Diversion Limits scenario, which is the closest simulated analogue for a watermaster program and a surface water leasing program; Table</w:t>
      </w:r>
      <w:r>
        <w:t xml:space="preserve"> </w:t>
      </w:r>
      <w:r>
        <w:t xml:space="preserve">6</w:t>
      </w:r>
      <w:r>
        <w:t xml:space="preserve">). Although the GSP management priorities emphasized infrastructure, in a strict application of these objective functions, both infrastructure-based and regulatory approaches fell within the Pareto-optimal set of management options.</w:t>
      </w:r>
    </w:p>
    <w:bookmarkEnd w:id="84"/>
    <w:bookmarkStart w:id="85" w:name="policy-implications"/>
    <w:p>
      <w:pPr>
        <w:pStyle w:val="Heading2"/>
      </w:pPr>
      <w:r>
        <w:rPr>
          <w:rStyle w:val="SectionNumber"/>
        </w:rPr>
        <w:t xml:space="preserve">5.5</w:t>
      </w:r>
      <w:r>
        <w:tab/>
      </w:r>
      <w:r>
        <w:t xml:space="preserve">Policy implications</w:t>
      </w:r>
    </w:p>
    <w:p>
      <w:pPr>
        <w:pStyle w:val="FirstParagraph"/>
      </w:pPr>
      <w:r>
        <w:t xml:space="preserve">Although the HB values are based on well-studied hydro-biological relationships (late spawning flows leads to lower fishery reproduction rates), the actual predicted values of coho smolt production per female spawner (coho spf) remain uncertain, because when the HB function was developed only 11 full years of coho spf data were available. If monitoring continues in future years and this sample size increases, the predictive power and weights of various hydrologic metrics may be reexamined. The ET values are estimated based on climate data, crop coefficients, and assumptions regarding grower decisions, and thus are subject to uncertainty in those data sources.</w:t>
      </w:r>
    </w:p>
    <w:p>
      <w:pPr>
        <w:pStyle w:val="BodyText"/>
      </w:pPr>
      <w:r>
        <w:t xml:space="preserve">Due to this uncertainty, the results of this study should not be considered direct policy recommendations. However, some of the insights below could be used to support future management decisions, simply by summarizing the wealth of information provided in each model simulation using the proposed objective functions.</w:t>
      </w:r>
    </w:p>
    <w:p>
      <w:pPr>
        <w:pStyle w:val="Compact"/>
        <w:numPr>
          <w:ilvl w:val="0"/>
          <w:numId w:val="1005"/>
        </w:numPr>
      </w:pPr>
      <w:r>
        <w:t xml:space="preserve">Targeted interventions that only regulate water use in dry periods produce higher trade-off efficiencies than continuous interventions, as illustrated by the Alfalfa Irrigation scenarios (i.e., dry years only versus all years; Table</w:t>
      </w:r>
      <w:r>
        <w:t xml:space="preserve"> </w:t>
      </w:r>
      <w:r>
        <w:t xml:space="preserve">5</w:t>
      </w:r>
      <w:r>
        <w:t xml:space="preserve">).</w:t>
      </w:r>
    </w:p>
    <w:p>
      <w:pPr>
        <w:pStyle w:val="Compact"/>
        <w:numPr>
          <w:ilvl w:val="0"/>
          <w:numId w:val="1005"/>
        </w:numPr>
      </w:pPr>
      <w:r>
        <w:t xml:space="preserve">The Low Flow Diversion Limits scenario takes this concept to its logical extreme, by limiting intervention only to low-flow days in the hydrologic record, rather than low-flow years or seasons in the Alfalfa Irrigation category. As a result it produces considerable low-coho year HB gains with a trade-off efficiency of greater than 1.</w:t>
      </w:r>
    </w:p>
    <w:p>
      <w:pPr>
        <w:pStyle w:val="Compact"/>
        <w:numPr>
          <w:ilvl w:val="0"/>
          <w:numId w:val="1005"/>
        </w:numPr>
      </w:pPr>
      <w:r>
        <w:t xml:space="preserve">Key data gaps limit interpretability of some scenario results. An agronomic study of alternate crops that could be cultivated in Scott Valley, for example, could better constrain the agricultural benefits of a Crop Change scenario. Conversely, the acreage of land converted in various Native Vegetation scenarios is likely higher than any realistic land use change scenario, meaning that for a hypothetical management action involving a reduction of irrigated acreage in the valley, the HB gains and ET costs may be smaller than shown in Figure</w:t>
      </w:r>
      <w:r>
        <w:t xml:space="preserve"> </w:t>
      </w:r>
      <w:r>
        <w:t xml:space="preserve">6</w:t>
      </w:r>
      <w:r>
        <w:t xml:space="preserve">.</w:t>
      </w:r>
    </w:p>
    <w:p>
      <w:pPr>
        <w:pStyle w:val="Compact"/>
        <w:numPr>
          <w:ilvl w:val="0"/>
          <w:numId w:val="1005"/>
        </w:numPr>
      </w:pPr>
      <w:r>
        <w:t xml:space="preserve">In recent years, drought conditions have prompted state regulatory agencies to consider and then impose significant irrigation curtailments</w:t>
      </w:r>
      <w:r>
        <w:t xml:space="preserve"> </w:t>
      </w:r>
      <w:r>
        <w:t xml:space="preserve">(SWRCB 2021)</w:t>
      </w:r>
      <w:r>
        <w:t xml:space="preserve">. The objective function summary of existing model results could help stakeholders and regulators weigh the trade-offs of various actions and potential irrigation cutoff dates in the context of the consequences of other proposed management scenarios. The modeling results suggest that if a decision is made to regulate water use, some later intervention dates may produce minimal gains in environmental flows in some water years (e.g., an alfalfa irrigation cutoff date of August 15 in water years 1995 or 2002 in panel A of Figure</w:t>
      </w:r>
      <w:r>
        <w:t xml:space="preserve"> </w:t>
      </w:r>
      <w:r>
        <w:t xml:space="preserve">5</w:t>
      </w:r>
      <w:r>
        <w:t xml:space="preserve">).</w:t>
      </w:r>
    </w:p>
    <w:bookmarkEnd w:id="85"/>
    <w:bookmarkEnd w:id="86"/>
    <w:bookmarkStart w:id="87" w:name="conclusion"/>
    <w:p>
      <w:pPr>
        <w:pStyle w:val="Heading1"/>
      </w:pPr>
      <w:r>
        <w:rPr>
          <w:rStyle w:val="SectionNumber"/>
        </w:rPr>
        <w:t xml:space="preserve">6</w:t>
      </w:r>
      <w:r>
        <w:tab/>
      </w:r>
      <w:r>
        <w:t xml:space="preserve">Conclusion</w:t>
      </w:r>
    </w:p>
    <w:p>
      <w:pPr>
        <w:pStyle w:val="FirstParagraph"/>
      </w:pPr>
      <w:r>
        <w:t xml:space="preserve">In this study, functions quantifying the achievement of the two management objectives (environmental and agricultural) were applied to 25 simulated management scenarios (including a historical basecase). In addition, scenarios were assigned a categorical proxy for new infrastructure costs. We used these numerical values to quantitatively explore trade-offs in environmental and agricultural benefit among the suite of proposed actions.</w:t>
      </w:r>
    </w:p>
    <w:p>
      <w:pPr>
        <w:pStyle w:val="BodyText"/>
      </w:pPr>
      <w:r>
        <w:t xml:space="preserve">Due to decades of investment and significant ongoing labor, aggregate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objective, and environmental flows measured with this objective function seem particularly vulnerable to multi-year dry periods.</w:t>
      </w:r>
    </w:p>
    <w:p>
      <w:pPr>
        <w:pStyle w:val="BodyText"/>
      </w:pPr>
      <w:r>
        <w:t xml:space="preserve">Many management actions were proposed over the past four years to enhance environmental flows while minimizing negative effects on agricultural water security. In general, targeting irrigation reductions during low-flow periods (e.g. Early Cessation of Alfalfa Irrigation and Low Flow Diversion Limits) tends to be more efficient in terms of higher environmental flows per lost agricultural productivity than irrigation reduction over the whole growing season, such as the Native Vegetation scenarios (Figure</w:t>
      </w:r>
      <w:r>
        <w:t xml:space="preserve"> </w:t>
      </w:r>
      <w:r>
        <w:t xml:space="preserve">7</w:t>
      </w:r>
      <w:r>
        <w:t xml:space="preserve">).</w:t>
      </w:r>
    </w:p>
    <w:p>
      <w:pPr>
        <w:pStyle w:val="BodyText"/>
      </w:pPr>
      <w:r>
        <w:t xml:space="preserve">Objective functions summarizing the predicted consequences of management actions is not a new technique; however, to be useful in a decision support context, they require careful design, sensitivity to local conditions, and ongoing feedback from affected stakeholders. Introducing these elements of optimization into existing water resource management processes can improve communication of management consequences and priorities, and thus potentially improve decision-making and our understanding of the interconnected socio-hydrologic system.</w:t>
      </w:r>
    </w:p>
    <w:p>
      <w:r>
        <w:br w:type="page"/>
      </w:r>
    </w:p>
    <w:bookmarkEnd w:id="87"/>
    <w:bookmarkStart w:id="88" w:name="acknowledgments"/>
    <w:p>
      <w:pPr>
        <w:pStyle w:val="Heading1"/>
      </w:pPr>
      <w:r>
        <w:t xml:space="preserve">Acknowledgments</w:t>
      </w:r>
    </w:p>
    <w:bookmarkEnd w:id="88"/>
    <w:bookmarkStart w:id="143" w:name="references"/>
    <w:p>
      <w:pPr>
        <w:pStyle w:val="Heading1"/>
      </w:pPr>
      <w:r>
        <w:rPr>
          <w:rStyle w:val="SectionNumber"/>
        </w:rPr>
        <w:t xml:space="preserve">7</w:t>
      </w:r>
      <w:r>
        <w:tab/>
      </w:r>
      <w:r>
        <w:t xml:space="preserve">References</w:t>
      </w:r>
    </w:p>
    <w:bookmarkStart w:id="142" w:name="refs"/>
    <w:bookmarkStart w:id="90" w:name="ref-BorkHirokawaTrends2021"/>
    <w:p>
      <w:pPr>
        <w:pStyle w:val="Bibliography"/>
      </w:pPr>
      <w:r>
        <w:t xml:space="preserve">Bork, Karrigan, and Keith Hirokawa. 2021.</w:t>
      </w:r>
      <w:r>
        <w:t xml:space="preserve"> </w:t>
      </w:r>
      <w:r>
        <w:t xml:space="preserve">“Trends in</w:t>
      </w:r>
      <w:r>
        <w:t xml:space="preserve"> </w:t>
      </w:r>
      <w:r>
        <w:t xml:space="preserve">Local Ecosystem Governance</w:t>
      </w:r>
      <w:r>
        <w:t xml:space="preserve">.”</w:t>
      </w:r>
      <w:r>
        <w:t xml:space="preserve"> </w:t>
      </w:r>
      <w:r>
        <w:rPr>
          <w:i/>
          <w:iCs/>
        </w:rPr>
        <w:t xml:space="preserve">Frontiers in Climate</w:t>
      </w:r>
      <w:r>
        <w:t xml:space="preserve"> </w:t>
      </w:r>
      <w:r>
        <w:t xml:space="preserve">3 (September): 719150.</w:t>
      </w:r>
      <w:r>
        <w:t xml:space="preserve"> </w:t>
      </w:r>
      <w:hyperlink r:id="rId89">
        <w:r>
          <w:rPr>
            <w:rStyle w:val="Hyperlink"/>
          </w:rPr>
          <w:t xml:space="preserve">https://doi.org/10.3389/fclim.2021.719150</w:t>
        </w:r>
      </w:hyperlink>
      <w:r>
        <w:t xml:space="preserve">.</w:t>
      </w:r>
    </w:p>
    <w:bookmarkEnd w:id="90"/>
    <w:bookmarkStart w:id="92" w:name="ref-BrownEtAlHistorical1994"/>
    <w:p>
      <w:pPr>
        <w:pStyle w:val="Bibliography"/>
      </w:pPr>
      <w:r>
        <w:t xml:space="preserve">Brown, Larry R., Peter B. Moyle, and Ronald M. Yoshiyama. 1994.</w:t>
      </w:r>
      <w:r>
        <w:t xml:space="preserve"> </w:t>
      </w:r>
      <w:r>
        <w:t xml:space="preserve">“Historical</w:t>
      </w:r>
      <w:r>
        <w:t xml:space="preserve"> </w:t>
      </w:r>
      <w:r>
        <w:t xml:space="preserve">Decline</w:t>
      </w:r>
      <w:r>
        <w:t xml:space="preserve"> </w:t>
      </w:r>
      <w:r>
        <w:t xml:space="preserve">and</w:t>
      </w:r>
      <w:r>
        <w:t xml:space="preserve"> </w:t>
      </w:r>
      <w:r>
        <w:t xml:space="preserve">Current Status</w:t>
      </w:r>
      <w:r>
        <w:t xml:space="preserve"> </w:t>
      </w:r>
      <w:r>
        <w:t xml:space="preserve">of</w:t>
      </w:r>
      <w:r>
        <w:t xml:space="preserve"> </w:t>
      </w:r>
      <w:r>
        <w:t xml:space="preserve">Coho Salmon</w:t>
      </w:r>
      <w:r>
        <w:t xml:space="preserve"> </w:t>
      </w:r>
      <w:r>
        <w:t xml:space="preserve">in</w:t>
      </w:r>
      <w:r>
        <w:t xml:space="preserve"> </w:t>
      </w:r>
      <w:r>
        <w:t xml:space="preserve">California</w:t>
      </w:r>
      <w:r>
        <w:t xml:space="preserve">.”</w:t>
      </w:r>
      <w:r>
        <w:t xml:space="preserve"> </w:t>
      </w:r>
      <w:r>
        <w:rPr>
          <w:i/>
          <w:iCs/>
        </w:rPr>
        <w:t xml:space="preserve">North American Journal of Fisheries Management</w:t>
      </w:r>
      <w:r>
        <w:t xml:space="preserve"> </w:t>
      </w:r>
      <w:r>
        <w:t xml:space="preserve">14 (2): 237–61.</w:t>
      </w:r>
      <w:r>
        <w:t xml:space="preserve"> </w:t>
      </w:r>
      <w:hyperlink r:id="rId91">
        <w:r>
          <w:rPr>
            <w:rStyle w:val="Hyperlink"/>
          </w:rPr>
          <w:t xml:space="preserve">https://doi.org/10.1577/1548-8675(1994)014&lt;0237:HDACSO&gt;2.3.CO;2</w:t>
        </w:r>
      </w:hyperlink>
      <w:r>
        <w:t xml:space="preserve">.</w:t>
      </w:r>
    </w:p>
    <w:bookmarkEnd w:id="92"/>
    <w:bookmarkStart w:id="93" w:name="X534406a913d453049af97ddf853e5acf00f7d45"/>
    <w:p>
      <w:pPr>
        <w:pStyle w:val="Bibliography"/>
      </w:pPr>
      <w:r>
        <w:t xml:space="preserve">California Department of Fish and Wildlife. 2017.</w:t>
      </w:r>
      <w:r>
        <w:t xml:space="preserve"> </w:t>
      </w:r>
      <w:r>
        <w:t xml:space="preserve">“</w:t>
      </w:r>
      <w:r>
        <w:t xml:space="preserve">INTERIM INSTREAM FLOW CRITERIA FOR THE PROTECTION OF FISHERY RESOURCES IN THE SCOTT RIVER WATERSHED</w:t>
      </w:r>
      <w:r>
        <w:t xml:space="preserve">,</w:t>
      </w:r>
      <w:r>
        <w:t xml:space="preserve"> </w:t>
      </w:r>
      <w:r>
        <w:t xml:space="preserve">SISKIYOU COUNTY</w:t>
      </w:r>
      <w:r>
        <w:t xml:space="preserve">.”</w:t>
      </w:r>
    </w:p>
    <w:bookmarkEnd w:id="93"/>
    <w:bookmarkStart w:id="94" w:name="Xc89eae4adec15389bd12509e9457a9dc8c09d75"/>
    <w:p>
      <w:pPr>
        <w:pStyle w:val="Bibliography"/>
      </w:pPr>
      <w:r>
        <w:t xml:space="preserve">California Department of Fish and Wildlife, NOAA-Fisheries, Scott River Water Trust, Siskiyou Resource Conservation District, and U.S. Forest Service - Klamath National Forest. 2015.</w:t>
      </w:r>
      <w:r>
        <w:t xml:space="preserve"> </w:t>
      </w:r>
      <w:r>
        <w:t xml:space="preserve">“Cooperative</w:t>
      </w:r>
      <w:r>
        <w:t xml:space="preserve"> </w:t>
      </w:r>
      <w:r>
        <w:t xml:space="preserve">Scott River Coho Rescue</w:t>
      </w:r>
      <w:r>
        <w:t xml:space="preserve"> </w:t>
      </w:r>
      <w:r>
        <w:t xml:space="preserve">&amp;</w:t>
      </w:r>
      <w:r>
        <w:t xml:space="preserve"> </w:t>
      </w:r>
      <w:r>
        <w:t xml:space="preserve">Relocation Effort</w:t>
      </w:r>
      <w:r>
        <w:t xml:space="preserve">: 2014</w:t>
      </w:r>
      <w:r>
        <w:t xml:space="preserve"> </w:t>
      </w:r>
      <w:r>
        <w:t xml:space="preserve">Drought Emergency</w:t>
      </w:r>
      <w:r>
        <w:t xml:space="preserve">.”</w:t>
      </w:r>
    </w:p>
    <w:bookmarkEnd w:id="94"/>
    <w:bookmarkStart w:id="95" w:name="X7c5765d4bf46367820355fe718939efb3be661f"/>
    <w:p>
      <w:pPr>
        <w:pStyle w:val="Bibliography"/>
      </w:pPr>
      <w:r>
        <w:t xml:space="preserve">California Department of Water Resources. 2017.</w:t>
      </w:r>
      <w:r>
        <w:t xml:space="preserve"> </w:t>
      </w:r>
      <w:r>
        <w:t xml:space="preserve">“Statewide</w:t>
      </w:r>
      <w:r>
        <w:t xml:space="preserve"> </w:t>
      </w:r>
      <w:r>
        <w:t xml:space="preserve">Crop Mapping</w:t>
      </w:r>
      <w:r>
        <w:t xml:space="preserve"> </w:t>
      </w:r>
      <w:r>
        <w:t xml:space="preserve">- 2016</w:t>
      </w:r>
      <w:r>
        <w:t xml:space="preserve"> </w:t>
      </w:r>
      <w:r>
        <w:t xml:space="preserve">Statewide Crop Mapping GIS Shapefiles</w:t>
      </w:r>
      <w:r>
        <w:t xml:space="preserve"> </w:t>
      </w:r>
      <w:r>
        <w:t xml:space="preserve">-</w:t>
      </w:r>
      <w:r>
        <w:t xml:space="preserve"> </w:t>
      </w:r>
      <w:r>
        <w:t xml:space="preserve">California Natural Resources Agency Open Data</w:t>
      </w:r>
      <w:r>
        <w:t xml:space="preserve">.”</w:t>
      </w:r>
      <w:r>
        <w:t xml:space="preserve"> </w:t>
      </w:r>
      <w:r>
        <w:rPr>
          <w:i/>
          <w:iCs/>
        </w:rPr>
        <w:t xml:space="preserve">2016 Statewide Crop Mapping GIS Shapefiles</w:t>
      </w:r>
      <w:r>
        <w:t xml:space="preserve">. https://data.cnra.ca.gov/dataset/statewide-crop-mapping/resource/3b57898b-f013-487a-b472-17f54311edb5.</w:t>
      </w:r>
    </w:p>
    <w:bookmarkEnd w:id="95"/>
    <w:bookmarkStart w:id="96" w:name="Xe7b7ad2022eadb255e299639b3100f5357e120c"/>
    <w:p>
      <w:pPr>
        <w:pStyle w:val="Bibliography"/>
      </w:pPr>
      <w:r>
        <w:t xml:space="preserve">California State Water Resources Control Board. 1980.</w:t>
      </w:r>
      <w:r>
        <w:t xml:space="preserve"> </w:t>
      </w:r>
      <w:r>
        <w:t xml:space="preserve">“Scott</w:t>
      </w:r>
      <w:r>
        <w:t xml:space="preserve"> </w:t>
      </w:r>
      <w:r>
        <w:t xml:space="preserve">River Adjudication</w:t>
      </w:r>
      <w:r>
        <w:t xml:space="preserve">,</w:t>
      </w:r>
      <w:r>
        <w:t xml:space="preserve"> </w:t>
      </w:r>
      <w:r>
        <w:t xml:space="preserve">Decree No</w:t>
      </w:r>
      <w:r>
        <w:t xml:space="preserve">. 30662.</w:t>
      </w:r>
      <w:r>
        <w:t xml:space="preserve"> </w:t>
      </w:r>
      <w:r>
        <w:t xml:space="preserve">Scott River</w:t>
      </w:r>
      <w:r>
        <w:t xml:space="preserve"> </w:t>
      </w:r>
      <w:r>
        <w:t xml:space="preserve">Stream System,</w:t>
      </w:r>
      <w:r>
        <w:t xml:space="preserve"> </w:t>
      </w:r>
      <w:r>
        <w:t xml:space="preserve">Siskiyou County</w:t>
      </w:r>
      <w:r>
        <w:t xml:space="preserve">.”</w:t>
      </w:r>
      <w:r>
        <w:t xml:space="preserve"> </w:t>
      </w:r>
      <w:r>
        <w:t xml:space="preserve">Superior Court of Siskiyou County.</w:t>
      </w:r>
    </w:p>
    <w:bookmarkEnd w:id="96"/>
    <w:bookmarkStart w:id="97" w:name="X6ef878f889213098c200c5acad35595649e9db2"/>
    <w:p>
      <w:pPr>
        <w:pStyle w:val="Bibliography"/>
      </w:pPr>
      <w:r>
        <w:t xml:space="preserve">California State Water Resources Control Board (SWRCB). 1975.</w:t>
      </w:r>
      <w:r>
        <w:t xml:space="preserve"> </w:t>
      </w:r>
      <w:r>
        <w:t xml:space="preserve">“Report on</w:t>
      </w:r>
      <w:r>
        <w:t xml:space="preserve"> </w:t>
      </w:r>
      <w:r>
        <w:t xml:space="preserve">Hydrogeologic Conditions</w:t>
      </w:r>
      <w:r>
        <w:t xml:space="preserve">,</w:t>
      </w:r>
      <w:r>
        <w:t xml:space="preserve"> </w:t>
      </w:r>
      <w:r>
        <w:t xml:space="preserve">Scott River Valley</w:t>
      </w:r>
      <w:r>
        <w:t xml:space="preserve">,</w:t>
      </w:r>
      <w:r>
        <w:t xml:space="preserve"> </w:t>
      </w:r>
      <w:r>
        <w:t xml:space="preserve">Scott River Valley</w:t>
      </w:r>
      <w:r>
        <w:t xml:space="preserve">.”</w:t>
      </w:r>
    </w:p>
    <w:bookmarkEnd w:id="97"/>
    <w:bookmarkStart w:id="98" w:name="ref-CarpenterAccurately2024"/>
    <w:p>
      <w:pPr>
        <w:pStyle w:val="Bibliography"/>
      </w:pPr>
      <w:r>
        <w:t xml:space="preserve">Carpenter, Cameron. 2024.</w:t>
      </w:r>
      <w:r>
        <w:t xml:space="preserve"> </w:t>
      </w:r>
      <w:r>
        <w:t xml:space="preserve">“Accurately</w:t>
      </w:r>
      <w:r>
        <w:t xml:space="preserve"> </w:t>
      </w:r>
      <w:r>
        <w:t xml:space="preserve">Identifying Functional Flow Metrics</w:t>
      </w:r>
      <w:r>
        <w:t xml:space="preserve"> </w:t>
      </w:r>
      <w:r>
        <w:t xml:space="preserve">in</w:t>
      </w:r>
      <w:r>
        <w:t xml:space="preserve"> </w:t>
      </w:r>
      <w:r>
        <w:t xml:space="preserve">Flashy</w:t>
      </w:r>
      <w:r>
        <w:t xml:space="preserve"> </w:t>
      </w:r>
      <w:r>
        <w:t xml:space="preserve">and</w:t>
      </w:r>
      <w:r>
        <w:t xml:space="preserve"> </w:t>
      </w:r>
      <w:r>
        <w:t xml:space="preserve">Highly Altered Stream Systems</w:t>
      </w:r>
      <w:r>
        <w:t xml:space="preserve">.”</w:t>
      </w:r>
      <w:r>
        <w:t xml:space="preserve"> </w:t>
      </w:r>
      <w:r>
        <w:t xml:space="preserve">Master’s thesis, University of California, Davis.</w:t>
      </w:r>
    </w:p>
    <w:bookmarkEnd w:id="98"/>
    <w:bookmarkStart w:id="100" w:name="ref-CarterSheafferAlfalfa1983"/>
    <w:p>
      <w:pPr>
        <w:pStyle w:val="Bibliography"/>
      </w:pPr>
      <w:r>
        <w:t xml:space="preserve">Carter, P. R., and C. C. Sheaffer. 1983.</w:t>
      </w:r>
      <w:r>
        <w:t xml:space="preserve"> </w:t>
      </w:r>
      <w:r>
        <w:t xml:space="preserve">“Alfalfa</w:t>
      </w:r>
      <w:r>
        <w:t xml:space="preserve"> </w:t>
      </w:r>
      <w:r>
        <w:t xml:space="preserve">Response</w:t>
      </w:r>
      <w:r>
        <w:t xml:space="preserve"> </w:t>
      </w:r>
      <w:r>
        <w:t xml:space="preserve">to</w:t>
      </w:r>
      <w:r>
        <w:t xml:space="preserve"> </w:t>
      </w:r>
      <w:r>
        <w:t xml:space="preserve">Soil Water Deficits</w:t>
      </w:r>
      <w:r>
        <w:t xml:space="preserve">.</w:t>
      </w:r>
      <w:r>
        <w:t xml:space="preserve"> </w:t>
      </w:r>
      <w:r>
        <w:t xml:space="preserve">I</w:t>
      </w:r>
      <w:r>
        <w:t xml:space="preserve">.</w:t>
      </w:r>
      <w:r>
        <w:t xml:space="preserve"> </w:t>
      </w:r>
      <w:r>
        <w:t xml:space="preserve">Growth</w:t>
      </w:r>
      <w:r>
        <w:t xml:space="preserve">,</w:t>
      </w:r>
      <w:r>
        <w:t xml:space="preserve"> </w:t>
      </w:r>
      <w:r>
        <w:t xml:space="preserve">Forage Quality</w:t>
      </w:r>
      <w:r>
        <w:t xml:space="preserve">,</w:t>
      </w:r>
      <w:r>
        <w:t xml:space="preserve"> </w:t>
      </w:r>
      <w:r>
        <w:t xml:space="preserve">Yield</w:t>
      </w:r>
      <w:r>
        <w:t xml:space="preserve">,</w:t>
      </w:r>
      <w:r>
        <w:t xml:space="preserve"> </w:t>
      </w:r>
      <w:r>
        <w:t xml:space="preserve">Water Use</w:t>
      </w:r>
      <w:r>
        <w:t xml:space="preserve">, and</w:t>
      </w:r>
      <w:r>
        <w:t xml:space="preserve"> </w:t>
      </w:r>
      <w:r>
        <w:t xml:space="preserve">Water</w:t>
      </w:r>
      <w:r>
        <w:t xml:space="preserve">-</w:t>
      </w:r>
      <w:r>
        <w:t xml:space="preserve">Use Efficiency</w:t>
      </w:r>
      <w:r>
        <w:rPr>
          <w:vertAlign w:val="superscript"/>
        </w:rPr>
        <w:t xml:space="preserve">1</w:t>
      </w:r>
      <w:r>
        <w:t xml:space="preserve">.”</w:t>
      </w:r>
      <w:r>
        <w:t xml:space="preserve"> </w:t>
      </w:r>
      <w:r>
        <w:rPr>
          <w:i/>
          <w:iCs/>
        </w:rPr>
        <w:t xml:space="preserve">Crop Science</w:t>
      </w:r>
      <w:r>
        <w:t xml:space="preserve"> </w:t>
      </w:r>
      <w:r>
        <w:t xml:space="preserve">23 (4): 669–75.</w:t>
      </w:r>
      <w:r>
        <w:t xml:space="preserve"> </w:t>
      </w:r>
      <w:hyperlink r:id="rId99">
        <w:r>
          <w:rPr>
            <w:rStyle w:val="Hyperlink"/>
          </w:rPr>
          <w:t xml:space="preserve">https://doi.org/10.2135/cropsci1983.0011183X002300040016x</w:t>
        </w:r>
      </w:hyperlink>
      <w:r>
        <w:t xml:space="preserve">.</w:t>
      </w:r>
    </w:p>
    <w:bookmarkEnd w:id="100"/>
    <w:bookmarkStart w:id="102" w:name="ref-CohonMarksMultiobjective1973"/>
    <w:p>
      <w:pPr>
        <w:pStyle w:val="Bibliography"/>
      </w:pPr>
      <w:r>
        <w:t xml:space="preserve">Cohon, Jared L., and David H. Marks. 1973.</w:t>
      </w:r>
      <w:r>
        <w:t xml:space="preserve"> </w:t>
      </w:r>
      <w:r>
        <w:t xml:space="preserve">“Multiobjective Screening Models and Water Resource Investment.”</w:t>
      </w:r>
      <w:r>
        <w:t xml:space="preserve"> </w:t>
      </w:r>
      <w:r>
        <w:rPr>
          <w:i/>
          <w:iCs/>
        </w:rPr>
        <w:t xml:space="preserve">Water Resources Research</w:t>
      </w:r>
      <w:r>
        <w:t xml:space="preserve"> </w:t>
      </w:r>
      <w:r>
        <w:t xml:space="preserve">9 (4): 826–36.</w:t>
      </w:r>
      <w:r>
        <w:t xml:space="preserve"> </w:t>
      </w:r>
      <w:hyperlink r:id="rId101">
        <w:r>
          <w:rPr>
            <w:rStyle w:val="Hyperlink"/>
          </w:rPr>
          <w:t xml:space="preserve">https://doi.org/10.1029/WR009i004p00826</w:t>
        </w:r>
      </w:hyperlink>
      <w:r>
        <w:t xml:space="preserve">.</w:t>
      </w:r>
    </w:p>
    <w:bookmarkEnd w:id="102"/>
    <w:bookmarkStart w:id="103" w:name="X57acf74f4e6bbb2dbfb24b295bee561f3691de6"/>
    <w:p>
      <w:pPr>
        <w:pStyle w:val="Bibliography"/>
      </w:pPr>
      <w:r>
        <w:t xml:space="preserve">“Establishment of</w:t>
      </w:r>
      <w:r>
        <w:t xml:space="preserve"> </w:t>
      </w:r>
      <w:r>
        <w:t xml:space="preserve">Minimum Instream Flow Requirements</w:t>
      </w:r>
      <w:r>
        <w:t xml:space="preserve">,</w:t>
      </w:r>
      <w:r>
        <w:t xml:space="preserve"> </w:t>
      </w:r>
      <w:r>
        <w:t xml:space="preserve">Curtailment Authority</w:t>
      </w:r>
      <w:r>
        <w:t xml:space="preserve">, and</w:t>
      </w:r>
      <w:r>
        <w:t xml:space="preserve"> </w:t>
      </w:r>
      <w:r>
        <w:t xml:space="preserve">Information Order Authority</w:t>
      </w:r>
      <w:r>
        <w:t xml:space="preserve"> </w:t>
      </w:r>
      <w:r>
        <w:t xml:space="preserve">in the</w:t>
      </w:r>
      <w:r>
        <w:t xml:space="preserve"> </w:t>
      </w:r>
      <w:r>
        <w:t xml:space="preserve">Klamath Watershed</w:t>
      </w:r>
      <w:r>
        <w:t xml:space="preserve">.”</w:t>
      </w:r>
      <w:r>
        <w:t xml:space="preserve"> </w:t>
      </w:r>
      <w:r>
        <w:t xml:space="preserve">2021. {{NOTICE OF APPROVAL OF EMERGENCY REGULATORY ACTION}}.</w:t>
      </w:r>
    </w:p>
    <w:bookmarkEnd w:id="103"/>
    <w:bookmarkStart w:id="104" w:name="X6facecaac3164717d4e5933b1aebd85f9388655"/>
    <w:p>
      <w:pPr>
        <w:pStyle w:val="Bibliography"/>
      </w:pPr>
      <w:r>
        <w:t xml:space="preserve">“Establishment of</w:t>
      </w:r>
      <w:r>
        <w:t xml:space="preserve"> </w:t>
      </w:r>
      <w:r>
        <w:t xml:space="preserve">Minimum Instream Flow Requirements</w:t>
      </w:r>
      <w:r>
        <w:t xml:space="preserve">,</w:t>
      </w:r>
      <w:r>
        <w:t xml:space="preserve"> </w:t>
      </w:r>
      <w:r>
        <w:t xml:space="preserve">Curtailment Authority</w:t>
      </w:r>
      <w:r>
        <w:t xml:space="preserve">, and</w:t>
      </w:r>
      <w:r>
        <w:t xml:space="preserve"> </w:t>
      </w:r>
      <w:r>
        <w:t xml:space="preserve">Information Order Authority</w:t>
      </w:r>
      <w:r>
        <w:t xml:space="preserve"> </w:t>
      </w:r>
      <w:r>
        <w:t xml:space="preserve">in the</w:t>
      </w:r>
      <w:r>
        <w:t xml:space="preserve"> </w:t>
      </w:r>
      <w:r>
        <w:t xml:space="preserve">Scott River</w:t>
      </w:r>
      <w:r>
        <w:t xml:space="preserve"> </w:t>
      </w:r>
      <w:r>
        <w:t xml:space="preserve">and</w:t>
      </w:r>
      <w:r>
        <w:t xml:space="preserve"> </w:t>
      </w:r>
      <w:r>
        <w:t xml:space="preserve">Shasta River Watersheds</w:t>
      </w:r>
      <w:r>
        <w:t xml:space="preserve">.”</w:t>
      </w:r>
      <w:r>
        <w:t xml:space="preserve"> </w:t>
      </w:r>
      <w:r>
        <w:t xml:space="preserve">2024. {{NOTICE OF APPROVAL OF EMERGENCY REGULATORY ACTION}}.</w:t>
      </w:r>
    </w:p>
    <w:bookmarkEnd w:id="104"/>
    <w:bookmarkStart w:id="105" w:name="ref-FogliaEtAlScott2013"/>
    <w:p>
      <w:pPr>
        <w:pStyle w:val="Bibliography"/>
      </w:pPr>
      <w:r>
        <w:t xml:space="preserve">Foglia, Laura, Alison McNally, Courtney Hall, Lauren Ledesma, Ryan Hines, and Thomas Harter. 2013.</w:t>
      </w:r>
      <w:r>
        <w:t xml:space="preserve"> </w:t>
      </w:r>
      <w:r>
        <w:t xml:space="preserve">“Scott</w:t>
      </w:r>
      <w:r>
        <w:t xml:space="preserve"> </w:t>
      </w:r>
      <w:r>
        <w:t xml:space="preserve">Valley Integrated Hydrologic Model</w:t>
      </w:r>
      <w:r>
        <w:t xml:space="preserve">:</w:t>
      </w:r>
      <w:r>
        <w:t xml:space="preserve"> </w:t>
      </w:r>
      <w:r>
        <w:t xml:space="preserve">Data Collection</w:t>
      </w:r>
      <w:r>
        <w:t xml:space="preserve">,</w:t>
      </w:r>
      <w:r>
        <w:t xml:space="preserve"> </w:t>
      </w:r>
      <w:r>
        <w:t xml:space="preserve">Analysis</w:t>
      </w:r>
      <w:r>
        <w:t xml:space="preserve">, and</w:t>
      </w:r>
      <w:r>
        <w:t xml:space="preserve"> </w:t>
      </w:r>
      <w:r>
        <w:t xml:space="preserve">Water Budget</w:t>
      </w:r>
      <w:r>
        <w:t xml:space="preserve">.”</w:t>
      </w:r>
      <w:r>
        <w:t xml:space="preserve"> </w:t>
      </w:r>
      <w:r>
        <w:t xml:space="preserve">Davis, CA: North Coast Regional Water Quality Control Board.</w:t>
      </w:r>
    </w:p>
    <w:bookmarkEnd w:id="105"/>
    <w:bookmarkStart w:id="106" w:name="Xff198d1a9510a26c6b6a97c9924d7fdc8be1418"/>
    <w:p>
      <w:pPr>
        <w:pStyle w:val="Bibliography"/>
      </w:pPr>
      <w:r>
        <w:t xml:space="preserve">Fox Canyon Groundwater Management Agency. 2019.</w:t>
      </w:r>
      <w:r>
        <w:t xml:space="preserve"> </w:t>
      </w:r>
      <w:r>
        <w:t xml:space="preserve">“Groundwater</w:t>
      </w:r>
      <w:r>
        <w:t xml:space="preserve"> </w:t>
      </w:r>
      <w:r>
        <w:t xml:space="preserve">Sustainability Plan</w:t>
      </w:r>
      <w:r>
        <w:t xml:space="preserve"> </w:t>
      </w:r>
      <w:r>
        <w:t xml:space="preserve">for the</w:t>
      </w:r>
      <w:r>
        <w:t xml:space="preserve"> </w:t>
      </w:r>
      <w:r>
        <w:t xml:space="preserve">Oxnard Subbasin</w:t>
      </w:r>
      <w:r>
        <w:t xml:space="preserve">.”</w:t>
      </w:r>
      <w:r>
        <w:t xml:space="preserve"> </w:t>
      </w:r>
      <w:r>
        <w:t xml:space="preserve">Ventura, CA: Fox Canyon Groundwater Manegement Agency.</w:t>
      </w:r>
    </w:p>
    <w:bookmarkEnd w:id="106"/>
    <w:bookmarkStart w:id="108" w:name="ref-FreemanWICKED2000"/>
    <w:p>
      <w:pPr>
        <w:pStyle w:val="Bibliography"/>
      </w:pPr>
      <w:r>
        <w:t xml:space="preserve">Freeman, David M. 2000.</w:t>
      </w:r>
      <w:r>
        <w:t xml:space="preserve"> </w:t>
      </w:r>
      <w:r>
        <w:t xml:space="preserve">“</w:t>
      </w:r>
      <w:r>
        <w:t xml:space="preserve">WICKED WATER PROBLEMS</w:t>
      </w:r>
      <w:r>
        <w:t xml:space="preserve">:</w:t>
      </w:r>
      <w:r>
        <w:t xml:space="preserve"> </w:t>
      </w:r>
      <w:r>
        <w:t xml:space="preserve">SOCIOLOGY AND LOCAL WATER ORGANIZATIONS IN ADDRESSING WATER RESOURCES POLICY</w:t>
      </w:r>
      <w:r>
        <w:t xml:space="preserve">.”</w:t>
      </w:r>
      <w:r>
        <w:t xml:space="preserve"> </w:t>
      </w:r>
      <w:r>
        <w:rPr>
          <w:i/>
          <w:iCs/>
        </w:rPr>
        <w:t xml:space="preserve">Journal of the American Water Resources Association</w:t>
      </w:r>
      <w:r>
        <w:t xml:space="preserve"> </w:t>
      </w:r>
      <w:r>
        <w:t xml:space="preserve">36 (3): 483–91.</w:t>
      </w:r>
      <w:r>
        <w:t xml:space="preserve"> </w:t>
      </w:r>
      <w:hyperlink r:id="rId107">
        <w:r>
          <w:rPr>
            <w:rStyle w:val="Hyperlink"/>
          </w:rPr>
          <w:t xml:space="preserve">https://doi.org/10.1111/j.1752-1688.2000.tb04280.x</w:t>
        </w:r>
      </w:hyperlink>
      <w:r>
        <w:t xml:space="preserve">.</w:t>
      </w:r>
    </w:p>
    <w:bookmarkEnd w:id="108"/>
    <w:bookmarkStart w:id="109" w:name="ref-HarterHinesSCOTT2008"/>
    <w:p>
      <w:pPr>
        <w:pStyle w:val="Bibliography"/>
      </w:pPr>
      <w:r>
        <w:t xml:space="preserve">Harter, Thomas, and Ryan Hines. 2008.</w:t>
      </w:r>
      <w:r>
        <w:t xml:space="preserve"> </w:t>
      </w:r>
      <w:r>
        <w:t xml:space="preserve">“</w:t>
      </w:r>
      <w:r>
        <w:t xml:space="preserve">SCOTT VALLEY COMMUNITY GROUNDWATER STUDY PLAN</w:t>
      </w:r>
      <w:r>
        <w:t xml:space="preserve">.”</w:t>
      </w:r>
      <w:r>
        <w:t xml:space="preserve"> </w:t>
      </w:r>
      <w:r>
        <w:t xml:space="preserve">University of California, Davis.</w:t>
      </w:r>
    </w:p>
    <w:bookmarkEnd w:id="109"/>
    <w:bookmarkStart w:id="111" w:name="ref-KapelanEtAlMultiobjective2005"/>
    <w:p>
      <w:pPr>
        <w:pStyle w:val="Bibliography"/>
      </w:pPr>
      <w:r>
        <w:t xml:space="preserve">Kapelan, Zoran S., Dragan A. Savic, and Godfrey A. Walters. 2005.</w:t>
      </w:r>
      <w:r>
        <w:t xml:space="preserve"> </w:t>
      </w:r>
      <w:r>
        <w:t xml:space="preserve">“Multiobjective Design of Water Distribution Systems Under Uncertainty.”</w:t>
      </w:r>
      <w:r>
        <w:t xml:space="preserve"> </w:t>
      </w:r>
      <w:r>
        <w:rPr>
          <w:i/>
          <w:iCs/>
        </w:rPr>
        <w:t xml:space="preserve">Water Resources Research</w:t>
      </w:r>
      <w:r>
        <w:t xml:space="preserve"> </w:t>
      </w:r>
      <w:r>
        <w:t xml:space="preserve">41 (11): 2004WR003787.</w:t>
      </w:r>
      <w:r>
        <w:t xml:space="preserve"> </w:t>
      </w:r>
      <w:hyperlink r:id="rId110">
        <w:r>
          <w:rPr>
            <w:rStyle w:val="Hyperlink"/>
          </w:rPr>
          <w:t xml:space="preserve">https://doi.org/10.1029/2004WR003787</w:t>
        </w:r>
      </w:hyperlink>
      <w:r>
        <w:t xml:space="preserve">.</w:t>
      </w:r>
    </w:p>
    <w:bookmarkEnd w:id="111"/>
    <w:bookmarkStart w:id="113" w:name="ref-KoubaEtAlWatershedSpecific2025"/>
    <w:p>
      <w:pPr>
        <w:pStyle w:val="Bibliography"/>
      </w:pPr>
      <w:r>
        <w:t xml:space="preserve">Kouba, Claire, Leland Scantlebury, Jason Wiener, Sarah Yarnell, and Thomas Harter. 2025.</w:t>
      </w:r>
      <w:r>
        <w:t xml:space="preserve"> </w:t>
      </w:r>
      <w:r>
        <w:t xml:space="preserve">“A</w:t>
      </w:r>
      <w:r>
        <w:t xml:space="preserve"> </w:t>
      </w:r>
      <w:r>
        <w:t xml:space="preserve">Watershed-Specific Approach</w:t>
      </w:r>
      <w:r>
        <w:t xml:space="preserve"> </w:t>
      </w:r>
      <w:r>
        <w:t xml:space="preserve">to</w:t>
      </w:r>
      <w:r>
        <w:t xml:space="preserve"> </w:t>
      </w:r>
      <w:r>
        <w:t xml:space="preserve">Identify Key Functional Flow Metrics Supporting Salmon Reproduction</w:t>
      </w:r>
      <w:r>
        <w:t xml:space="preserve">.”</w:t>
      </w:r>
      <w:r>
        <w:t xml:space="preserve"> </w:t>
      </w:r>
      <w:r>
        <w:rPr>
          <w:i/>
          <w:iCs/>
        </w:rPr>
        <w:t xml:space="preserve">Ecohydrology : Ecosystems, Land and Water Process Interactions, Ecohydrogeomorphology</w:t>
      </w:r>
      <w:r>
        <w:t xml:space="preserve"> </w:t>
      </w:r>
      <w:r>
        <w:t xml:space="preserve">18 (5): e70098.</w:t>
      </w:r>
      <w:r>
        <w:t xml:space="preserve"> </w:t>
      </w:r>
      <w:hyperlink r:id="rId112">
        <w:r>
          <w:rPr>
            <w:rStyle w:val="Hyperlink"/>
          </w:rPr>
          <w:t xml:space="preserve">https://doi.org/10.1002/eco.70098</w:t>
        </w:r>
      </w:hyperlink>
      <w:r>
        <w:t xml:space="preserve">.</w:t>
      </w:r>
    </w:p>
    <w:bookmarkEnd w:id="113"/>
    <w:bookmarkStart w:id="115" w:name="ref-MackGeology1958"/>
    <w:p>
      <w:pPr>
        <w:pStyle w:val="Bibliography"/>
      </w:pPr>
      <w:r>
        <w:t xml:space="preserve">Mack, Seymour. 1958.</w:t>
      </w:r>
      <w:r>
        <w:t xml:space="preserve"> </w:t>
      </w:r>
      <w:r>
        <w:t xml:space="preserve">“Geology and Ground-Water Features of</w:t>
      </w:r>
      <w:r>
        <w:t xml:space="preserve"> </w:t>
      </w:r>
      <w:r>
        <w:t xml:space="preserve">Scott Valley</w:t>
      </w:r>
      <w:r>
        <w:t xml:space="preserve">,</w:t>
      </w:r>
      <w:r>
        <w:t xml:space="preserve"> </w:t>
      </w:r>
      <w:r>
        <w:t xml:space="preserve">Siskiyou County</w:t>
      </w:r>
      <w:r>
        <w:t xml:space="preserve">,</w:t>
      </w:r>
      <w:r>
        <w:t xml:space="preserve"> </w:t>
      </w:r>
      <w:r>
        <w:t xml:space="preserve">California</w:t>
      </w:r>
      <w:r>
        <w:t xml:space="preserve">.”</w:t>
      </w:r>
      <w:r>
        <w:t xml:space="preserve"> </w:t>
      </w:r>
      <w:r>
        <w:t xml:space="preserve">Geological {{Survey Water-Supply Paper}} 1462. United States Geological Survey.</w:t>
      </w:r>
      <w:r>
        <w:t xml:space="preserve"> </w:t>
      </w:r>
      <w:hyperlink r:id="rId114">
        <w:r>
          <w:rPr>
            <w:rStyle w:val="Hyperlink"/>
          </w:rPr>
          <w:t xml:space="preserve">https://doi.org/10.3133/wsp1462</w:t>
        </w:r>
      </w:hyperlink>
      <w:r>
        <w:t xml:space="preserve">.</w:t>
      </w:r>
    </w:p>
    <w:bookmarkEnd w:id="115"/>
    <w:bookmarkStart w:id="117" w:name="ref-MahoneyRoodStreamflow1998"/>
    <w:p>
      <w:pPr>
        <w:pStyle w:val="Bibliography"/>
      </w:pPr>
      <w:r>
        <w:t xml:space="preserve">Mahoney, John M., and Stewart B. Rood. 1998.</w:t>
      </w:r>
      <w:r>
        <w:t xml:space="preserve"> </w:t>
      </w:r>
      <w:r>
        <w:t xml:space="preserve">“Streamflow Requirements for Cottonwood Seedling Recruitment—</w:t>
      </w:r>
      <w:r>
        <w:t xml:space="preserve">An</w:t>
      </w:r>
      <w:r>
        <w:t xml:space="preserve"> </w:t>
      </w:r>
      <w:r>
        <w:t xml:space="preserve">Integrative Model.”</w:t>
      </w:r>
      <w:r>
        <w:t xml:space="preserve"> </w:t>
      </w:r>
      <w:r>
        <w:rPr>
          <w:i/>
          <w:iCs/>
        </w:rPr>
        <w:t xml:space="preserve">Wetlands</w:t>
      </w:r>
      <w:r>
        <w:t xml:space="preserve"> </w:t>
      </w:r>
      <w:r>
        <w:t xml:space="preserve">18 (4): 634–45.</w:t>
      </w:r>
      <w:r>
        <w:t xml:space="preserve"> </w:t>
      </w:r>
      <w:hyperlink r:id="rId116">
        <w:r>
          <w:rPr>
            <w:rStyle w:val="Hyperlink"/>
          </w:rPr>
          <w:t xml:space="preserve">https://doi.org/10.1007/BF03161678</w:t>
        </w:r>
      </w:hyperlink>
      <w:r>
        <w:t xml:space="preserve">.</w:t>
      </w:r>
    </w:p>
    <w:bookmarkEnd w:id="117"/>
    <w:bookmarkStart w:id="119" w:name="ref-MonarchiEtAlInteractive1973"/>
    <w:p>
      <w:pPr>
        <w:pStyle w:val="Bibliography"/>
      </w:pPr>
      <w:r>
        <w:t xml:space="preserve">Monarchi, David E., Chester C. Kisiel, and Lucien Duckstein. 1973.</w:t>
      </w:r>
      <w:r>
        <w:t xml:space="preserve"> </w:t>
      </w:r>
      <w:r>
        <w:t xml:space="preserve">“Interactive Multiobjective Programing in Water Resources:</w:t>
      </w:r>
      <w:r>
        <w:t xml:space="preserve"> </w:t>
      </w:r>
      <w:r>
        <w:t xml:space="preserve">A</w:t>
      </w:r>
      <w:r>
        <w:t xml:space="preserve"> </w:t>
      </w:r>
      <w:r>
        <w:t xml:space="preserve">Case Study.”</w:t>
      </w:r>
      <w:r>
        <w:t xml:space="preserve"> </w:t>
      </w:r>
      <w:r>
        <w:rPr>
          <w:i/>
          <w:iCs/>
        </w:rPr>
        <w:t xml:space="preserve">Water Resources Research</w:t>
      </w:r>
      <w:r>
        <w:t xml:space="preserve"> </w:t>
      </w:r>
      <w:r>
        <w:t xml:space="preserve">9 (4): 837–50.</w:t>
      </w:r>
      <w:r>
        <w:t xml:space="preserve"> </w:t>
      </w:r>
      <w:hyperlink r:id="rId118">
        <w:r>
          <w:rPr>
            <w:rStyle w:val="Hyperlink"/>
          </w:rPr>
          <w:t xml:space="preserve">https://doi.org/10.1029/WR009i004p00837</w:t>
        </w:r>
      </w:hyperlink>
      <w:r>
        <w:t xml:space="preserve">.</w:t>
      </w:r>
    </w:p>
    <w:bookmarkEnd w:id="119"/>
    <w:bookmarkStart w:id="121" w:name="ref-NordgrenEtAlSupporting2016"/>
    <w:p>
      <w:pPr>
        <w:pStyle w:val="Bibliography"/>
      </w:pPr>
      <w:r>
        <w:t xml:space="preserve">Nordgren, John, Missy Stults, and Sara Meerow. 2016.</w:t>
      </w:r>
      <w:r>
        <w:t xml:space="preserve"> </w:t>
      </w:r>
      <w:r>
        <w:t xml:space="preserve">“Supporting Local Climate Change Adaptation:</w:t>
      </w:r>
      <w:r>
        <w:t xml:space="preserve"> </w:t>
      </w:r>
      <w:r>
        <w:t xml:space="preserve">Where</w:t>
      </w:r>
      <w:r>
        <w:t xml:space="preserve"> </w:t>
      </w:r>
      <w:r>
        <w:t xml:space="preserve">We Are and Where We Need to Go.”</w:t>
      </w:r>
      <w:r>
        <w:t xml:space="preserve"> </w:t>
      </w:r>
      <w:r>
        <w:rPr>
          <w:i/>
          <w:iCs/>
        </w:rPr>
        <w:t xml:space="preserve">Environmental Science &amp; Policy</w:t>
      </w:r>
      <w:r>
        <w:t xml:space="preserve"> </w:t>
      </w:r>
      <w:r>
        <w:t xml:space="preserve">66 (December): 344–52.</w:t>
      </w:r>
      <w:r>
        <w:t xml:space="preserve"> </w:t>
      </w:r>
      <w:hyperlink r:id="rId120">
        <w:r>
          <w:rPr>
            <w:rStyle w:val="Hyperlink"/>
          </w:rPr>
          <w:t xml:space="preserve">https://doi.org/10.1016/j.envsci.2016.05.006</w:t>
        </w:r>
      </w:hyperlink>
      <w:r>
        <w:t xml:space="preserve">.</w:t>
      </w:r>
    </w:p>
    <w:bookmarkEnd w:id="121"/>
    <w:bookmarkStart w:id="123" w:name="ref-OhlbergerEtAlEffects2018"/>
    <w:p>
      <w:pPr>
        <w:pStyle w:val="Bibliography"/>
      </w:pPr>
      <w:r>
        <w:t xml:space="preserve">Ohlberger, Jan, Thomas W. Buehrens, Samuel J. Brenkman, Patrick Crain, Thomas P. Quinn, and Ray Hilborn. 2018.</w:t>
      </w:r>
      <w:r>
        <w:t xml:space="preserve"> </w:t>
      </w:r>
      <w:r>
        <w:t xml:space="preserve">“Effects of Past and Projected River Discharge Variability on Freshwater Production in an Anadromous Fish.”</w:t>
      </w:r>
      <w:r>
        <w:t xml:space="preserve"> </w:t>
      </w:r>
      <w:r>
        <w:rPr>
          <w:i/>
          <w:iCs/>
        </w:rPr>
        <w:t xml:space="preserve">Freshwater Biology</w:t>
      </w:r>
      <w:r>
        <w:t xml:space="preserve"> </w:t>
      </w:r>
      <w:r>
        <w:t xml:space="preserve">63 (4): 331–40.</w:t>
      </w:r>
      <w:r>
        <w:t xml:space="preserve"> </w:t>
      </w:r>
      <w:hyperlink r:id="rId122">
        <w:r>
          <w:rPr>
            <w:rStyle w:val="Hyperlink"/>
          </w:rPr>
          <w:t xml:space="preserve">https://doi.org/10.1111/fwb.13070</w:t>
        </w:r>
      </w:hyperlink>
      <w:r>
        <w:t xml:space="preserve">.</w:t>
      </w:r>
    </w:p>
    <w:bookmarkEnd w:id="123"/>
    <w:bookmarkStart w:id="125" w:name="ref-PattersonEtAlHydrologic2020"/>
    <w:p>
      <w:pPr>
        <w:pStyle w:val="Bibliography"/>
      </w:pPr>
      <w:r>
        <w:t xml:space="preserve">Patterson, Noelle K., Belize A. Lane, Samuel Sandoval-Solis, Gregory B. Pasternack, Sarah M. Yarnell, and Yexuan Qiu. 2020.</w:t>
      </w:r>
      <w:r>
        <w:t xml:space="preserve"> </w:t>
      </w:r>
      <w:r>
        <w:t xml:space="preserve">“A Hydrologic Feature Detection Algorithm to Quantify Seasonal Components of Flow Regimes.”</w:t>
      </w:r>
      <w:r>
        <w:t xml:space="preserve"> </w:t>
      </w:r>
      <w:r>
        <w:rPr>
          <w:i/>
          <w:iCs/>
        </w:rPr>
        <w:t xml:space="preserve">Journal of Hydrology</w:t>
      </w:r>
      <w:r>
        <w:t xml:space="preserve"> </w:t>
      </w:r>
      <w:r>
        <w:t xml:space="preserve">585 (June): 124787.</w:t>
      </w:r>
      <w:r>
        <w:t xml:space="preserve"> </w:t>
      </w:r>
      <w:hyperlink r:id="rId124">
        <w:r>
          <w:rPr>
            <w:rStyle w:val="Hyperlink"/>
          </w:rPr>
          <w:t xml:space="preserve">https://doi.org/10.1016/j.jhydrol.2020.124787</w:t>
        </w:r>
      </w:hyperlink>
      <w:r>
        <w:t xml:space="preserve">.</w:t>
      </w:r>
    </w:p>
    <w:bookmarkEnd w:id="125"/>
    <w:bookmarkStart w:id="126" w:name="X35601437fc25b0fdd92b478f2f9ddeaed3398df"/>
    <w:p>
      <w:pPr>
        <w:pStyle w:val="Bibliography"/>
      </w:pPr>
      <w:r>
        <w:t xml:space="preserve">Scott River Watershed Council. 2018.</w:t>
      </w:r>
      <w:r>
        <w:t xml:space="preserve"> </w:t>
      </w:r>
      <w:r>
        <w:t xml:space="preserve">“Restoring</w:t>
      </w:r>
      <w:r>
        <w:t xml:space="preserve"> </w:t>
      </w:r>
      <w:r>
        <w:t xml:space="preserve">Priority Coho Habitat</w:t>
      </w:r>
      <w:r>
        <w:t xml:space="preserve"> </w:t>
      </w:r>
      <w:r>
        <w:t xml:space="preserve">in the</w:t>
      </w:r>
      <w:r>
        <w:t xml:space="preserve"> </w:t>
      </w:r>
      <w:r>
        <w:t xml:space="preserve">Scott River Watershed Modeling</w:t>
      </w:r>
      <w:r>
        <w:t xml:space="preserve"> </w:t>
      </w:r>
      <w:r>
        <w:t xml:space="preserve">and</w:t>
      </w:r>
      <w:r>
        <w:t xml:space="preserve"> </w:t>
      </w:r>
      <w:r>
        <w:t xml:space="preserve">Planning Report</w:t>
      </w:r>
      <w:r>
        <w:t xml:space="preserve">.”</w:t>
      </w:r>
    </w:p>
    <w:bookmarkEnd w:id="126"/>
    <w:bookmarkStart w:id="127" w:name="X334218043bd9d5b07a848a610917fcfef0168db"/>
    <w:p>
      <w:pPr>
        <w:pStyle w:val="Bibliography"/>
      </w:pPr>
      <w:r>
        <w:t xml:space="preserve">Scott Valley Area Plan Committee. 1980.</w:t>
      </w:r>
      <w:r>
        <w:t xml:space="preserve"> </w:t>
      </w:r>
      <w:r>
        <w:t xml:space="preserve">“Scott</w:t>
      </w:r>
      <w:r>
        <w:t xml:space="preserve"> </w:t>
      </w:r>
      <w:r>
        <w:t xml:space="preserve">Valley Area Plan</w:t>
      </w:r>
      <w:r>
        <w:t xml:space="preserve">.”</w:t>
      </w:r>
      <w:r>
        <w:t xml:space="preserve"> </w:t>
      </w:r>
      <w:r>
        <w:t xml:space="preserve">Siskiyou County.</w:t>
      </w:r>
    </w:p>
    <w:bookmarkEnd w:id="127"/>
    <w:bookmarkStart w:id="128" w:name="ref-SiskiyouCountyScott2021"/>
    <w:p>
      <w:pPr>
        <w:pStyle w:val="Bibliography"/>
      </w:pPr>
      <w:r>
        <w:t xml:space="preserve">Siskiyou County. 2021.</w:t>
      </w:r>
      <w:r>
        <w:t xml:space="preserve"> </w:t>
      </w:r>
      <w:r>
        <w:t xml:space="preserve">“Scott</w:t>
      </w:r>
      <w:r>
        <w:t xml:space="preserve"> </w:t>
      </w:r>
      <w:r>
        <w:t xml:space="preserve">Valley Groundwater Sustainability Plan</w:t>
      </w:r>
      <w:r>
        <w:t xml:space="preserve">.”</w:t>
      </w:r>
    </w:p>
    <w:bookmarkEnd w:id="128"/>
    <w:bookmarkStart w:id="129" w:name="X15105b7917297e4641cb2d2cfd1651756f7bcb0"/>
    <w:p>
      <w:pPr>
        <w:pStyle w:val="Bibliography"/>
      </w:pPr>
      <w:r>
        <w:t xml:space="preserve">Siskiyou County GSA - Scott Valley Groundwater Advisory Committee. 2021.</w:t>
      </w:r>
      <w:r>
        <w:t xml:space="preserve"> </w:t>
      </w:r>
      <w:r>
        <w:t xml:space="preserve">“Siskiyou</w:t>
      </w:r>
      <w:r>
        <w:t xml:space="preserve"> </w:t>
      </w:r>
      <w:r>
        <w:t xml:space="preserve">County Groundwater Sustainability Agency</w:t>
      </w:r>
      <w:r>
        <w:t xml:space="preserve">:</w:t>
      </w:r>
      <w:r>
        <w:t xml:space="preserve"> </w:t>
      </w:r>
      <w:r>
        <w:t xml:space="preserve">Scott Valley Advisory Committee Meeting</w:t>
      </w:r>
      <w:r>
        <w:t xml:space="preserve">.”</w:t>
      </w:r>
      <w:r>
        <w:t xml:space="preserve"> </w:t>
      </w:r>
      <w:r>
        <w:t xml:space="preserve">Fort Jones, CA: Siskiyou County.</w:t>
      </w:r>
    </w:p>
    <w:bookmarkEnd w:id="129"/>
    <w:bookmarkStart w:id="130" w:name="Xa7b10fbb32571a990cee2341e679d296b855974"/>
    <w:p>
      <w:pPr>
        <w:pStyle w:val="Bibliography"/>
      </w:pPr>
      <w:r>
        <w:t xml:space="preserve">STATE WATER RESOURCES CONTROL BOARD. 2024.</w:t>
      </w:r>
      <w:r>
        <w:t xml:space="preserve"> </w:t>
      </w:r>
      <w:r>
        <w:t xml:space="preserve">“</w:t>
      </w:r>
      <w:r>
        <w:t xml:space="preserve">RESOLUTION NO</w:t>
      </w:r>
      <w:r>
        <w:t xml:space="preserve">. 2024-0036:</w:t>
      </w:r>
      <w:r>
        <w:t xml:space="preserve"> </w:t>
      </w:r>
      <w:r>
        <w:t xml:space="preserve">REGARDING FLOW EFFORTS IN THE SCOTT RIVER AND SHASTA RIVER WATERSHEDS</w:t>
      </w:r>
      <w:r>
        <w:t xml:space="preserve">.”</w:t>
      </w:r>
      <w:r>
        <w:t xml:space="preserve"> </w:t>
      </w:r>
      <w:r>
        <w:t xml:space="preserve">2024-0036.</w:t>
      </w:r>
    </w:p>
    <w:bookmarkEnd w:id="130"/>
    <w:bookmarkStart w:id="132" w:name="ref-SundingMeasuring1996"/>
    <w:p>
      <w:pPr>
        <w:pStyle w:val="Bibliography"/>
      </w:pPr>
      <w:r>
        <w:t xml:space="preserve">Sunding, David L. 1996.</w:t>
      </w:r>
      <w:r>
        <w:t xml:space="preserve"> </w:t>
      </w:r>
      <w:r>
        <w:t xml:space="preserve">“Measuring the</w:t>
      </w:r>
      <w:r>
        <w:t xml:space="preserve"> </w:t>
      </w:r>
      <w:r>
        <w:t xml:space="preserve">Marginal Cost</w:t>
      </w:r>
      <w:r>
        <w:t xml:space="preserve"> </w:t>
      </w:r>
      <w:r>
        <w:t xml:space="preserve">of</w:t>
      </w:r>
      <w:r>
        <w:t xml:space="preserve"> </w:t>
      </w:r>
      <w:r>
        <w:t xml:space="preserve">Nonuniform Environmental Regulations</w:t>
      </w:r>
      <w:r>
        <w:t xml:space="preserve">.”</w:t>
      </w:r>
      <w:r>
        <w:t xml:space="preserve"> </w:t>
      </w:r>
      <w:r>
        <w:rPr>
          <w:i/>
          <w:iCs/>
        </w:rPr>
        <w:t xml:space="preserve">American Journal of Agricultural Economics</w:t>
      </w:r>
      <w:r>
        <w:t xml:space="preserve"> </w:t>
      </w:r>
      <w:r>
        <w:t xml:space="preserve">78 (4): 1098–1107.</w:t>
      </w:r>
      <w:r>
        <w:t xml:space="preserve"> </w:t>
      </w:r>
      <w:hyperlink r:id="rId131">
        <w:r>
          <w:rPr>
            <w:rStyle w:val="Hyperlink"/>
          </w:rPr>
          <w:t xml:space="preserve">https://doi.org/10.2307/1243866</w:t>
        </w:r>
      </w:hyperlink>
      <w:r>
        <w:t xml:space="preserve">.</w:t>
      </w:r>
    </w:p>
    <w:bookmarkEnd w:id="132"/>
    <w:bookmarkStart w:id="134" w:name="ref-TolleyEtAlSensitivity2019"/>
    <w:p>
      <w:pPr>
        <w:pStyle w:val="Bibliography"/>
      </w:pPr>
      <w:r>
        <w:t xml:space="preserve">Tolley, D., L. Foglia, and T. Harter. 2019.</w:t>
      </w:r>
      <w:r>
        <w:t xml:space="preserve"> </w:t>
      </w:r>
      <w:r>
        <w:t xml:space="preserve">“Sensitivity</w:t>
      </w:r>
      <w:r>
        <w:t xml:space="preserve"> </w:t>
      </w:r>
      <w:r>
        <w:t xml:space="preserve">Analysis</w:t>
      </w:r>
      <w:r>
        <w:t xml:space="preserve"> </w:t>
      </w:r>
      <w:r>
        <w:t xml:space="preserve">and</w:t>
      </w:r>
      <w:r>
        <w:t xml:space="preserve"> </w:t>
      </w:r>
      <w:r>
        <w:t xml:space="preserve">Calibration</w:t>
      </w:r>
      <w:r>
        <w:t xml:space="preserve"> </w:t>
      </w:r>
      <w:r>
        <w:t xml:space="preserve">of an</w:t>
      </w:r>
      <w:r>
        <w:t xml:space="preserve"> </w:t>
      </w:r>
      <w:r>
        <w:t xml:space="preserve">Integrated Hydrologic Model</w:t>
      </w:r>
      <w:r>
        <w:t xml:space="preserve"> </w:t>
      </w:r>
      <w:r>
        <w:t xml:space="preserve">in an</w:t>
      </w:r>
      <w:r>
        <w:t xml:space="preserve"> </w:t>
      </w:r>
      <w:r>
        <w:t xml:space="preserve">Irrigated Agricultural Basin With</w:t>
      </w:r>
      <w:r>
        <w:t xml:space="preserve"> </w:t>
      </w:r>
      <w:r>
        <w:t xml:space="preserve">a</w:t>
      </w:r>
      <w:r>
        <w:t xml:space="preserve"> </w:t>
      </w:r>
      <w:r>
        <w:t xml:space="preserve">Groundwater-Dependent Ecosystem</w:t>
      </w:r>
      <w:r>
        <w:t xml:space="preserve">.”</w:t>
      </w:r>
      <w:r>
        <w:t xml:space="preserve"> </w:t>
      </w:r>
      <w:r>
        <w:rPr>
          <w:i/>
          <w:iCs/>
        </w:rPr>
        <w:t xml:space="preserve">Water Resources Research</w:t>
      </w:r>
      <w:r>
        <w:t xml:space="preserve"> </w:t>
      </w:r>
      <w:r>
        <w:t xml:space="preserve">55 (9): 7876–7901.</w:t>
      </w:r>
      <w:r>
        <w:t xml:space="preserve"> </w:t>
      </w:r>
      <w:hyperlink r:id="rId133">
        <w:r>
          <w:rPr>
            <w:rStyle w:val="Hyperlink"/>
          </w:rPr>
          <w:t xml:space="preserve">https://doi.org/10.1029/2018WR024209</w:t>
        </w:r>
      </w:hyperlink>
      <w:r>
        <w:t xml:space="preserve">.</w:t>
      </w:r>
    </w:p>
    <w:bookmarkEnd w:id="134"/>
    <w:bookmarkStart w:id="136" w:name="ref-VanSteenbergenPromoting2006"/>
    <w:p>
      <w:pPr>
        <w:pStyle w:val="Bibliography"/>
      </w:pPr>
      <w:r>
        <w:t xml:space="preserve">Van Steenbergen, Frank. 2006.</w:t>
      </w:r>
      <w:r>
        <w:t xml:space="preserve"> </w:t>
      </w:r>
      <w:r>
        <w:t xml:space="preserve">“Promoting Local Management in Groundwater.”</w:t>
      </w:r>
      <w:r>
        <w:t xml:space="preserve"> </w:t>
      </w:r>
      <w:r>
        <w:rPr>
          <w:i/>
          <w:iCs/>
        </w:rPr>
        <w:t xml:space="preserve">Hydrogeology Journal</w:t>
      </w:r>
      <w:r>
        <w:t xml:space="preserve"> </w:t>
      </w:r>
      <w:r>
        <w:t xml:space="preserve">14 (3): 380–91.</w:t>
      </w:r>
      <w:r>
        <w:t xml:space="preserve"> </w:t>
      </w:r>
      <w:hyperlink r:id="rId135">
        <w:r>
          <w:rPr>
            <w:rStyle w:val="Hyperlink"/>
          </w:rPr>
          <w:t xml:space="preserve">https://doi.org/10.1007/s10040-005-0015-y</w:t>
        </w:r>
      </w:hyperlink>
      <w:r>
        <w:t xml:space="preserve">.</w:t>
      </w:r>
    </w:p>
    <w:bookmarkEnd w:id="136"/>
    <w:bookmarkStart w:id="138" w:name="ref-YarnellEtAlFunctional2015"/>
    <w:p>
      <w:pPr>
        <w:pStyle w:val="Bibliography"/>
      </w:pPr>
      <w:r>
        <w:t xml:space="preserve">Yarnell, Sarah M., Geoffrey E. Petts, John C. Schmidt, Alison A. Whipple, Erin E. Beller, Clifford N. Dahm, Peter Goodwin, and Joshua H. Viers. 2015.</w:t>
      </w:r>
      <w:r>
        <w:t xml:space="preserve"> </w:t>
      </w:r>
      <w:r>
        <w:t xml:space="preserve">“Functional</w:t>
      </w:r>
      <w:r>
        <w:t xml:space="preserve"> </w:t>
      </w:r>
      <w:r>
        <w:t xml:space="preserve">Flows</w:t>
      </w:r>
      <w:r>
        <w:t xml:space="preserve"> </w:t>
      </w:r>
      <w:r>
        <w:t xml:space="preserve">in</w:t>
      </w:r>
      <w:r>
        <w:t xml:space="preserve"> </w:t>
      </w:r>
      <w:r>
        <w:t xml:space="preserve">Modified Riverscapes</w:t>
      </w:r>
      <w:r>
        <w:t xml:space="preserve">:</w:t>
      </w:r>
      <w:r>
        <w:t xml:space="preserve"> </w:t>
      </w:r>
      <w:r>
        <w:t xml:space="preserve">Hydrographs</w:t>
      </w:r>
      <w:r>
        <w:t xml:space="preserve">,</w:t>
      </w:r>
      <w:r>
        <w:t xml:space="preserve"> </w:t>
      </w:r>
      <w:r>
        <w:t xml:space="preserve">Habitats</w:t>
      </w:r>
      <w:r>
        <w:t xml:space="preserve"> </w:t>
      </w:r>
      <w:r>
        <w:t xml:space="preserve">and</w:t>
      </w:r>
      <w:r>
        <w:t xml:space="preserve"> </w:t>
      </w:r>
      <w:r>
        <w:t xml:space="preserve">Opportunities</w:t>
      </w:r>
      <w:r>
        <w:t xml:space="preserve">.”</w:t>
      </w:r>
      <w:r>
        <w:t xml:space="preserve"> </w:t>
      </w:r>
      <w:r>
        <w:rPr>
          <w:i/>
          <w:iCs/>
        </w:rPr>
        <w:t xml:space="preserve">BioScience</w:t>
      </w:r>
      <w:r>
        <w:t xml:space="preserve"> </w:t>
      </w:r>
      <w:r>
        <w:t xml:space="preserve">65 (10): 963–72.</w:t>
      </w:r>
      <w:r>
        <w:t xml:space="preserve"> </w:t>
      </w:r>
      <w:hyperlink r:id="rId137">
        <w:r>
          <w:rPr>
            <w:rStyle w:val="Hyperlink"/>
          </w:rPr>
          <w:t xml:space="preserve">https://doi.org/10.1093/biosci/biv102</w:t>
        </w:r>
      </w:hyperlink>
      <w:r>
        <w:t xml:space="preserve">.</w:t>
      </w:r>
    </w:p>
    <w:bookmarkEnd w:id="138"/>
    <w:bookmarkStart w:id="140" w:name="ref-YehBeckerMultiobjective1982"/>
    <w:p>
      <w:pPr>
        <w:pStyle w:val="Bibliography"/>
      </w:pPr>
      <w:r>
        <w:t xml:space="preserve">Yeh, William W-G., and Leonard Becker. 1982.</w:t>
      </w:r>
      <w:r>
        <w:t xml:space="preserve"> </w:t>
      </w:r>
      <w:r>
        <w:t xml:space="preserve">“Multiobjective Analysis of Multireservoir Operations.”</w:t>
      </w:r>
      <w:r>
        <w:t xml:space="preserve"> </w:t>
      </w:r>
      <w:r>
        <w:rPr>
          <w:i/>
          <w:iCs/>
        </w:rPr>
        <w:t xml:space="preserve">Water Resources Research</w:t>
      </w:r>
      <w:r>
        <w:t xml:space="preserve"> </w:t>
      </w:r>
      <w:r>
        <w:t xml:space="preserve">18 (5): 1326–36.</w:t>
      </w:r>
      <w:r>
        <w:t xml:space="preserve"> </w:t>
      </w:r>
      <w:hyperlink r:id="rId139">
        <w:r>
          <w:rPr>
            <w:rStyle w:val="Hyperlink"/>
          </w:rPr>
          <w:t xml:space="preserve">https://doi.org/10.1029/WR018i005p01326</w:t>
        </w:r>
      </w:hyperlink>
      <w:r>
        <w:t xml:space="preserve">.</w:t>
      </w:r>
    </w:p>
    <w:bookmarkEnd w:id="140"/>
    <w:bookmarkStart w:id="141" w:name="X8bf5592004e543b04dfcfc3edb39663c8006d78"/>
    <w:p>
      <w:pPr>
        <w:pStyle w:val="Bibliography"/>
      </w:pPr>
      <w:r>
        <w:t xml:space="preserve">Yolo Subbasin Groundwater Agency. 2022.</w:t>
      </w:r>
      <w:r>
        <w:t xml:space="preserve"> </w:t>
      </w:r>
      <w:r>
        <w:t xml:space="preserve">“Yolo</w:t>
      </w:r>
      <w:r>
        <w:t xml:space="preserve"> </w:t>
      </w:r>
      <w:r>
        <w:t xml:space="preserve">Subbasin Groundwater Sustainability Plan</w:t>
      </w:r>
      <w:r>
        <w:t xml:space="preserve">.”</w:t>
      </w:r>
      <w:r>
        <w:t xml:space="preserve"> </w:t>
      </w:r>
      <w:r>
        <w:t xml:space="preserve">Woodland, CA.</w:t>
      </w:r>
    </w:p>
    <w:bookmarkEnd w:id="141"/>
    <w:bookmarkEnd w:id="142"/>
    <w:p>
      <w:r>
        <w:br w:type="page"/>
      </w:r>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9" Target="media/rId69.png" /><Relationship Type="http://schemas.openxmlformats.org/officeDocument/2006/relationships/image" Id="rId74" Target="media/rId74.jpg" /><Relationship Type="http://schemas.openxmlformats.org/officeDocument/2006/relationships/hyperlink" Id="rId112" Target="https://doi.org/10.1002/eco.70098" TargetMode="External" /><Relationship Type="http://schemas.openxmlformats.org/officeDocument/2006/relationships/hyperlink" Id="rId116" Target="https://doi.org/10.1007/BF03161678" TargetMode="External" /><Relationship Type="http://schemas.openxmlformats.org/officeDocument/2006/relationships/hyperlink" Id="rId135" Target="https://doi.org/10.1007/s10040-005-0015-y" TargetMode="External" /><Relationship Type="http://schemas.openxmlformats.org/officeDocument/2006/relationships/hyperlink" Id="rId120" Target="https://doi.org/10.1016/j.envsci.2016.05.006" TargetMode="External" /><Relationship Type="http://schemas.openxmlformats.org/officeDocument/2006/relationships/hyperlink" Id="rId124" Target="https://doi.org/10.1016/j.jhydrol.2020.124787" TargetMode="External" /><Relationship Type="http://schemas.openxmlformats.org/officeDocument/2006/relationships/hyperlink" Id="rId110" Target="https://doi.org/10.1029/2004WR003787" TargetMode="External" /><Relationship Type="http://schemas.openxmlformats.org/officeDocument/2006/relationships/hyperlink" Id="rId133" Target="https://doi.org/10.1029/2018WR024209" TargetMode="External" /><Relationship Type="http://schemas.openxmlformats.org/officeDocument/2006/relationships/hyperlink" Id="rId101" Target="https://doi.org/10.1029/WR009i004p00826" TargetMode="External" /><Relationship Type="http://schemas.openxmlformats.org/officeDocument/2006/relationships/hyperlink" Id="rId118" Target="https://doi.org/10.1029/WR009i004p00837" TargetMode="External" /><Relationship Type="http://schemas.openxmlformats.org/officeDocument/2006/relationships/hyperlink" Id="rId139" Target="https://doi.org/10.1029/WR018i005p01326" TargetMode="External" /><Relationship Type="http://schemas.openxmlformats.org/officeDocument/2006/relationships/hyperlink" Id="rId137" Target="https://doi.org/10.1093/biosci/biv102" TargetMode="External" /><Relationship Type="http://schemas.openxmlformats.org/officeDocument/2006/relationships/hyperlink" Id="rId122" Target="https://doi.org/10.1111/fwb.13070" TargetMode="External" /><Relationship Type="http://schemas.openxmlformats.org/officeDocument/2006/relationships/hyperlink" Id="rId107" Target="https://doi.org/10.1111/j.1752-1688.2000.tb04280.x" TargetMode="External" /><Relationship Type="http://schemas.openxmlformats.org/officeDocument/2006/relationships/hyperlink" Id="rId91" Target="https://doi.org/10.1577/1548-8675(1994)014&lt;0237:HDACSO&gt;2.3.CO;2" TargetMode="External" /><Relationship Type="http://schemas.openxmlformats.org/officeDocument/2006/relationships/hyperlink" Id="rId99" Target="https://doi.org/10.2135/cropsci1983.0011183X002300040016x" TargetMode="External" /><Relationship Type="http://schemas.openxmlformats.org/officeDocument/2006/relationships/hyperlink" Id="rId131" Target="https://doi.org/10.2307/1243866" TargetMode="External" /><Relationship Type="http://schemas.openxmlformats.org/officeDocument/2006/relationships/hyperlink" Id="rId114" Target="https://doi.org/10.3133/wsp1462" TargetMode="External" /><Relationship Type="http://schemas.openxmlformats.org/officeDocument/2006/relationships/hyperlink" Id="rId89" Target="https://doi.org/10.3389/fclim.2021.719150" TargetMode="External" /></Relationships>
</file>

<file path=word/_rels/footnotes.xml.rels><?xml version="1.0" encoding="UTF-8"?><Relationships xmlns="http://schemas.openxmlformats.org/package/2006/relationships"><Relationship Type="http://schemas.openxmlformats.org/officeDocument/2006/relationships/hyperlink" Id="rId112" Target="https://doi.org/10.1002/eco.70098" TargetMode="External" /><Relationship Type="http://schemas.openxmlformats.org/officeDocument/2006/relationships/hyperlink" Id="rId116" Target="https://doi.org/10.1007/BF03161678" TargetMode="External" /><Relationship Type="http://schemas.openxmlformats.org/officeDocument/2006/relationships/hyperlink" Id="rId135" Target="https://doi.org/10.1007/s10040-005-0015-y" TargetMode="External" /><Relationship Type="http://schemas.openxmlformats.org/officeDocument/2006/relationships/hyperlink" Id="rId120" Target="https://doi.org/10.1016/j.envsci.2016.05.006" TargetMode="External" /><Relationship Type="http://schemas.openxmlformats.org/officeDocument/2006/relationships/hyperlink" Id="rId124" Target="https://doi.org/10.1016/j.jhydrol.2020.124787" TargetMode="External" /><Relationship Type="http://schemas.openxmlformats.org/officeDocument/2006/relationships/hyperlink" Id="rId110" Target="https://doi.org/10.1029/2004WR003787" TargetMode="External" /><Relationship Type="http://schemas.openxmlformats.org/officeDocument/2006/relationships/hyperlink" Id="rId133" Target="https://doi.org/10.1029/2018WR024209" TargetMode="External" /><Relationship Type="http://schemas.openxmlformats.org/officeDocument/2006/relationships/hyperlink" Id="rId101" Target="https://doi.org/10.1029/WR009i004p00826" TargetMode="External" /><Relationship Type="http://schemas.openxmlformats.org/officeDocument/2006/relationships/hyperlink" Id="rId118" Target="https://doi.org/10.1029/WR009i004p00837" TargetMode="External" /><Relationship Type="http://schemas.openxmlformats.org/officeDocument/2006/relationships/hyperlink" Id="rId139" Target="https://doi.org/10.1029/WR018i005p01326" TargetMode="External" /><Relationship Type="http://schemas.openxmlformats.org/officeDocument/2006/relationships/hyperlink" Id="rId137" Target="https://doi.org/10.1093/biosci/biv102" TargetMode="External" /><Relationship Type="http://schemas.openxmlformats.org/officeDocument/2006/relationships/hyperlink" Id="rId122" Target="https://doi.org/10.1111/fwb.13070" TargetMode="External" /><Relationship Type="http://schemas.openxmlformats.org/officeDocument/2006/relationships/hyperlink" Id="rId107" Target="https://doi.org/10.1111/j.1752-1688.2000.tb04280.x" TargetMode="External" /><Relationship Type="http://schemas.openxmlformats.org/officeDocument/2006/relationships/hyperlink" Id="rId91" Target="https://doi.org/10.1577/1548-8675(1994)014&lt;0237:HDACSO&gt;2.3.CO;2" TargetMode="External" /><Relationship Type="http://schemas.openxmlformats.org/officeDocument/2006/relationships/hyperlink" Id="rId99" Target="https://doi.org/10.2135/cropsci1983.0011183X002300040016x" TargetMode="External" /><Relationship Type="http://schemas.openxmlformats.org/officeDocument/2006/relationships/hyperlink" Id="rId131" Target="https://doi.org/10.2307/1243866" TargetMode="External" /><Relationship Type="http://schemas.openxmlformats.org/officeDocument/2006/relationships/hyperlink" Id="rId114" Target="https://doi.org/10.3133/wsp1462" TargetMode="External" /><Relationship Type="http://schemas.openxmlformats.org/officeDocument/2006/relationships/hyperlink" Id="rId89" Target="https://doi.org/10.3389/fclim.2021.7191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stakeholder-defined portfolio of management options clarifies trade-offs in an active local water planning process</dc:title>
  <dc:creator>Claire Kouba</dc:creator>
  <cp:keywords/>
  <dcterms:created xsi:type="dcterms:W3CDTF">2026-01-14T22:50:05Z</dcterms:created>
  <dcterms:modified xsi:type="dcterms:W3CDTF">2026-01-14T22:50:05Z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