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8.png" ContentType="image/png"/>
  <Override PartName="/word/media/rId62.png" ContentType="image/png"/>
  <Override PartName="/word/media/rId68.png" ContentType="image/png"/>
  <Override PartName="/word/media/rId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Locally-tailored objective functions expand utility of watershed model results and clarify trade-offs in an active local water planning process, northern California</w:t>
      </w:r>
    </w:p>
    <w:p>
      <w:pPr>
        <w:pStyle w:val="Author"/>
      </w:pPr>
      <w:r>
        <w:t xml:space="preserve">Claire Kouba</w:t>
      </w:r>
    </w:p>
    <w:p>
      <w:pPr>
        <w:pStyle w:val="Date"/>
      </w:pPr>
      <w:r>
        <w:t xml:space="preserve">2026-02-13</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w:t>
      </w:r>
      <w:r>
        <w:t xml:space="preserve"> </w:t>
      </w:r>
      <w:r>
        <w:rPr>
          <w:b/>
          <w:bCs/>
        </w:rP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w:t>
      </w:r>
      <w:r>
        <w:t xml:space="preserve"> </w:t>
      </w:r>
      <w:r>
        <w:t xml:space="preserve">Finally,</w:t>
      </w:r>
      <w:r>
        <w:t xml:space="preserve"> </w:t>
      </w:r>
      <w:r>
        <w:rPr>
          <w:b/>
          <w:bCs/>
        </w:rPr>
        <w:t xml:space="preserve">regarding regulatory actions, management interventions targeted at low-flow periods produced a more efficient gain in environmental flow value per cost in agricultural productivity.</w:t>
      </w:r>
      <w:r>
        <w:t xml:space="preserve"> </w:t>
      </w:r>
      <w:r>
        <w:t xml:space="preserve">This work demonstrates that basin-specific, stakeholder-informed objective functions can increase</w:t>
      </w:r>
      <w:r>
        <w:t xml:space="preserve"> </w:t>
      </w:r>
      <w:r>
        <w:rPr>
          <w:i/>
          <w:iCs/>
        </w:rPr>
        <w:t xml:space="preserve">stakeholder-salience of existing hydrologic model results</w:t>
      </w:r>
      <w:r>
        <w:t xml:space="preserve">,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periodically curtailed to preserve flows for aquatic species</w:t>
      </w:r>
      <w:r>
        <w:t xml:space="preserve"> </w:t>
      </w:r>
      <w:r>
        <w:t xml:space="preserve">(SWRCB 2021, 2024a, 2024b)</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are sufficient to provide coho spawners access to preferred spawning reaches within the fall-run time window;</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While Chinook also require fall flows for spawning, their specific flow requirements are somewhat distinct from coho due to their different life histories:</w:t>
      </w:r>
    </w:p>
    <w:p>
      <w:pPr>
        <w:pStyle w:val="Compact"/>
        <w:numPr>
          <w:ilvl w:val="0"/>
          <w:numId w:val="1002"/>
        </w:numPr>
      </w:pPr>
      <w:r>
        <w:t xml:space="preserve">Chinook juveniles spend less than one year in the freshwater environment</w:t>
      </w:r>
      <w:r>
        <w:t xml:space="preserve"> </w:t>
      </w:r>
      <w:r>
        <w:t xml:space="preserve">(Agrawal et al. 2005)</w:t>
      </w:r>
      <w:r>
        <w:t xml:space="preserve">, while coho overwinter and typically migrate to the ocean at 1+ years old</w:t>
      </w:r>
      <w:r>
        <w:t xml:space="preserve"> </w:t>
      </w:r>
      <w:r>
        <w:t xml:space="preserve">(Moyle 2002; McMahon 1983)</w:t>
      </w:r>
      <w:r>
        <w:t xml:space="preserve">;</w:t>
      </w:r>
    </w:p>
    <w:p>
      <w:pPr>
        <w:pStyle w:val="Compact"/>
        <w:numPr>
          <w:ilvl w:val="0"/>
          <w:numId w:val="1002"/>
        </w:numPr>
      </w:pPr>
      <w:r>
        <w:t xml:space="preserve">Chinook tend to spawn earlier in the fall than coho</w:t>
      </w:r>
      <w:r>
        <w:t xml:space="preserve"> </w:t>
      </w:r>
      <w:r>
        <w:t xml:space="preserve">(Knechtle and Giudice 2020; Magranet 2015, 2017)</w:t>
      </w:r>
      <w:r>
        <w:t xml:space="preserve">;</w:t>
      </w:r>
    </w:p>
    <w:p>
      <w:pPr>
        <w:pStyle w:val="Compact"/>
        <w:numPr>
          <w:ilvl w:val="0"/>
          <w:numId w:val="1002"/>
        </w:numPr>
      </w:pPr>
      <w:r>
        <w:t xml:space="preserve">Chinook prefer to spawn in the main stem of the Scott River, while coho prefer to spawn in tributaries</w:t>
      </w:r>
      <w:r>
        <w:t xml:space="preserve"> </w:t>
      </w:r>
      <w:r>
        <w:t xml:space="preserve">(e.g., Magranet 2018; Magranet and Yokel 2017)</w:t>
      </w:r>
      <w:r>
        <w:t xml:space="preserve">, making juvenile Chinook salmon more vulnerable than coho to egg burial or bed scour during high-flow storm conditions.</w:t>
      </w:r>
    </w:p>
    <w:p>
      <w:pPr>
        <w:pStyle w:val="FirstParagraph"/>
      </w:pPr>
      <w:r>
        <w:t xml:space="preserve">Different functional flows are needed by other species, such as cottonwood trees, which require flood-stage flows to disperse their seeds</w:t>
      </w:r>
      <w:r>
        <w:t xml:space="preserve"> </w:t>
      </w:r>
      <w:r>
        <w:t xml:space="preserve">(Mahoney and Rood 1998)</w:t>
      </w:r>
      <w:r>
        <w:t xml:space="preserve">; but in this work we focus on coho and Chinook salmon as two examples in developing a single-species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w:t>
      </w:r>
      <w:r>
        <w:t xml:space="preserve"> </w:t>
      </w:r>
      <w:r>
        <w:rPr>
          <w:b/>
          <w:bCs/>
        </w:rPr>
        <w:t xml:space="preserve">investigated?</w:t>
      </w:r>
      <w:r>
        <w:t xml:space="preserve"> </w:t>
      </w:r>
      <w:r>
        <w:rPr>
          <w:b/>
          <w:bCs/>
        </w:rPr>
        <w:t xml:space="preserve">Cite Orloff/Snyder work?</w:t>
      </w:r>
      <w:r>
        <w:t xml:space="preserve"> </w:t>
      </w:r>
      <w:r>
        <w:t xml:space="preserve">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7" w:name="methods"/>
    <w:p>
      <w:pPr>
        <w:pStyle w:val="Heading1"/>
      </w:pPr>
      <w:r>
        <w:rPr>
          <w:rStyle w:val="SectionNumber"/>
        </w:rPr>
        <w:t xml:space="preserve">3</w:t>
      </w:r>
      <w:r>
        <w:tab/>
      </w:r>
      <w:r>
        <w:t xml:space="preserve">Methods</w:t>
      </w:r>
    </w:p>
    <w:p>
      <w:pPr>
        <w:pStyle w:val="FirstParagraph"/>
      </w:pPr>
      <w:r>
        <w:t xml:space="preserve">After 2021, we expanded on this public planning effort with a research study, based on the suite of management scenarios designed for the GSP, in the hopes that it could inform water management decisions during 5-year GSP updates over the coming decades.</w:t>
      </w:r>
    </w:p>
    <w:p>
      <w:pPr>
        <w:pStyle w:val="BodyText"/>
      </w:pPr>
      <w:r>
        <w:t xml:space="preserve">In particular, we developed two quantitative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0" w:name="objective-functions"/>
    <w:p>
      <w:pPr>
        <w:pStyle w:val="Heading2"/>
      </w:pPr>
      <w:r>
        <w:rPr>
          <w:rStyle w:val="SectionNumber"/>
        </w:rPr>
        <w:t xml:space="preserve">3.1</w:t>
      </w:r>
      <w:r>
        <w:tab/>
      </w:r>
      <w:r>
        <w:t xml:space="preserve">Objective functions</w:t>
      </w:r>
    </w:p>
    <w:bookmarkStart w:id="47" w:name="hydrologic-benefit-function"/>
    <w:p>
      <w:pPr>
        <w:pStyle w:val="Heading3"/>
      </w:pPr>
      <w:r>
        <w:rPr>
          <w:rStyle w:val="SectionNumber"/>
        </w:rPr>
        <w:t xml:space="preserve">3.1.1</w:t>
      </w:r>
      <w:r>
        <w:tab/>
      </w:r>
      <w:r>
        <w:t xml:space="preserve">Hydrologic Benefit function</w:t>
      </w:r>
    </w:p>
    <w:p>
      <w:pPr>
        <w:pStyle w:val="FirstParagraph"/>
      </w:pPr>
      <w:r>
        <w:t xml:space="preserve">Conceptually, the Hydrologic Benefit (HB) function aims to answer the question: to what degree does this water year provide enough flow, at the right time, for this species?</w:t>
      </w:r>
    </w:p>
    <w:p>
      <w:pPr>
        <w:pStyle w:val="BodyText"/>
      </w:pPr>
      <w:r>
        <w:t xml:space="preserve">In a previous study, we empirically identified hydrograph features of high importance to Scott River coho and Chinook, based on correlations between hydrology and ecological observations such as outmigrating juvenile abundance</w:t>
      </w:r>
      <w:r>
        <w:t xml:space="preserve"> </w:t>
      </w:r>
      <w:r>
        <w:t xml:space="preserve">(Kouba et al. 2025)</w:t>
      </w:r>
      <w:r>
        <w:t xml:space="preserve">. The HB function is represented as a linear combination of these high-importance annual functional flow values.</w:t>
      </w:r>
    </w:p>
    <w:p>
      <w:pPr>
        <w:pStyle w:val="BodyText"/>
      </w:pPr>
      <w:r>
        <w:t xml:space="preserve">Functional flows are set of streamflow metrics related to the timing, amplitude, and duration of flow phenomena</w:t>
      </w:r>
      <w:r>
        <w:t xml:space="preserve"> </w:t>
      </w:r>
      <w:r>
        <w:t xml:space="preserve">(Yarnell et al. 2015; Patterson et al. 2020; Carpenter 2024)</w:t>
      </w:r>
      <w:r>
        <w:t xml:space="preserve">. In the HB function, these were weighted according to their power to predict coho and Chinook outcomes, such as smolt production or smolt production normalized per female spawner. The combination of these weighted metrics can be interpreted as a prediction of coho salmon reproduction</w:t>
      </w:r>
      <w:r>
        <w:t xml:space="preserve"> </w:t>
      </w:r>
      <w:r>
        <w:rPr>
          <w:i/>
          <w:iCs/>
        </w:rPr>
        <w:t xml:space="preserve">supported by hydrologic factors</w:t>
      </w:r>
      <w:r>
        <w:t xml:space="preserve">. Importantly, the HB function selected for this exercise only explains about</w:t>
      </w:r>
      <w:r>
        <w:t xml:space="preserve"> </w:t>
      </w:r>
      <w:r>
        <w:rPr>
          <w:i/>
          <w:iCs/>
        </w:rPr>
        <w:t xml:space="preserve">40% to 60%</w:t>
      </w:r>
      <w:r>
        <w:t xml:space="preserve"> </w:t>
      </w:r>
      <w:r>
        <w:t xml:space="preserve">of variation in observed smolt abundance, and the remaining 60%-40% of variation is assumed related to other life conditions, e.g., number of returning spawners, water quality, food resources, and internal fishery population dynamics</w:t>
      </w:r>
      <w:r>
        <w:t xml:space="preserve"> </w:t>
      </w:r>
      <w:r>
        <w:t xml:space="preserve">(Kouba et al. 2025)</w:t>
      </w:r>
      <w:r>
        <w:t xml:space="preserve">.</w:t>
      </w:r>
    </w:p>
    <w:p>
      <w:pPr>
        <w:pStyle w:val="BodyText"/>
      </w:pPr>
      <w:r>
        <w:t xml:space="preserve">There are many different possible HB function formulations; one example HB function is included below and three additional formulations are explored in Supplemental Material. These four HB functions correspond to the two species (coho and Chinook) as measured using two different units of annual salmon reproduction (outmigrating smolt abundance and normalized smolt-per-adult-spawner in the relevant brood year). See Supplemental Material for more HB function design information.</w:t>
      </w:r>
    </w:p>
    <w:p>
      <w:pPr>
        <w:pStyle w:val="BodyText"/>
      </w:pPr>
      <w:r>
        <w:t xml:space="preserve">The example HB function highlighted here is based on coho juvenile outmigrant abundance. It predicts that a higher number of coho smolt produced (coho smolt-equivalent) is related to higher fall flows during a cohort’s parents’ spawning, lower fall flows during a cohort’s time as overwintering yearlings, and a slower spring recession (see coefficient values in Table</w:t>
      </w:r>
      <w:r>
        <w:t xml:space="preserve"> </w:t>
      </w:r>
      <w:r>
        <w:t xml:space="preserve">3</w:t>
      </w:r>
      <w:r>
        <w:t xml:space="preserve">).</w:t>
      </w:r>
    </w:p>
    <w:p>
      <w:pPr>
        <w:pStyle w:val="TableCaption"/>
      </w:pPr>
      <w:bookmarkStart w:id="46" w:name="tab:coefTabMainText"/>
      <w:bookmarkEnd w:id="46"/>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Functional flow metrics informing the HB function were calculated from the observed daily average flow record of the FJ gauge (</w:t>
      </w:r>
      <m:oMath>
        <m:r>
          <m:t>F</m:t>
        </m:r>
        <m:sSub>
          <m:e>
            <m:r>
              <m:t>J</m:t>
            </m:r>
          </m:e>
          <m:sub>
            <m:r>
              <m:t>o</m:t>
            </m:r>
            <m:r>
              <m:t>b</m:t>
            </m:r>
            <m:r>
              <m:t>s</m:t>
            </m:r>
          </m:sub>
        </m:sSub>
      </m:oMath>
      <w:r>
        <w:t xml:space="preserve">), using signal processing algorithms developed by the California Environmental Flows Framework</w:t>
      </w:r>
      <w:r>
        <w:t xml:space="preserve"> </w:t>
      </w:r>
      <w:r>
        <w:t xml:space="preserve">(Yarnell et al. 2015; Patterson et al. 2020; Carpenter 2024)</w:t>
      </w:r>
      <w:r>
        <w:t xml:space="preserve">. One key model result of the historical basecase scenario in SVIHM is a</w:t>
      </w:r>
      <w:r>
        <w:t xml:space="preserve"> </w:t>
      </w:r>
      <w:r>
        <w:rPr>
          <w:i/>
          <w:iCs/>
        </w:rPr>
        <w:t xml:space="preserve">simulated</w:t>
      </w:r>
      <w:r>
        <w:t xml:space="preserve"> </w:t>
      </w:r>
      <w:r>
        <w:t xml:space="preserve">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r>
        <w:t xml:space="preserve"> </w:t>
      </w:r>
    </w:p>
    <w:bookmarkEnd w:id="47"/>
    <w:bookmarkStart w:id="48"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p>
      <w:pPr>
        <w:pStyle w:val="BodyText"/>
      </w:pPr>
      <w:r>
        <w:t xml:space="preserve">We assume that grain, another important local crop, has a different relationship than alfalfa between ET and revenue, as grain is harvested once per year in mid-to-late summer and alfalfa is harvested three to four times per year in this region</w:t>
      </w:r>
      <w:r>
        <w:t xml:space="preserve"> </w:t>
      </w:r>
      <w:r>
        <w:t xml:space="preserve">(Harter and Hines 2008)</w:t>
      </w:r>
      <w:r>
        <w:t xml:space="preserve">. This makes interpretation of the agricultural objective functions more complicated for three crop change scenarios in which alfalfa is converted to grain; see additional discussion in Section 5.</w:t>
      </w:r>
    </w:p>
    <w:bookmarkEnd w:id="48"/>
    <w:bookmarkStart w:id="49"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higher-efficiency irrigation technology (assigned to category 2). See Table</w:t>
      </w:r>
      <w:r>
        <w:t xml:space="preserve"> </w:t>
      </w:r>
      <w:r>
        <w:t xml:space="preserve">5</w:t>
      </w:r>
      <w:r>
        <w:t xml:space="preserve"> </w:t>
      </w:r>
      <w:r>
        <w:t xml:space="preserve">for full list of assigned categories.</w:t>
      </w:r>
    </w:p>
    <w:bookmarkEnd w:id="49"/>
    <w:bookmarkEnd w:id="50"/>
    <w:bookmarkStart w:id="53" w:name="analyses-of-objective-function-values"/>
    <w:p>
      <w:pPr>
        <w:pStyle w:val="Heading2"/>
      </w:pPr>
      <w:r>
        <w:rPr>
          <w:rStyle w:val="SectionNumber"/>
        </w:rPr>
        <w:t xml:space="preserve">3.2</w:t>
      </w:r>
      <w:r>
        <w:tab/>
      </w:r>
      <w:r>
        <w:t xml:space="preserve">Analyses of objective function values</w:t>
      </w:r>
    </w:p>
    <w:bookmarkStart w:id="51"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1"/>
    <w:bookmarkStart w:id="52"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bookmarkEnd w:id="52"/>
    <w:bookmarkEnd w:id="53"/>
    <w:bookmarkStart w:id="54"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5"/>
        </w:numPr>
      </w:pPr>
      <w:r>
        <w:t xml:space="preserve">A prediction of Scott River daily average flow at the Fort Jones Gauge, which is co-located with the surface water outlet of the model domain; and</w:t>
      </w:r>
    </w:p>
    <w:p>
      <w:pPr>
        <w:pStyle w:val="Compact"/>
        <w:numPr>
          <w:ilvl w:val="0"/>
          <w:numId w:val="1005"/>
        </w:numPr>
      </w:pPr>
      <w:r>
        <w:t xml:space="preserve">Simulated total ET of crops and native vegetation within the model domain.</w:t>
      </w:r>
    </w:p>
    <w:bookmarkEnd w:id="54"/>
    <w:bookmarkStart w:id="56"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25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See Supplemental Material for more detailed scenario descriptions.</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End w:id="57"/>
    <w:bookmarkStart w:id="79" w:name="results"/>
    <w:p>
      <w:pPr>
        <w:pStyle w:val="Heading1"/>
      </w:pPr>
      <w:r>
        <w:rPr>
          <w:rStyle w:val="SectionNumber"/>
        </w:rPr>
        <w:t xml:space="preserve">4</w:t>
      </w:r>
      <w:r>
        <w:tab/>
      </w:r>
      <w:r>
        <w:t xml:space="preserve">Results</w:t>
      </w:r>
    </w:p>
    <w:p>
      <w:pPr>
        <w:pStyle w:val="FirstParagraph"/>
      </w:pPr>
      <w:r>
        <w:t xml:space="preserve">As described above, objective functions were used to quantitatively summarize the achievement of environmental and agricultural goals for the basecase and 24 management scenarios. A Hydrologic Benefit (HB) value in units of predicted smolt abundance for coho and a total crop ET volume was calculated for each water year in the 35-year simulation period, for each scenario. (See Supplemental Material for these results calculated for an HB function with the other three units: coho smolt per adult spawner, Chinook smolt abundance, or Chinook smolt per adult.) In addition to the two objective functions, each scenario has been assigned an infrastructure feasibility category (Table</w:t>
      </w:r>
      <w:r>
        <w:t xml:space="preserve"> </w:t>
      </w:r>
      <w:r>
        <w:t xml:space="preserve">5</w:t>
      </w:r>
      <w:r>
        <w:t xml:space="preserve">).</w:t>
      </w:r>
    </w:p>
    <w:bookmarkStart w:id="67" w:name="X7919b09686293416b4bcb59483f48ae87a57064"/>
    <w:p>
      <w:pPr>
        <w:pStyle w:val="Heading2"/>
      </w:pPr>
      <w:r>
        <w:rPr>
          <w:rStyle w:val="SectionNumber"/>
        </w:rPr>
        <w:t xml:space="preserve">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title="" id="59" name="Picture"/>
            <a:graphic>
              <a:graphicData uri="http://schemas.openxmlformats.org/drawingml/2006/picture">
                <pic:pic>
                  <pic:nvPicPr>
                    <pic:cNvPr descr="Graphics%20and%20Supplements/Figure%204.png" id="60" name="Picture"/>
                    <pic:cNvPicPr>
                      <a:picLocks noChangeArrowheads="1" noChangeAspect="1"/>
                    </pic:cNvPicPr>
                  </pic:nvPicPr>
                  <pic:blipFill>
                    <a:blip r:embed="rId58"/>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1" w:name="fig:benefitByWYMainText"/>
      <w:bookmarkEnd w:id="61"/>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3" name="Picture"/>
            <a:graphic>
              <a:graphicData uri="http://schemas.openxmlformats.org/drawingml/2006/picture">
                <pic:pic>
                  <pic:nvPicPr>
                    <pic:cNvPr descr="Graphics%20and%20Supplements/Figure%205.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5" w:name="fig:farmerFishTradeoffFigureMainText"/>
      <w:bookmarkEnd w:id="65"/>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35-year record (e.g., Figure</w:t>
      </w:r>
      <w:r>
        <w:t xml:space="preserve"> </w:t>
      </w:r>
      <w:r>
        <w:t xml:space="preserve">5</w:t>
      </w:r>
      <w:r>
        <w:t xml:space="preserve">) or using the 35-year mean values for each scenario (Figure</w:t>
      </w:r>
      <w:r>
        <w:t xml:space="preserve"> </w:t>
      </w:r>
      <w:r>
        <w:t xml:space="preserve">??</w:t>
      </w:r>
      <w:r>
        <w:t xml:space="preserve">; Table</w:t>
      </w:r>
      <w:r>
        <w:t xml:space="preserve"> </w:t>
      </w:r>
      <w:r>
        <w:t xml:space="preserve">5</w:t>
      </w:r>
      <w:r>
        <w:t xml:space="preserve">). In the basecase scenario, the 35-year mean annual ET volume is 118 million m</w:t>
      </w:r>
      <w:r>
        <w:rPr>
          <w:vertAlign w:val="superscript"/>
        </w:rPr>
        <w:t xml:space="preserve">3</w:t>
      </w:r>
      <w:r>
        <w:t xml:space="preserve"> </w:t>
      </w:r>
      <w:r>
        <w:t xml:space="preserve">of water, and the 35-year mean of annual HB values is 7812 coho spf-equivalent (Table</w:t>
      </w:r>
      <w:r>
        <w:t xml:space="preserve"> </w:t>
      </w:r>
      <w:r>
        <w:t xml:space="preserve">5</w:t>
      </w:r>
      <w:r>
        <w:t xml:space="preserve">). Annual ET volume is relatively stable over the model period of water years 1991-2025, while annual HB values are much more variable (Figure</w:t>
      </w:r>
      <w:r>
        <w:t xml:space="preserve"> </w:t>
      </w:r>
      <w:r>
        <w:t xml:space="preserve">??</w:t>
      </w:r>
      <w:r>
        <w:t xml:space="preserve">). Among the 24 management scenarios, mean ET values ranged from 0 (for a no cultivated agriculture scenario) to 118 million m</w:t>
      </w:r>
      <w:r>
        <w:rPr>
          <w:vertAlign w:val="superscript"/>
        </w:rPr>
        <w:t xml:space="preserve">3</w:t>
      </w:r>
      <w:r>
        <w:t xml:space="preserve"> </w:t>
      </w:r>
      <w:r>
        <w:t xml:space="preserve">of water, while HB values ranged from 7696 to 8446 coho smolt-equivalent.</w:t>
      </w:r>
    </w:p>
    <w:p>
      <w:pPr>
        <w:pStyle w:val="BodyText"/>
      </w:pPr>
      <w:r>
        <w:rPr>
          <w:b/>
          <w:bCs/>
        </w:rPr>
        <w:t xml:space="preserve">results bullet points</w:t>
      </w:r>
    </w:p>
    <w:p>
      <w:pPr>
        <w:pStyle w:val="Compact"/>
        <w:numPr>
          <w:ilvl w:val="0"/>
          <w:numId w:val="1006"/>
        </w:numPr>
      </w:pPr>
      <w:r>
        <w:t xml:space="preserve">High-importance flows selected in LASSO regression and corroboration by other statistical approaches.</w:t>
      </w:r>
    </w:p>
    <w:p>
      <w:pPr>
        <w:pStyle w:val="Compact"/>
        <w:numPr>
          <w:ilvl w:val="1"/>
          <w:numId w:val="1007"/>
        </w:numPr>
      </w:pPr>
      <w:r>
        <w:t xml:space="preserve">For coho, in both absolute and spawner-normalized smolt units, LASSO regression identified at fall-to-wet season transition metrics as of high importance for predicting coho outcomes; for units of absolute smolt abundance, the spring recession rate was also selected (Supplements A and B, Table 1).</w:t>
      </w:r>
    </w:p>
    <w:p>
      <w:pPr>
        <w:pStyle w:val="Compact"/>
        <w:numPr>
          <w:ilvl w:val="1"/>
          <w:numId w:val="1007"/>
        </w:numPr>
      </w:pPr>
      <w:r>
        <w:t xml:space="preserve">For Chinook, in both absolute and spawner-normalized smolt units, the wet season baseflow median magnitude was of greatest importance; for normalized smolt units, maximum spring recession rate was also selected (Supplements C and D, Table 1).</w:t>
      </w:r>
      <w:r>
        <w:br/>
      </w:r>
    </w:p>
    <w:p>
      <w:pPr>
        <w:pStyle w:val="Compact"/>
        <w:numPr>
          <w:ilvl w:val="1"/>
          <w:numId w:val="1007"/>
        </w:numPr>
      </w:pPr>
      <w:r>
        <w:t xml:space="preserve">Effectively, in the context of LASSO regression, the flows that explain the most variation in smolt production (without overfitting, as determined by k-fold validation) were related to, for coho, the timing of wet season onset and the magnitude of changes in fall flows; and for Chinook, the wet season baseflow.</w:t>
      </w:r>
    </w:p>
    <w:p>
      <w:pPr>
        <w:pStyle w:val="Compact"/>
        <w:numPr>
          <w:ilvl w:val="1"/>
          <w:numId w:val="1007"/>
        </w:numPr>
      </w:pPr>
      <w:r>
        <w:t xml:space="preserve">The importance of wet season baseflows to Chinook and fall flows to coho is corroborated by the other statistical modeling approaches, i.e., LASSO regression predicting smolt production based on hydrology and spawner abundance, as well as MARSS regression models predicting smolt production with single hydrologic covariates</w:t>
      </w:r>
      <w:r>
        <w:t xml:space="preserve"> </w:t>
      </w:r>
      <w:r>
        <w:t xml:space="preserve">(Kouba et al. 2025)</w:t>
      </w:r>
      <w:r>
        <w:t xml:space="preserve">. However, other metrics were also highlighted:</w:t>
      </w:r>
      <w:r>
        <w:t xml:space="preserve"> </w:t>
      </w:r>
      <w:r>
        <w:rPr>
          <w:b/>
          <w:bCs/>
        </w:rPr>
        <w:t xml:space="preserve">summarize hydro+spawner and MARSS results</w:t>
      </w:r>
      <w:r>
        <w:t xml:space="preserve"> </w:t>
      </w:r>
      <w:r>
        <w:t xml:space="preserve">(Kouba et al. 2025)</w:t>
      </w:r>
    </w:p>
    <w:p>
      <w:pPr>
        <w:pStyle w:val="Compact"/>
        <w:numPr>
          <w:ilvl w:val="0"/>
          <w:numId w:val="1006"/>
        </w:numPr>
      </w:pPr>
      <w:r>
        <w:t xml:space="preserve">for HB over time:</w:t>
      </w:r>
    </w:p>
    <w:p>
      <w:pPr>
        <w:pStyle w:val="Compact"/>
        <w:numPr>
          <w:ilvl w:val="1"/>
          <w:numId w:val="1008"/>
        </w:numPr>
      </w:pPr>
      <w:r>
        <w:t xml:space="preserve">Generally a uniform effect on ET, shifting it by about the same amount each year. Conversely, scenario effect on HB function is variable. (Supplements A-D, Fig.</w:t>
      </w:r>
      <w:r>
        <w:t xml:space="preserve"> </w:t>
      </w:r>
      <w:r>
        <w:rPr>
          <w:b/>
          <w:bCs/>
        </w:rPr>
        <w:t xml:space="preserve">W</w:t>
      </w:r>
      <w:r>
        <w:t xml:space="preserve">)</w:t>
      </w:r>
    </w:p>
    <w:p>
      <w:pPr>
        <w:pStyle w:val="Compact"/>
        <w:numPr>
          <w:ilvl w:val="1"/>
          <w:numId w:val="1008"/>
        </w:numPr>
      </w:pPr>
      <w:r>
        <w:t xml:space="preserve">For Hb over time, not a lot of difference between scenarios some years. Some scenarios may not change the component flows relative to basecase ((Supplements A-D, Fig.</w:t>
      </w:r>
      <w:r>
        <w:t xml:space="preserve"> </w:t>
      </w:r>
      <w:r>
        <w:rPr>
          <w:b/>
          <w:bCs/>
        </w:rPr>
        <w:t xml:space="preserve">X</w:t>
      </w:r>
      <w:r>
        <w:t xml:space="preserve">))</w:t>
      </w:r>
    </w:p>
    <w:p>
      <w:pPr>
        <w:pStyle w:val="Compact"/>
        <w:numPr>
          <w:ilvl w:val="0"/>
          <w:numId w:val="1006"/>
        </w:numPr>
      </w:pPr>
      <w:r>
        <w:t xml:space="preserve">For HB components:</w:t>
      </w:r>
    </w:p>
    <w:p>
      <w:pPr>
        <w:pStyle w:val="Compact"/>
        <w:numPr>
          <w:ilvl w:val="1"/>
          <w:numId w:val="1009"/>
        </w:numPr>
      </w:pPr>
      <w:r>
        <w:t xml:space="preserve">For coho juvenile abundance, in the basecase scenario, it seems that when the HB function predicts a particularly good year (</w:t>
      </w:r>
      <w:r>
        <w:rPr>
          <w:b/>
          <w:bCs/>
        </w:rPr>
        <w:t xml:space="preserve">numerical definition</w:t>
      </w:r>
      <w:r>
        <w:t xml:space="preserve">), it is driven by a large magnitude fall flow difference, or fall pulse. Conversely, in the years where the HB function predicts a particularly bad year, it is driven by a rapid first spring recession rate (Supplement A, Fig</w:t>
      </w:r>
      <w:r>
        <w:t xml:space="preserve"> </w:t>
      </w:r>
      <w:r>
        <w:rPr>
          <w:b/>
          <w:bCs/>
        </w:rPr>
        <w:t xml:space="preserve">X</w:t>
      </w:r>
      <w:r>
        <w:t xml:space="preserve">).</w:t>
      </w:r>
    </w:p>
    <w:p>
      <w:pPr>
        <w:pStyle w:val="Compact"/>
        <w:numPr>
          <w:ilvl w:val="1"/>
          <w:numId w:val="1009"/>
        </w:numPr>
      </w:pPr>
      <w:r>
        <w:t xml:space="preserve">Conversely, for coho juveniles per spawner (basecase), both good and bad years seem to be largely driven by wet season onset timing (Supplement B, Fig</w:t>
      </w:r>
      <w:r>
        <w:t xml:space="preserve"> </w:t>
      </w:r>
      <w:r>
        <w:rPr>
          <w:b/>
          <w:bCs/>
        </w:rPr>
        <w:t xml:space="preserve">X</w:t>
      </w:r>
      <w:r>
        <w:t xml:space="preserve">)</w:t>
      </w:r>
    </w:p>
    <w:p>
      <w:pPr>
        <w:pStyle w:val="Compact"/>
        <w:numPr>
          <w:ilvl w:val="1"/>
          <w:numId w:val="1009"/>
        </w:numPr>
      </w:pPr>
      <w:r>
        <w:t xml:space="preserve">In both cases for coho, 2nd fall flow difference makes minor contributions (Supplements A and B, Fig</w:t>
      </w:r>
      <w:r>
        <w:t xml:space="preserve"> </w:t>
      </w:r>
      <w:r>
        <w:rPr>
          <w:b/>
          <w:bCs/>
        </w:rPr>
        <w:t xml:space="preserve">X</w:t>
      </w:r>
      <w:r>
        <w:t xml:space="preserve">), and is assigned a negative coefficient. This suggests higher flows in the second fall (for juvenile overwintering coho) are consistently associated with lower smolt production, but other factors such as first fall flow difference and wet season timing seem to exert greater overall influence.</w:t>
      </w:r>
    </w:p>
    <w:p>
      <w:pPr>
        <w:pStyle w:val="Compact"/>
        <w:numPr>
          <w:ilvl w:val="1"/>
          <w:numId w:val="1009"/>
        </w:numPr>
      </w:pPr>
      <w:r>
        <w:t xml:space="preserve">For Chinook, predictions of both high and low smolt production are driven by wet season baseflow magnitude (with a small contribution from maximum spring recession rate for juveniles per adult): high wet season flows are associated with lower smolt abundance.</w:t>
      </w:r>
    </w:p>
    <w:p>
      <w:pPr>
        <w:pStyle w:val="Compact"/>
        <w:numPr>
          <w:ilvl w:val="0"/>
          <w:numId w:val="1006"/>
        </w:numPr>
      </w:pPr>
      <w:r>
        <w:t xml:space="preserve">Tradeoff plot.</w:t>
      </w:r>
    </w:p>
    <w:p>
      <w:pPr>
        <w:pStyle w:val="Compact"/>
        <w:numPr>
          <w:ilvl w:val="1"/>
          <w:numId w:val="1010"/>
        </w:numPr>
      </w:pPr>
      <w:r>
        <w:t xml:space="preserve">Highest-HB value is total conversion of irrigated agriculture to native vegetation. (High-ET vegetation endmember for Chinook and low-ET for coho).</w:t>
      </w:r>
    </w:p>
    <w:p>
      <w:pPr>
        <w:pStyle w:val="Compact"/>
        <w:numPr>
          <w:ilvl w:val="1"/>
          <w:numId w:val="1010"/>
        </w:numPr>
      </w:pPr>
      <w:r>
        <w:t xml:space="preserve">reservoir scenarios don’t help coho much at all: small reservoirs just don’t have capacity to add fall flow during dry years when baseflows are lowest. Surprisingly, reservoir scenarios seem to help Chinook significantly more: even a small reservoir on one tributary can dampen wet season stormflows enough to benefit Chinook.</w:t>
      </w:r>
    </w:p>
    <w:p>
      <w:pPr>
        <w:pStyle w:val="Compact"/>
        <w:numPr>
          <w:ilvl w:val="0"/>
          <w:numId w:val="1006"/>
        </w:numPr>
      </w:pPr>
      <w:r>
        <w:t xml:space="preserve">Efficiency plot</w:t>
      </w:r>
    </w:p>
    <w:p>
      <w:pPr>
        <w:pStyle w:val="Compact"/>
        <w:numPr>
          <w:ilvl w:val="1"/>
          <w:numId w:val="1011"/>
        </w:numPr>
      </w:pPr>
      <w:r>
        <w:t xml:space="preserve">For coho,</w:t>
      </w:r>
    </w:p>
    <w:p>
      <w:pPr>
        <w:pStyle w:val="Compact"/>
        <w:numPr>
          <w:ilvl w:val="0"/>
          <w:numId w:val="1006"/>
        </w:numPr>
      </w:pPr>
      <w:r>
        <w:t xml:space="preserve">3-D results figure</w:t>
      </w:r>
    </w:p>
    <w:p>
      <w:pPr>
        <w:pStyle w:val="Compact"/>
        <w:numPr>
          <w:ilvl w:val="1"/>
          <w:numId w:val="1012"/>
        </w:numPr>
      </w:pPr>
      <w:r>
        <w:t xml:space="preserve">For coho, trade-off curves in every category.</w:t>
      </w:r>
    </w:p>
    <w:p>
      <w:pPr>
        <w:pStyle w:val="FirstParagraph"/>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-1 to 105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(SWRCB 2021)</w:t>
      </w:r>
      <w:r>
        <w:t xml:space="preserve">. The mean ET values of scenarios in these two categories are 103 to 117 million m</w:t>
      </w:r>
      <w:r>
        <w:rPr>
          <w:vertAlign w:val="superscript"/>
        </w:rPr>
        <w:t xml:space="preserve">3</w:t>
      </w:r>
      <w:r>
        <w:t xml:space="preserve">, or 13 to 1 percent less than basecase; HB gains over basecase are -116 to 384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15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(California State Water Resources Control Board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6" w:name="tab:scenarioResultsTabMainText"/>
      <w:bookmarkEnd w:id="66"/>
      <w:r>
        <w:t xml:space="preserve">Table 5:</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7"/>
    <w:bookmarkStart w:id="72" w:name="X5717be130d28923be971a1bdea556d769a5487a"/>
    <w:p>
      <w:pPr>
        <w:pStyle w:val="Heading2"/>
      </w:pPr>
      <w:r>
        <w:rPr>
          <w:rStyle w:val="SectionNumber"/>
        </w:rPr>
        <w:t xml:space="preserve">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-1.97 to 0.9 when averaged over all years(Table</w:t>
      </w:r>
      <w:r>
        <w:t xml:space="preserve"> </w:t>
      </w:r>
      <w:r>
        <w:t xml:space="preserve">5</w:t>
      </w:r>
      <w:r>
        <w:t xml:space="preserve">). The range covers two orders of magnitude because the denominator of the ratio, lost ET, ranges from 0% to 100%, while the HB gains fall more narrowly between -1.5% to 8.1%.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w:t>
      </w:r>
      <w:r>
        <w:t xml:space="preserve">). These scenarios can produce substantial HB gains (ranging from 15 to 634)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w:t>
      </w:r>
      <w:r>
        <w:t xml:space="preserve"> </w:t>
      </w:r>
      <w:r>
        <w:t xml:space="preserve">to -</w:t>
      </w:r>
      <w:r>
        <w:t xml:space="preserve"> </w:t>
      </w:r>
      <w:r>
        <w:t xml:space="preserve">million m</w:t>
      </w:r>
      <w:r>
        <w:rPr>
          <w:vertAlign w:val="superscript"/>
        </w:rPr>
        <w:t xml:space="preserve">3</w:t>
      </w:r>
      <w:r>
        <w:t xml:space="preserve">, or</w:t>
      </w:r>
      <w:r>
        <w:t xml:space="preserve"> </w:t>
      </w:r>
      <w:r>
        <w:t xml:space="preserve"> </w:t>
      </w:r>
      <w:r>
        <w:t xml:space="preserve">to -</w:t>
      </w:r>
      <w:r>
        <w:t xml:space="preserve"> </w:t>
      </w:r>
      <w:r>
        <w:t xml:space="preserve">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69" name="Picture"/>
            <a:graphic>
              <a:graphicData uri="http://schemas.openxmlformats.org/drawingml/2006/picture">
                <pic:pic>
                  <pic:nvPicPr>
                    <pic:cNvPr descr="Graphics%20and%20Supplements/Figure%207.pn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1" w:name="fig:efficiencyMainText"/>
      <w:bookmarkEnd w:id="71"/>
      <w:r>
        <w:t xml:space="preserve">Figure 7:</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72"/>
    <w:bookmarkStart w:id="78" w:name="Xfbc83626841bb94e70b2ed42e58f7fe62bf81a6"/>
    <w:p>
      <w:pPr>
        <w:pStyle w:val="Heading2"/>
      </w:pPr>
      <w:r>
        <w:rPr>
          <w:rStyle w:val="SectionNumber"/>
        </w:rPr>
        <w:t xml:space="preserve">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5</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25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4" name="Picture"/>
            <a:graphic>
              <a:graphicData uri="http://schemas.openxmlformats.org/drawingml/2006/picture">
                <pic:pic>
                  <pic:nvPicPr>
                    <pic:cNvPr descr="Graphics%20and%20Supplements/hbf%20et%20infra%20plot3d_2025.11.04.jpg" id="75" name="Picture"/>
                    <pic:cNvPicPr>
                      <a:picLocks noChangeArrowheads="1" noChangeAspect="1"/>
                    </pic:cNvPicPr>
                  </pic:nvPicPr>
                  <pic:blipFill>
                    <a:blip r:embed="rId73"/>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6" w:name="fig:farmerFishInfraFigure3D"/>
      <w:bookmarkEnd w:id="76"/>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7" w:name="tab:gspMgmtList"/>
      <w:bookmarkEnd w:id="77"/>
      <w:r>
        <w:t xml:space="preserve">Table 6:</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7845.7-8446.38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7860.77-8064.83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7847.87-7917.48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7696.15-8196.51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8"/>
    <w:bookmarkEnd w:id="79"/>
    <w:bookmarkStart w:id="85" w:name="discussion"/>
    <w:p>
      <w:pPr>
        <w:pStyle w:val="Heading1"/>
      </w:pPr>
      <w:r>
        <w:rPr>
          <w:rStyle w:val="SectionNumber"/>
        </w:rPr>
        <w:t xml:space="preserve">5</w:t>
      </w:r>
      <w:r>
        <w:tab/>
      </w:r>
      <w:r>
        <w:t xml:space="preserve">Discussion</w:t>
      </w:r>
    </w:p>
    <w:p>
      <w:pPr>
        <w:pStyle w:val="FirstParagraph"/>
      </w:pPr>
      <w:r>
        <w:rPr>
          <w:b/>
          <w:bCs/>
        </w:rPr>
        <w:t xml:space="preserve">add discussion of alternative env obj functions: steelhead, other aquatic species, GDEs, indices of alteration</w:t>
      </w:r>
    </w:p>
    <w:p>
      <w:pPr>
        <w:pStyle w:val="BodyText"/>
      </w:pPr>
      <w:r>
        <w:rPr>
          <w:b/>
          <w:bCs/>
        </w:rPr>
        <w:t xml:space="preserve">add discussion of how to interpret grain ET results. might need to check with TH</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0" w:name="Xa151cb59b4ad5c02348e31b83bab4d8169de230"/>
    <w:p>
      <w:pPr>
        <w:pStyle w:val="Heading2"/>
      </w:pPr>
      <w:r>
        <w:rPr>
          <w:rStyle w:val="SectionNumber"/>
        </w:rPr>
        <w:t xml:space="preserve">5.1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0"/>
    <w:bookmarkStart w:id="81" w:name="Xeb4407dfc59ea709d91a13199c8e469abf09cea"/>
    <w:p>
      <w:pPr>
        <w:pStyle w:val="Heading2"/>
      </w:pPr>
      <w:r>
        <w:rPr>
          <w:rStyle w:val="SectionNumber"/>
        </w:rPr>
        <w:t xml:space="preserve">5.2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w:t>
      </w:r>
      <w:r>
        <w:t xml:space="preserve">), the low-coho year HB performance of various model scenarios is a key scenario differentiator.</w:t>
      </w:r>
    </w:p>
    <w:bookmarkEnd w:id="81"/>
    <w:bookmarkStart w:id="82" w:name="environmental-agricultural-trade-offs"/>
    <w:p>
      <w:pPr>
        <w:pStyle w:val="Heading2"/>
      </w:pPr>
      <w:r>
        <w:rPr>
          <w:rStyle w:val="SectionNumber"/>
        </w:rPr>
        <w:t xml:space="preserve">5.3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5</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35-year model period (Figure</w:t>
      </w:r>
      <w:r>
        <w:t xml:space="preserve"> </w:t>
      </w:r>
      <w:r>
        <w:t xml:space="preserve">??</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5</w:t>
      </w:r>
      <w:r>
        <w:t xml:space="preserve">).</w:t>
      </w:r>
    </w:p>
    <w:bookmarkEnd w:id="82"/>
    <w:bookmarkStart w:id="83" w:name="Xb48c0b1c357814727cacf50afe35e98b0bf92dd"/>
    <w:p>
      <w:pPr>
        <w:pStyle w:val="Heading2"/>
      </w:pPr>
      <w:r>
        <w:rPr>
          <w:rStyle w:val="SectionNumber"/>
        </w:rPr>
        <w:t xml:space="preserve">5.4</w:t>
      </w:r>
      <w:r>
        <w:tab/>
      </w:r>
      <w:r>
        <w:t xml:space="preserve">Pareto-optimal solution set and GSP priority management actions</w:t>
      </w:r>
    </w:p>
    <w:p>
      <w:pPr>
        <w:pStyle w:val="FirstParagraph"/>
      </w:pPr>
      <w:r>
        <w:t xml:space="preserve">Within the proposed suite of management actions, more than half (</w:t>
      </w:r>
      <w:r>
        <w:rPr>
          <w:b/>
          <w:bCs/>
        </w:rPr>
        <w:t xml:space="preserve">25</w:t>
      </w:r>
      <w:r>
        <w:t xml:space="preserve"> </w:t>
      </w:r>
      <w:r>
        <w:t xml:space="preserve">of 25, including the basecase) fall within the Pareto-optimal set based on the infrastructure category and the 35-year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5</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w:t>
      </w:r>
      <w:r>
        <w:t xml:space="preserve">; Table</w:t>
      </w:r>
      <w:r>
        <w:t xml:space="preserve"> </w:t>
      </w:r>
      <w:r>
        <w:t xml:space="preserve">5</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3"/>
    <w:bookmarkStart w:id="84" w:name="policy-implications"/>
    <w:p>
      <w:pPr>
        <w:pStyle w:val="Heading2"/>
      </w:pPr>
      <w:r>
        <w:rPr>
          <w:rStyle w:val="SectionNumber"/>
        </w:rPr>
        <w:t xml:space="preserve">5.5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13"/>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5</w:t>
      </w:r>
      <w:r>
        <w:t xml:space="preserve">).</w:t>
      </w:r>
    </w:p>
    <w:p>
      <w:pPr>
        <w:pStyle w:val="Compact"/>
        <w:numPr>
          <w:ilvl w:val="0"/>
          <w:numId w:val="1013"/>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13"/>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w:t>
      </w:r>
      <w:r>
        <w:t xml:space="preserve">.</w:t>
      </w:r>
    </w:p>
    <w:p>
      <w:pPr>
        <w:pStyle w:val="Compact"/>
        <w:numPr>
          <w:ilvl w:val="0"/>
          <w:numId w:val="1013"/>
        </w:numPr>
      </w:pPr>
      <w:r>
        <w:t xml:space="preserve">In recent years, drought conditions have prompted state regulatory agencies to consider and then impose significant irrigation curtailments</w:t>
      </w:r>
      <w:r>
        <w:t xml:space="preserve"> </w:t>
      </w:r>
      <w:r>
        <w:t xml:space="preserve">(SWRCB 2021, 2024a, 2024b)</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w:t>
      </w:r>
      <w:r>
        <w:t xml:space="preserve">).</w:t>
      </w:r>
    </w:p>
    <w:bookmarkEnd w:id="84"/>
    <w:bookmarkEnd w:id="85"/>
    <w:bookmarkStart w:id="86"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6"/>
    <w:bookmarkStart w:id="87" w:name="acknowledgments"/>
    <w:p>
      <w:pPr>
        <w:pStyle w:val="Heading1"/>
      </w:pPr>
      <w:r>
        <w:t xml:space="preserve">Acknowledgments</w:t>
      </w:r>
    </w:p>
    <w:bookmarkEnd w:id="87"/>
    <w:bookmarkStart w:id="151" w:name="references"/>
    <w:p>
      <w:pPr>
        <w:pStyle w:val="Heading1"/>
      </w:pPr>
      <w:r>
        <w:rPr>
          <w:rStyle w:val="SectionNumber"/>
        </w:rPr>
        <w:t xml:space="preserve">7</w:t>
      </w:r>
      <w:r>
        <w:tab/>
      </w:r>
      <w:r>
        <w:t xml:space="preserve">References</w:t>
      </w:r>
    </w:p>
    <w:bookmarkStart w:id="150" w:name="refs"/>
    <w:bookmarkStart w:id="88" w:name="ref-AgrawalEtAlPREDICTING2005"/>
    <w:p>
      <w:pPr>
        <w:pStyle w:val="Bibliography"/>
      </w:pPr>
      <w:r>
        <w:t xml:space="preserve">Agrawal, A, R S Schick, E P Bjorkstedt, R G Szerlong, M N Goslin, B C Spence, T H Williams, and K M Burnett. 2005.</w:t>
      </w:r>
      <w:r>
        <w:t xml:space="preserve"> </w:t>
      </w:r>
      <w:r>
        <w:t xml:space="preserve">“</w:t>
      </w:r>
      <w:r>
        <w:t xml:space="preserve">PREDICTING THE POTENTIAL FOR HISTORICAL COHO</w:t>
      </w:r>
      <w:r>
        <w:t xml:space="preserve">,</w:t>
      </w:r>
      <w:r>
        <w:t xml:space="preserve"> </w:t>
      </w:r>
      <w:r>
        <w:t xml:space="preserve">CHINOOK AND STEELHEAD HABITAT IN NORTHERN CALIFORNIA</w:t>
      </w:r>
      <w:r>
        <w:t xml:space="preserve">.”</w:t>
      </w:r>
      <w:r>
        <w:t xml:space="preserve"> </w:t>
      </w:r>
      <w:r>
        <w:t xml:space="preserve">National Marine Fisheries Service.</w:t>
      </w:r>
    </w:p>
    <w:bookmarkEnd w:id="88"/>
    <w:bookmarkStart w:id="90"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89">
        <w:r>
          <w:rPr>
            <w:rStyle w:val="Hyperlink"/>
          </w:rPr>
          <w:t xml:space="preserve">https://doi.org/10.3389/fclim.2021.719150</w:t>
        </w:r>
      </w:hyperlink>
      <w:r>
        <w:t xml:space="preserve">.</w:t>
      </w:r>
    </w:p>
    <w:bookmarkEnd w:id="90"/>
    <w:bookmarkStart w:id="92"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1">
        <w:r>
          <w:rPr>
            <w:rStyle w:val="Hyperlink"/>
          </w:rPr>
          <w:t xml:space="preserve">https://doi.org/10.1577/1548-8675(1994)014&lt;0237:HDACSO&gt;2.3.CO;2</w:t>
        </w:r>
      </w:hyperlink>
      <w:r>
        <w:t xml:space="preserve">.</w:t>
      </w:r>
    </w:p>
    <w:bookmarkEnd w:id="92"/>
    <w:bookmarkStart w:id="93" w:name="X534406a913d453049af97ddf853e5acf00f7d45"/>
    <w:p>
      <w:pPr>
        <w:pStyle w:val="Bibliography"/>
      </w:pPr>
      <w:r>
        <w:t xml:space="preserve">California Department of Fish and Wildlife. 2017.</w:t>
      </w:r>
      <w:r>
        <w:t xml:space="preserve"> </w:t>
      </w:r>
      <w:r>
        <w:t xml:space="preserve">“</w:t>
      </w:r>
      <w:r>
        <w:t xml:space="preserve">INTERIM INSTREAM FLOW CRITERIA FOR THE PROTECTION OF FISHERY RESOURCES IN THE SCOTT RIVER WATERSHED</w:t>
      </w:r>
      <w:r>
        <w:t xml:space="preserve">,</w:t>
      </w:r>
      <w:r>
        <w:t xml:space="preserve"> </w:t>
      </w:r>
      <w:r>
        <w:t xml:space="preserve">SISKIYOU COUNTY</w:t>
      </w:r>
      <w:r>
        <w:t xml:space="preserve">.”</w:t>
      </w:r>
    </w:p>
    <w:bookmarkEnd w:id="93"/>
    <w:bookmarkStart w:id="94" w:name="Xc89eae4adec15389bd12509e9457a9dc8c09d75"/>
    <w:p>
      <w:pPr>
        <w:pStyle w:val="Bibliography"/>
      </w:pPr>
      <w:r>
        <w:t xml:space="preserve">California Department of Fish and Wildlife, NOAA-Fisheries, Scott River Water Trust, Siskiyou Resource Conservation District, and U.S. Forest Service - Klamath National Forest. 2015.</w:t>
      </w:r>
      <w:r>
        <w:t xml:space="preserve"> </w:t>
      </w:r>
      <w:r>
        <w:t xml:space="preserve">“Cooperative</w:t>
      </w:r>
      <w:r>
        <w:t xml:space="preserve"> </w:t>
      </w:r>
      <w:r>
        <w:t xml:space="preserve">Scott River Coho Rescue</w:t>
      </w:r>
      <w:r>
        <w:t xml:space="preserve"> </w:t>
      </w:r>
      <w:r>
        <w:t xml:space="preserve">&amp;</w:t>
      </w:r>
      <w:r>
        <w:t xml:space="preserve"> </w:t>
      </w:r>
      <w:r>
        <w:t xml:space="preserve">Relocation Effort</w:t>
      </w:r>
      <w:r>
        <w:t xml:space="preserve">: 2014</w:t>
      </w:r>
      <w:r>
        <w:t xml:space="preserve"> </w:t>
      </w:r>
      <w:r>
        <w:t xml:space="preserve">Drought Emergency</w:t>
      </w:r>
      <w:r>
        <w:t xml:space="preserve">.”</w:t>
      </w:r>
    </w:p>
    <w:bookmarkEnd w:id="94"/>
    <w:bookmarkStart w:id="95"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95"/>
    <w:bookmarkStart w:id="96" w:name="Xe7b7ad2022eadb255e299639b3100f5357e120c"/>
    <w:p>
      <w:pPr>
        <w:pStyle w:val="Bibliography"/>
      </w:pPr>
      <w:r>
        <w:t xml:space="preserve">California State Water Resources Control Board. 1980.</w:t>
      </w:r>
      <w:r>
        <w:t xml:space="preserve"> </w:t>
      </w:r>
      <w:r>
        <w:t xml:space="preserve">“Scott</w:t>
      </w:r>
      <w:r>
        <w:t xml:space="preserve"> </w:t>
      </w:r>
      <w:r>
        <w:t xml:space="preserve">River Adjudication</w:t>
      </w:r>
      <w:r>
        <w:t xml:space="preserve">,</w:t>
      </w:r>
      <w:r>
        <w:t xml:space="preserve"> </w:t>
      </w:r>
      <w:r>
        <w:t xml:space="preserve">Decree No</w:t>
      </w:r>
      <w:r>
        <w:t xml:space="preserve">. 30662.</w:t>
      </w:r>
      <w:r>
        <w:t xml:space="preserve"> </w:t>
      </w:r>
      <w:r>
        <w:t xml:space="preserve">Scott River</w:t>
      </w:r>
      <w:r>
        <w:t xml:space="preserve"> </w:t>
      </w:r>
      <w:r>
        <w:t xml:space="preserve">Stream System,</w:t>
      </w:r>
      <w:r>
        <w:t xml:space="preserve"> </w:t>
      </w:r>
      <w:r>
        <w:t xml:space="preserve">Siskiyou County</w:t>
      </w:r>
      <w:r>
        <w:t xml:space="preserve">.”</w:t>
      </w:r>
      <w:r>
        <w:t xml:space="preserve"> </w:t>
      </w:r>
      <w:r>
        <w:t xml:space="preserve">Superior Court of Siskiyou County.</w:t>
      </w:r>
    </w:p>
    <w:bookmarkEnd w:id="96"/>
    <w:bookmarkStart w:id="97"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97"/>
    <w:bookmarkStart w:id="98"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98"/>
    <w:bookmarkStart w:id="100"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99">
        <w:r>
          <w:rPr>
            <w:rStyle w:val="Hyperlink"/>
          </w:rPr>
          <w:t xml:space="preserve">https://doi.org/10.2135/cropsci1983.0011183X002300040016x</w:t>
        </w:r>
      </w:hyperlink>
      <w:r>
        <w:t xml:space="preserve">.</w:t>
      </w:r>
    </w:p>
    <w:bookmarkEnd w:id="100"/>
    <w:bookmarkStart w:id="102"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01">
        <w:r>
          <w:rPr>
            <w:rStyle w:val="Hyperlink"/>
          </w:rPr>
          <w:t xml:space="preserve">https://doi.org/10.1029/WR009i004p00826</w:t>
        </w:r>
      </w:hyperlink>
      <w:r>
        <w:t xml:space="preserve">.</w:t>
      </w:r>
    </w:p>
    <w:bookmarkEnd w:id="102"/>
    <w:bookmarkStart w:id="103"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03"/>
    <w:bookmarkStart w:id="104"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04"/>
    <w:bookmarkStart w:id="106"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05">
        <w:r>
          <w:rPr>
            <w:rStyle w:val="Hyperlink"/>
          </w:rPr>
          <w:t xml:space="preserve">https://doi.org/10.1111/j.1752-1688.2000.tb04280.x</w:t>
        </w:r>
      </w:hyperlink>
      <w:r>
        <w:t xml:space="preserve">.</w:t>
      </w:r>
    </w:p>
    <w:bookmarkEnd w:id="106"/>
    <w:bookmarkStart w:id="107"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07"/>
    <w:bookmarkStart w:id="109"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08">
        <w:r>
          <w:rPr>
            <w:rStyle w:val="Hyperlink"/>
          </w:rPr>
          <w:t xml:space="preserve">https://doi.org/10.1029/2004WR003787</w:t>
        </w:r>
      </w:hyperlink>
      <w:r>
        <w:t xml:space="preserve">.</w:t>
      </w:r>
    </w:p>
    <w:bookmarkEnd w:id="109"/>
    <w:bookmarkStart w:id="110" w:name="ref-KnechtleGiudice20192020"/>
    <w:p>
      <w:pPr>
        <w:pStyle w:val="Bibliography"/>
      </w:pPr>
      <w:r>
        <w:t xml:space="preserve">Knechtle, Morgan, and Domenic Giudice. 2020.</w:t>
      </w:r>
      <w:r>
        <w:t xml:space="preserve"> </w:t>
      </w:r>
      <w:r>
        <w:t xml:space="preserve">“2019</w:t>
      </w:r>
      <w:r>
        <w:t xml:space="preserve"> </w:t>
      </w:r>
      <w:r>
        <w:t xml:space="preserve">SCOTT RIVER SALMON STUDIES FINAL REPORT</w:t>
      </w:r>
      <w:r>
        <w:t xml:space="preserve">.”</w:t>
      </w:r>
      <w:r>
        <w:t xml:space="preserve"> </w:t>
      </w:r>
      <w:r>
        <w:t xml:space="preserve">California Department of Fish and Wildlife</w:t>
      </w:r>
      <w:r>
        <w:t xml:space="preserve">.</w:t>
      </w:r>
    </w:p>
    <w:bookmarkEnd w:id="110"/>
    <w:bookmarkStart w:id="112"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1">
        <w:r>
          <w:rPr>
            <w:rStyle w:val="Hyperlink"/>
          </w:rPr>
          <w:t xml:space="preserve">https://doi.org/10.1002/eco.70098</w:t>
        </w:r>
      </w:hyperlink>
      <w:r>
        <w:t xml:space="preserve">.</w:t>
      </w:r>
    </w:p>
    <w:bookmarkEnd w:id="112"/>
    <w:bookmarkStart w:id="114"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13">
        <w:r>
          <w:rPr>
            <w:rStyle w:val="Hyperlink"/>
          </w:rPr>
          <w:t xml:space="preserve">https://doi.org/10.3133/wsp1462</w:t>
        </w:r>
      </w:hyperlink>
      <w:r>
        <w:t xml:space="preserve">.</w:t>
      </w:r>
    </w:p>
    <w:bookmarkEnd w:id="114"/>
    <w:bookmarkStart w:id="115" w:name="ref-MagranetScott2015a"/>
    <w:p>
      <w:pPr>
        <w:pStyle w:val="Bibliography"/>
      </w:pPr>
      <w:r>
        <w:t xml:space="preserve">Magranet, Lindsay. 2015.</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15"/>
    <w:bookmarkStart w:id="116" w:name="ref-MagranetScott2017"/>
    <w:p>
      <w:pPr>
        <w:pStyle w:val="Bibliography"/>
      </w:pPr>
      <w:r>
        <w:t xml:space="preserve">———. 2017.</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16"/>
    <w:bookmarkStart w:id="117" w:name="ref-MagranetScott2018"/>
    <w:p>
      <w:pPr>
        <w:pStyle w:val="Bibliography"/>
      </w:pPr>
      <w:r>
        <w:t xml:space="preserve">———. 2018.</w:t>
      </w:r>
      <w:r>
        <w:t xml:space="preserve"> </w:t>
      </w:r>
      <w:r>
        <w:t xml:space="preserve">“Scott</w:t>
      </w:r>
      <w:r>
        <w:t xml:space="preserve"> </w:t>
      </w:r>
      <w:r>
        <w:t xml:space="preserve">River Fall Chinook Spawning Ground Surveys</w:t>
      </w:r>
      <w:r>
        <w:t xml:space="preserve"> </w:t>
      </w:r>
      <w:r>
        <w:t xml:space="preserve">2017</w:t>
      </w:r>
      <w:r>
        <w:t xml:space="preserve"> </w:t>
      </w:r>
      <w:r>
        <w:t xml:space="preserve">Season</w:t>
      </w:r>
      <w:r>
        <w:t xml:space="preserve">.”</w:t>
      </w:r>
      <w:r>
        <w:t xml:space="preserve"> </w:t>
      </w:r>
      <w:r>
        <w:t xml:space="preserve">Etna, CA: Siskiyou Resource Conservation District.</w:t>
      </w:r>
    </w:p>
    <w:bookmarkEnd w:id="117"/>
    <w:bookmarkStart w:id="118" w:name="ref-MagranetYokelScott2017"/>
    <w:p>
      <w:pPr>
        <w:pStyle w:val="Bibliography"/>
      </w:pPr>
      <w:r>
        <w:t xml:space="preserve">Magranet, Lindsay, and Erich Yokel. 2017.</w:t>
      </w:r>
      <w:r>
        <w:t xml:space="preserve"> </w:t>
      </w:r>
      <w:r>
        <w:t xml:space="preserve">“Scott</w:t>
      </w:r>
      <w:r>
        <w:t xml:space="preserve"> </w:t>
      </w:r>
      <w:r>
        <w:t xml:space="preserve">River Adult Coho Spawning Ground Surveys</w:t>
      </w:r>
      <w:r>
        <w:t xml:space="preserve"> </w:t>
      </w:r>
      <w:r>
        <w:t xml:space="preserve">2016-2017</w:t>
      </w:r>
      <w:r>
        <w:t xml:space="preserve"> </w:t>
      </w:r>
      <w:r>
        <w:t xml:space="preserve">Season</w:t>
      </w:r>
      <w:r>
        <w:t xml:space="preserve">.”</w:t>
      </w:r>
      <w:r>
        <w:t xml:space="preserve"> </w:t>
      </w:r>
      <w:r>
        <w:t xml:space="preserve">Etna, CA: Siskiyou Resource Conservation District.</w:t>
      </w:r>
    </w:p>
    <w:bookmarkEnd w:id="118"/>
    <w:bookmarkStart w:id="120"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19">
        <w:r>
          <w:rPr>
            <w:rStyle w:val="Hyperlink"/>
          </w:rPr>
          <w:t xml:space="preserve">https://doi.org/10.1007/BF03161678</w:t>
        </w:r>
      </w:hyperlink>
      <w:r>
        <w:t xml:space="preserve">.</w:t>
      </w:r>
    </w:p>
    <w:bookmarkEnd w:id="120"/>
    <w:bookmarkStart w:id="121" w:name="ref-McMahonHabitat1983"/>
    <w:p>
      <w:pPr>
        <w:pStyle w:val="Bibliography"/>
      </w:pPr>
      <w:r>
        <w:t xml:space="preserve">McMahon, Thomas E. 1983.</w:t>
      </w:r>
      <w:r>
        <w:t xml:space="preserve"> </w:t>
      </w:r>
      <w:r>
        <w:t xml:space="preserve">“Habitat</w:t>
      </w:r>
      <w:r>
        <w:t xml:space="preserve"> </w:t>
      </w:r>
      <w:r>
        <w:t xml:space="preserve">Suitability Index Models</w:t>
      </w:r>
      <w:r>
        <w:t xml:space="preserve">:</w:t>
      </w:r>
      <w:r>
        <w:t xml:space="preserve"> </w:t>
      </w:r>
      <w:r>
        <w:t xml:space="preserve">Coho Salmon</w:t>
      </w:r>
      <w:r>
        <w:t xml:space="preserve">.”</w:t>
      </w:r>
      <w:r>
        <w:t xml:space="preserve"> </w:t>
      </w:r>
      <w:r>
        <w:t xml:space="preserve">FWS/OBS-82/10.49.</w:t>
      </w:r>
      <w:r>
        <w:t xml:space="preserve"> </w:t>
      </w:r>
      <w:r>
        <w:t xml:space="preserve">U.S. Fish and Wildlife Service</w:t>
      </w:r>
      <w:r>
        <w:t xml:space="preserve">.</w:t>
      </w:r>
    </w:p>
    <w:bookmarkEnd w:id="121"/>
    <w:bookmarkStart w:id="123"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22">
        <w:r>
          <w:rPr>
            <w:rStyle w:val="Hyperlink"/>
          </w:rPr>
          <w:t xml:space="preserve">https://doi.org/10.1029/WR009i004p00837</w:t>
        </w:r>
      </w:hyperlink>
      <w:r>
        <w:t xml:space="preserve">.</w:t>
      </w:r>
    </w:p>
    <w:bookmarkEnd w:id="123"/>
    <w:bookmarkStart w:id="124" w:name="ref-MoyleCoho2002"/>
    <w:p>
      <w:pPr>
        <w:pStyle w:val="Bibliography"/>
      </w:pPr>
      <w:r>
        <w:t xml:space="preserve">Moyle, Peter B. 2002.</w:t>
      </w:r>
      <w:r>
        <w:t xml:space="preserve"> </w:t>
      </w:r>
      <w:r>
        <w:t xml:space="preserve">“Coho</w:t>
      </w:r>
      <w:r>
        <w:t xml:space="preserve"> </w:t>
      </w:r>
      <w:r>
        <w:t xml:space="preserve">Salmon</w:t>
      </w:r>
      <w:r>
        <w:t xml:space="preserve">,</w:t>
      </w:r>
      <w:r>
        <w:t xml:space="preserve"> </w:t>
      </w:r>
      <w:r>
        <w:t xml:space="preserve">Oncorhynchus</w:t>
      </w:r>
      <w:r>
        <w:t xml:space="preserve"> </w:t>
      </w:r>
      <w:r>
        <w:t xml:space="preserve">Kisutch (</w:t>
      </w:r>
      <w:r>
        <w:t xml:space="preserve">Walbaum</w:t>
      </w:r>
      <w:r>
        <w:t xml:space="preserve">).”</w:t>
      </w:r>
      <w:r>
        <w:t xml:space="preserve"> </w:t>
      </w:r>
      <w:r>
        <w:t xml:space="preserve">In</w:t>
      </w:r>
      <w:r>
        <w:t xml:space="preserve"> </w:t>
      </w:r>
      <w:r>
        <w:rPr>
          <w:i/>
          <w:iCs/>
        </w:rPr>
        <w:t xml:space="preserve">Inland</w:t>
      </w:r>
      <w:r>
        <w:rPr>
          <w:i/>
          <w:iCs/>
        </w:rPr>
        <w:t xml:space="preserve"> </w:t>
      </w:r>
      <w:r>
        <w:rPr>
          <w:i/>
          <w:iCs/>
        </w:rPr>
        <w:t xml:space="preserve">Fishes</w:t>
      </w:r>
      <w:r>
        <w:rPr>
          <w:i/>
          <w:iCs/>
        </w:rPr>
        <w:t xml:space="preserve"> </w:t>
      </w:r>
      <w:r>
        <w:rPr>
          <w:i/>
          <w:iCs/>
        </w:rPr>
        <w:t xml:space="preserve">of</w:t>
      </w:r>
      <w:r>
        <w:rPr>
          <w:i/>
          <w:iCs/>
        </w:rPr>
        <w:t xml:space="preserve"> </w:t>
      </w:r>
      <w:r>
        <w:rPr>
          <w:i/>
          <w:iCs/>
        </w:rPr>
        <w:t xml:space="preserve">California</w:t>
      </w:r>
      <w:r>
        <w:t xml:space="preserve">, 245–51. University of California Press.</w:t>
      </w:r>
    </w:p>
    <w:bookmarkEnd w:id="124"/>
    <w:bookmarkStart w:id="126"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25">
        <w:r>
          <w:rPr>
            <w:rStyle w:val="Hyperlink"/>
          </w:rPr>
          <w:t xml:space="preserve">https://doi.org/10.1016/j.envsci.2016.05.006</w:t>
        </w:r>
      </w:hyperlink>
      <w:r>
        <w:t xml:space="preserve">.</w:t>
      </w:r>
    </w:p>
    <w:bookmarkEnd w:id="126"/>
    <w:bookmarkStart w:id="128" w:name="ref-OhlbergerEtAlEffects2018"/>
    <w:p>
      <w:pPr>
        <w:pStyle w:val="Bibliography"/>
      </w:pPr>
      <w:r>
        <w:t xml:space="preserve">Ohlberger, Jan, Thomas W. Buehrens, Samuel J. Brenkman, Patrick Crain, Thomas P. Quinn, and Ray Hilborn. 2018.</w:t>
      </w:r>
      <w:r>
        <w:t xml:space="preserve"> </w:t>
      </w:r>
      <w:r>
        <w:t xml:space="preserve">“Effects of Past and Projected River Discharge Variability on Freshwater Production in an Anadromous Fish.”</w:t>
      </w:r>
      <w:r>
        <w:t xml:space="preserve"> </w:t>
      </w:r>
      <w:r>
        <w:rPr>
          <w:i/>
          <w:iCs/>
        </w:rPr>
        <w:t xml:space="preserve">Freshwater Biology</w:t>
      </w:r>
      <w:r>
        <w:t xml:space="preserve"> </w:t>
      </w:r>
      <w:r>
        <w:t xml:space="preserve">63 (4): 331–40.</w:t>
      </w:r>
      <w:r>
        <w:t xml:space="preserve"> </w:t>
      </w:r>
      <w:hyperlink r:id="rId127">
        <w:r>
          <w:rPr>
            <w:rStyle w:val="Hyperlink"/>
          </w:rPr>
          <w:t xml:space="preserve">https://doi.org/10.1111/fwb.13070</w:t>
        </w:r>
      </w:hyperlink>
      <w:r>
        <w:t xml:space="preserve">.</w:t>
      </w:r>
    </w:p>
    <w:bookmarkEnd w:id="128"/>
    <w:bookmarkStart w:id="129" w:name="ref-ParetoCours1896"/>
    <w:p>
      <w:pPr>
        <w:pStyle w:val="Bibliography"/>
      </w:pPr>
      <w:r>
        <w:t xml:space="preserve">Pareto, Vilfredo. 1896.</w:t>
      </w:r>
      <w:r>
        <w:t xml:space="preserve"> </w:t>
      </w:r>
      <w:r>
        <w:rPr>
          <w:i/>
          <w:iCs/>
        </w:rPr>
        <w:t xml:space="preserve">Cours</w:t>
      </w:r>
      <w:r>
        <w:rPr>
          <w:i/>
          <w:iCs/>
        </w:rPr>
        <w:t xml:space="preserve"> </w:t>
      </w:r>
      <w:r>
        <w:rPr>
          <w:i/>
          <w:iCs/>
        </w:rPr>
        <w:t xml:space="preserve">D</w:t>
      </w:r>
      <w:r>
        <w:rPr>
          <w:i/>
          <w:iCs/>
        </w:rPr>
        <w:t xml:space="preserve">’</w:t>
      </w:r>
      <w:r>
        <w:rPr>
          <w:i/>
          <w:iCs/>
        </w:rPr>
        <w:t xml:space="preserve">Economie Politique</w:t>
      </w:r>
      <w:r>
        <w:t xml:space="preserve">. Lausanne.</w:t>
      </w:r>
    </w:p>
    <w:bookmarkEnd w:id="129"/>
    <w:bookmarkStart w:id="131"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30">
        <w:r>
          <w:rPr>
            <w:rStyle w:val="Hyperlink"/>
          </w:rPr>
          <w:t xml:space="preserve">https://doi.org/10.1016/j.jhydrol.2020.124787</w:t>
        </w:r>
      </w:hyperlink>
      <w:r>
        <w:t xml:space="preserve">.</w:t>
      </w:r>
    </w:p>
    <w:bookmarkEnd w:id="131"/>
    <w:bookmarkStart w:id="132"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32"/>
    <w:bookmarkStart w:id="133"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33"/>
    <w:bookmarkStart w:id="134"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34"/>
    <w:bookmarkStart w:id="135" w:name="X15105b7917297e4641cb2d2cfd1651756f7bcb0"/>
    <w:p>
      <w:pPr>
        <w:pStyle w:val="Bibliography"/>
      </w:pPr>
      <w:r>
        <w:t xml:space="preserve">Siskiyou County GSA - Scott Valley Groundwater Advisory Committee. 2021.</w:t>
      </w:r>
      <w:r>
        <w:t xml:space="preserve"> </w:t>
      </w:r>
      <w:r>
        <w:t xml:space="preserve">“Siskiyou</w:t>
      </w:r>
      <w:r>
        <w:t xml:space="preserve"> </w:t>
      </w:r>
      <w:r>
        <w:t xml:space="preserve">County Groundwater Sustainability Agency</w:t>
      </w:r>
      <w:r>
        <w:t xml:space="preserve">:</w:t>
      </w:r>
      <w:r>
        <w:t xml:space="preserve"> </w:t>
      </w:r>
      <w:r>
        <w:t xml:space="preserve">Scott Valley Advisory Committee Meeting</w:t>
      </w:r>
      <w:r>
        <w:t xml:space="preserve">.”</w:t>
      </w:r>
      <w:r>
        <w:t xml:space="preserve"> </w:t>
      </w:r>
      <w:r>
        <w:t xml:space="preserve">Fort Jones, CA: Siskiyou County.</w:t>
      </w:r>
    </w:p>
    <w:bookmarkEnd w:id="135"/>
    <w:bookmarkStart w:id="136" w:name="X2560a5ce8c29a4d10823717cd7284f11df015d4"/>
    <w:p>
      <w:pPr>
        <w:pStyle w:val="Bibliography"/>
      </w:pPr>
      <w:r>
        <w:t xml:space="preserve">State Water Resources Control Board. 2021.</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Klamath Watershed</w:t>
      </w:r>
      <w:r>
        <w:t xml:space="preserve">.”</w:t>
      </w:r>
      <w:r>
        <w:t xml:space="preserve"> </w:t>
      </w:r>
      <w:r>
        <w:t xml:space="preserve">{{NOTICE OF APPROVAL OF EMERGENCY REGULATORY ACTION}} OAL 2021-0820-05.</w:t>
      </w:r>
    </w:p>
    <w:bookmarkEnd w:id="136"/>
    <w:bookmarkStart w:id="137" w:name="Xc65d78564b05799285cd4578f858a1851ca0d64"/>
    <w:p>
      <w:pPr>
        <w:pStyle w:val="Bibliography"/>
      </w:pPr>
      <w:r>
        <w:t xml:space="preserve">———. 2024a.</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{{NOTICE OF APPROVAL OF EMERGENCY REGULATORY ACTION}} OAL 2024-0123-03.</w:t>
      </w:r>
    </w:p>
    <w:bookmarkEnd w:id="137"/>
    <w:bookmarkStart w:id="138" w:name="Xa7b10fbb32571a990cee2341e679d296b855974"/>
    <w:p>
      <w:pPr>
        <w:pStyle w:val="Bibliography"/>
      </w:pPr>
      <w:r>
        <w:t xml:space="preserve">———. 2024b.</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38"/>
    <w:bookmarkStart w:id="140" w:name="ref-SundingMeasuring1996"/>
    <w:p>
      <w:pPr>
        <w:pStyle w:val="Bibliography"/>
      </w:pPr>
      <w:r>
        <w:t xml:space="preserve">Sunding, David L. 1996.</w:t>
      </w:r>
      <w:r>
        <w:t xml:space="preserve"> </w:t>
      </w:r>
      <w:r>
        <w:t xml:space="preserve">“Measuring the</w:t>
      </w:r>
      <w:r>
        <w:t xml:space="preserve"> </w:t>
      </w:r>
      <w:r>
        <w:t xml:space="preserve">Marginal Cost</w:t>
      </w:r>
      <w:r>
        <w:t xml:space="preserve"> </w:t>
      </w:r>
      <w:r>
        <w:t xml:space="preserve">of</w:t>
      </w:r>
      <w:r>
        <w:t xml:space="preserve"> </w:t>
      </w:r>
      <w:r>
        <w:t xml:space="preserve">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39">
        <w:r>
          <w:rPr>
            <w:rStyle w:val="Hyperlink"/>
          </w:rPr>
          <w:t xml:space="preserve">https://doi.org/10.2307/1243866</w:t>
        </w:r>
      </w:hyperlink>
      <w:r>
        <w:t xml:space="preserve">.</w:t>
      </w:r>
    </w:p>
    <w:bookmarkEnd w:id="140"/>
    <w:bookmarkStart w:id="142"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41">
        <w:r>
          <w:rPr>
            <w:rStyle w:val="Hyperlink"/>
          </w:rPr>
          <w:t xml:space="preserve">https://doi.org/10.1029/2018WR024209</w:t>
        </w:r>
      </w:hyperlink>
      <w:r>
        <w:t xml:space="preserve">.</w:t>
      </w:r>
    </w:p>
    <w:bookmarkEnd w:id="142"/>
    <w:bookmarkStart w:id="144"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43">
        <w:r>
          <w:rPr>
            <w:rStyle w:val="Hyperlink"/>
          </w:rPr>
          <w:t xml:space="preserve">https://doi.org/10.1007/s10040-005-0015-y</w:t>
        </w:r>
      </w:hyperlink>
      <w:r>
        <w:t xml:space="preserve">.</w:t>
      </w:r>
    </w:p>
    <w:bookmarkEnd w:id="144"/>
    <w:bookmarkStart w:id="146"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45">
        <w:r>
          <w:rPr>
            <w:rStyle w:val="Hyperlink"/>
          </w:rPr>
          <w:t xml:space="preserve">https://doi.org/10.1093/biosci/biv102</w:t>
        </w:r>
      </w:hyperlink>
      <w:r>
        <w:t xml:space="preserve">.</w:t>
      </w:r>
    </w:p>
    <w:bookmarkEnd w:id="146"/>
    <w:bookmarkStart w:id="148"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47">
        <w:r>
          <w:rPr>
            <w:rStyle w:val="Hyperlink"/>
          </w:rPr>
          <w:t xml:space="preserve">https://doi.org/10.1029/WR018i005p01326</w:t>
        </w:r>
      </w:hyperlink>
      <w:r>
        <w:t xml:space="preserve">.</w:t>
      </w:r>
    </w:p>
    <w:bookmarkEnd w:id="148"/>
    <w:bookmarkStart w:id="149"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49"/>
    <w:bookmarkEnd w:id="150"/>
    <w:p>
      <w:r>
        <w:br w:type="page"/>
      </w:r>
    </w:p>
    <w:bookmarkEnd w:id="151"/>
    <w:bookmarkStart w:id="152" w:name="X6c1a78753bbdca554aba589b0aa85ab8ac746bf"/>
    <w:p>
      <w:pPr>
        <w:pStyle w:val="Heading1"/>
      </w:pPr>
      <w:r>
        <w:rPr>
          <w:rStyle w:val="SectionNumber"/>
        </w:rPr>
        <w:t xml:space="preserve">8</w:t>
      </w:r>
      <w:r>
        <w:tab/>
      </w:r>
      <w:r>
        <w:t xml:space="preserve">Supplement: Fish-Farm Results from all four Hydrologic Benefit function formulations</w:t>
      </w:r>
    </w:p>
    <w:p>
      <w:pPr>
        <w:pStyle w:val="FirstParagraph"/>
      </w:pPr>
      <w:r>
        <w:t xml:space="preserve">For each species, across all statistical methods, the coefficients for any single predictor were consistently negative or positive; e.g.,</w:t>
      </w:r>
    </w:p>
    <w:p>
      <w:pPr>
        <w:pStyle w:val="BodyText"/>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3" Target="media/rId73.jpg" /><Relationship Type="http://schemas.openxmlformats.org/officeDocument/2006/relationships/hyperlink" Id="rId111" Target="https://doi.org/10.1002/eco.70098" TargetMode="External" /><Relationship Type="http://schemas.openxmlformats.org/officeDocument/2006/relationships/hyperlink" Id="rId119" Target="https://doi.org/10.1007/BF03161678" TargetMode="External" /><Relationship Type="http://schemas.openxmlformats.org/officeDocument/2006/relationships/hyperlink" Id="rId143" Target="https://doi.org/10.1007/s10040-005-0015-y" TargetMode="External" /><Relationship Type="http://schemas.openxmlformats.org/officeDocument/2006/relationships/hyperlink" Id="rId125" Target="https://doi.org/10.1016/j.envsci.2016.05.006" TargetMode="External" /><Relationship Type="http://schemas.openxmlformats.org/officeDocument/2006/relationships/hyperlink" Id="rId130" Target="https://doi.org/10.1016/j.jhydrol.2020.124787" TargetMode="External" /><Relationship Type="http://schemas.openxmlformats.org/officeDocument/2006/relationships/hyperlink" Id="rId108" Target="https://doi.org/10.1029/2004WR003787" TargetMode="External" /><Relationship Type="http://schemas.openxmlformats.org/officeDocument/2006/relationships/hyperlink" Id="rId141"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22" Target="https://doi.org/10.1029/WR009i004p00837" TargetMode="External" /><Relationship Type="http://schemas.openxmlformats.org/officeDocument/2006/relationships/hyperlink" Id="rId147" Target="https://doi.org/10.1029/WR018i005p01326" TargetMode="External" /><Relationship Type="http://schemas.openxmlformats.org/officeDocument/2006/relationships/hyperlink" Id="rId145" Target="https://doi.org/10.1093/biosci/biv102" TargetMode="External" /><Relationship Type="http://schemas.openxmlformats.org/officeDocument/2006/relationships/hyperlink" Id="rId127" Target="https://doi.org/10.1111/fwb.13070" TargetMode="External" /><Relationship Type="http://schemas.openxmlformats.org/officeDocument/2006/relationships/hyperlink" Id="rId105"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9" Target="https://doi.org/10.2307/1243866" TargetMode="External" /><Relationship Type="http://schemas.openxmlformats.org/officeDocument/2006/relationships/hyperlink" Id="rId113" Target="https://doi.org/10.3133/wsp1462" TargetMode="External" /><Relationship Type="http://schemas.openxmlformats.org/officeDocument/2006/relationships/hyperlink" Id="rId89"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2/eco.70098" TargetMode="External" /><Relationship Type="http://schemas.openxmlformats.org/officeDocument/2006/relationships/hyperlink" Id="rId119" Target="https://doi.org/10.1007/BF03161678" TargetMode="External" /><Relationship Type="http://schemas.openxmlformats.org/officeDocument/2006/relationships/hyperlink" Id="rId143" Target="https://doi.org/10.1007/s10040-005-0015-y" TargetMode="External" /><Relationship Type="http://schemas.openxmlformats.org/officeDocument/2006/relationships/hyperlink" Id="rId125" Target="https://doi.org/10.1016/j.envsci.2016.05.006" TargetMode="External" /><Relationship Type="http://schemas.openxmlformats.org/officeDocument/2006/relationships/hyperlink" Id="rId130" Target="https://doi.org/10.1016/j.jhydrol.2020.124787" TargetMode="External" /><Relationship Type="http://schemas.openxmlformats.org/officeDocument/2006/relationships/hyperlink" Id="rId108" Target="https://doi.org/10.1029/2004WR003787" TargetMode="External" /><Relationship Type="http://schemas.openxmlformats.org/officeDocument/2006/relationships/hyperlink" Id="rId141"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22" Target="https://doi.org/10.1029/WR009i004p00837" TargetMode="External" /><Relationship Type="http://schemas.openxmlformats.org/officeDocument/2006/relationships/hyperlink" Id="rId147" Target="https://doi.org/10.1029/WR018i005p01326" TargetMode="External" /><Relationship Type="http://schemas.openxmlformats.org/officeDocument/2006/relationships/hyperlink" Id="rId145" Target="https://doi.org/10.1093/biosci/biv102" TargetMode="External" /><Relationship Type="http://schemas.openxmlformats.org/officeDocument/2006/relationships/hyperlink" Id="rId127" Target="https://doi.org/10.1111/fwb.13070" TargetMode="External" /><Relationship Type="http://schemas.openxmlformats.org/officeDocument/2006/relationships/hyperlink" Id="rId105"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9" Target="https://doi.org/10.2307/1243866" TargetMode="External" /><Relationship Type="http://schemas.openxmlformats.org/officeDocument/2006/relationships/hyperlink" Id="rId113" Target="https://doi.org/10.3133/wsp1462" TargetMode="External" /><Relationship Type="http://schemas.openxmlformats.org/officeDocument/2006/relationships/hyperlink" Id="rId89"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Locally-tailored objective functions expand utility of watershed model results and clarify trade-offs in an active local water planning process, northern California</dc:title>
  <dc:creator>Claire Kouba</dc:creator>
  <cp:keywords/>
  <dcterms:created xsi:type="dcterms:W3CDTF">2026-02-19T23:17:49Z</dcterms:created>
  <dcterms:modified xsi:type="dcterms:W3CDTF">2026-02-19T23:17:49Z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