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5B7DDF" w14:textId="77777777" w:rsidR="00485A22" w:rsidRDefault="00000000">
      <w:pPr>
        <w:pStyle w:val="Title"/>
      </w:pPr>
      <w:r>
        <w:t>Supplement C: Results with Hydrologic Benefit Function based on Chinook juvenile abundance</w:t>
      </w:r>
    </w:p>
    <w:p w14:paraId="40F89EDE" w14:textId="77777777" w:rsidR="00485A22" w:rsidRDefault="00000000">
      <w:pPr>
        <w:pStyle w:val="Author"/>
      </w:pPr>
      <w:r>
        <w:t>Claire Kouba</w:t>
      </w:r>
    </w:p>
    <w:p w14:paraId="1CF36FBC" w14:textId="77777777" w:rsidR="00485A22" w:rsidRDefault="00000000">
      <w:pPr>
        <w:pStyle w:val="Date"/>
      </w:pPr>
      <w:r>
        <w:t>2026-02-13</w:t>
      </w:r>
    </w:p>
    <w:p w14:paraId="421244E8" w14:textId="77777777" w:rsidR="00485A22" w:rsidRDefault="00000000">
      <w:pPr>
        <w:pStyle w:val="TableCaption"/>
      </w:pPr>
      <w:bookmarkStart w:id="0" w:name="tab:coefTab01"/>
      <w:bookmarkEnd w:id="0"/>
      <w:r>
        <w:t>Table 1: Coefficients for the Hydrologic Benefit function, an emperical estimate of ecological services provided to Chinook salmon by specific functional flows. The predicted value is in units of log10(juvenile abundance) produced, modeled using only hydrological factors.</w:t>
      </w:r>
    </w:p>
    <w:tbl>
      <w:tblPr>
        <w:tblStyle w:val="Table"/>
        <w:tblW w:w="0" w:type="auto"/>
        <w:jc w:val="center"/>
        <w:tblLayout w:type="fixed"/>
        <w:tblLook w:val="0420" w:firstRow="1" w:lastRow="0" w:firstColumn="0" w:lastColumn="0" w:noHBand="0" w:noVBand="1"/>
      </w:tblPr>
      <w:tblGrid>
        <w:gridCol w:w="2160"/>
        <w:gridCol w:w="1440"/>
        <w:gridCol w:w="4320"/>
      </w:tblGrid>
      <w:tr w:rsidR="00485A22" w14:paraId="736903A4" w14:textId="77777777" w:rsidTr="00485A22">
        <w:trPr>
          <w:cnfStyle w:val="100000000000" w:firstRow="1" w:lastRow="0" w:firstColumn="0" w:lastColumn="0" w:oddVBand="0" w:evenVBand="0" w:oddHBand="0" w:evenHBand="0" w:firstRowFirstColumn="0" w:firstRowLastColumn="0" w:lastRowFirstColumn="0" w:lastRowLastColumn="0"/>
          <w:tblHeader/>
          <w:jc w:val="center"/>
        </w:trPr>
        <w:tc>
          <w:tcPr>
            <w:tcW w:w="21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EA484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Predictor</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E4B1E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Value</w:t>
            </w:r>
          </w:p>
        </w:tc>
        <w:tc>
          <w:tcPr>
            <w:tcW w:w="43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88BA8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Greater Hydrologic Benefit value associated with</w:t>
            </w:r>
          </w:p>
        </w:tc>
      </w:tr>
      <w:tr w:rsidR="00485A22" w14:paraId="7EFAFE2B" w14:textId="77777777" w:rsidTr="00485A22">
        <w:trPr>
          <w:jc w:val="center"/>
        </w:trPr>
        <w:tc>
          <w:tcPr>
            <w:tcW w:w="21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EBD9DA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682F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5.450</w:t>
            </w:r>
          </w:p>
        </w:tc>
        <w:tc>
          <w:tcPr>
            <w:tcW w:w="43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EAE90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Intercept Term</w:t>
            </w:r>
          </w:p>
        </w:tc>
      </w:tr>
      <w:tr w:rsidR="00485A22" w14:paraId="0252FAFA" w14:textId="77777777" w:rsidTr="00485A22">
        <w:trPr>
          <w:jc w:val="center"/>
        </w:trPr>
        <w:tc>
          <w:tcPr>
            <w:tcW w:w="21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F5BA3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w1_Wet_BFL_Mag_50</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6F5E74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-0.309</w:t>
            </w:r>
          </w:p>
        </w:tc>
        <w:tc>
          <w:tcPr>
            <w:tcW w:w="43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B5C4F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Smaller wet season baseflows (as eggs and hatchlings)</w:t>
            </w:r>
          </w:p>
        </w:tc>
      </w:tr>
    </w:tbl>
    <w:p w14:paraId="4472ECDC" w14:textId="77777777" w:rsidR="00485A22" w:rsidRDefault="00000000">
      <w:pPr>
        <w:pStyle w:val="SourceCode"/>
      </w:pPr>
      <w:r>
        <w:rPr>
          <w:rStyle w:val="VerbatimChar"/>
        </w:rPr>
        <w:t xml:space="preserve">## png </w:t>
      </w:r>
      <w:r>
        <w:br/>
      </w:r>
      <w:r>
        <w:rPr>
          <w:rStyle w:val="VerbatimChar"/>
        </w:rPr>
        <w:t>##   2</w:t>
      </w:r>
    </w:p>
    <w:p w14:paraId="07F59BEE" w14:textId="77777777" w:rsidR="00485A22" w:rsidRDefault="00000000">
      <w:pPr>
        <w:pStyle w:val="CaptionedFigure"/>
      </w:pPr>
      <w:r>
        <w:rPr>
          <w:noProof/>
        </w:rPr>
        <w:lastRenderedPageBreak/>
        <w:drawing>
          <wp:inline distT="0" distB="0" distL="0" distR="0" wp14:anchorId="192394C3" wp14:editId="050EB08B">
            <wp:extent cx="5334000" cy="5000625"/>
            <wp:effectExtent l="0" t="0" r="0" b="0"/>
            <wp:docPr id="22" name="Picture" descr="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wp:cNvGraphicFramePr/>
            <a:graphic xmlns:a="http://schemas.openxmlformats.org/drawingml/2006/main">
              <a:graphicData uri="http://schemas.openxmlformats.org/drawingml/2006/picture">
                <pic:pic xmlns:pic="http://schemas.openxmlformats.org/drawingml/2006/picture">
                  <pic:nvPicPr>
                    <pic:cNvPr id="23" name="Picture" descr="Graphics%20and%20Supplements/Figure%201.png"/>
                    <pic:cNvPicPr>
                      <a:picLocks noChangeAspect="1" noChangeArrowheads="1"/>
                    </pic:cNvPicPr>
                  </pic:nvPicPr>
                  <pic:blipFill>
                    <a:blip r:embed="rId5"/>
                    <a:stretch>
                      <a:fillRect/>
                    </a:stretch>
                  </pic:blipFill>
                  <pic:spPr bwMode="auto">
                    <a:xfrm>
                      <a:off x="0" y="0"/>
                      <a:ext cx="5334000" cy="5000625"/>
                    </a:xfrm>
                    <a:prstGeom prst="rect">
                      <a:avLst/>
                    </a:prstGeom>
                    <a:noFill/>
                    <a:ln w="9525">
                      <a:noFill/>
                      <a:headEnd/>
                      <a:tailEnd/>
                    </a:ln>
                  </pic:spPr>
                </pic:pic>
              </a:graphicData>
            </a:graphic>
          </wp:inline>
        </w:drawing>
      </w:r>
    </w:p>
    <w:p w14:paraId="746BA212" w14:textId="77777777" w:rsidR="00485A22" w:rsidRDefault="00000000">
      <w:pPr>
        <w:pStyle w:val="ImageCaption"/>
      </w:pPr>
      <w:bookmarkStart w:id="1" w:name="fig:benefitByWY01"/>
      <w:bookmarkEnd w:id="1"/>
      <w:r>
        <w:t>Figure 1: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14:paraId="6035779C" w14:textId="77777777" w:rsidR="00485A22" w:rsidRDefault="00000000">
      <w:pPr>
        <w:pStyle w:val="CaptionedFigure"/>
      </w:pPr>
      <w:r>
        <w:rPr>
          <w:noProof/>
        </w:rPr>
        <w:lastRenderedPageBreak/>
        <w:drawing>
          <wp:inline distT="0" distB="0" distL="0" distR="0" wp14:anchorId="1F9784B6" wp14:editId="12CB0726">
            <wp:extent cx="5334000" cy="4000499"/>
            <wp:effectExtent l="0" t="0" r="0" b="0"/>
            <wp:docPr id="26" name="Picture" descr="Figure 2:  Contributions to annual Hydrologic Benefit function values, by functional flow metric (intercept values not shown)."/>
            <wp:cNvGraphicFramePr/>
            <a:graphic xmlns:a="http://schemas.openxmlformats.org/drawingml/2006/main">
              <a:graphicData uri="http://schemas.openxmlformats.org/drawingml/2006/picture">
                <pic:pic xmlns:pic="http://schemas.openxmlformats.org/drawingml/2006/picture">
                  <pic:nvPicPr>
                    <pic:cNvPr id="27" name="Picture" descr="Graphics%20and%20Supplements/Figure%202.png"/>
                    <pic:cNvPicPr>
                      <a:picLocks noChangeAspect="1" noChangeArrowheads="1"/>
                    </pic:cNvPicPr>
                  </pic:nvPicPr>
                  <pic:blipFill>
                    <a:blip r:embed="rId6"/>
                    <a:stretch>
                      <a:fillRect/>
                    </a:stretch>
                  </pic:blipFill>
                  <pic:spPr bwMode="auto">
                    <a:xfrm>
                      <a:off x="0" y="0"/>
                      <a:ext cx="5334000" cy="4000499"/>
                    </a:xfrm>
                    <a:prstGeom prst="rect">
                      <a:avLst/>
                    </a:prstGeom>
                    <a:noFill/>
                    <a:ln w="9525">
                      <a:noFill/>
                      <a:headEnd/>
                      <a:tailEnd/>
                    </a:ln>
                  </pic:spPr>
                </pic:pic>
              </a:graphicData>
            </a:graphic>
          </wp:inline>
        </w:drawing>
      </w:r>
    </w:p>
    <w:p w14:paraId="7E3A8B3D" w14:textId="77777777" w:rsidR="00485A22" w:rsidRDefault="00000000">
      <w:pPr>
        <w:pStyle w:val="ImageCaption"/>
      </w:pPr>
      <w:bookmarkStart w:id="2" w:name="fig:HBComponents"/>
      <w:bookmarkEnd w:id="2"/>
      <w:r>
        <w:t>Figure 2:  Contributions to annual Hydrologic Benefit function values, by functional flow metric (intercept values not shown).</w:t>
      </w:r>
    </w:p>
    <w:p w14:paraId="26FC8EC2" w14:textId="77777777" w:rsidR="00485A22" w:rsidRDefault="00000000">
      <w:pPr>
        <w:pStyle w:val="SourceCode"/>
      </w:pPr>
      <w:r>
        <w:rPr>
          <w:rStyle w:val="VerbatimChar"/>
        </w:rPr>
        <w:t xml:space="preserve">## png </w:t>
      </w:r>
      <w:r>
        <w:br/>
      </w:r>
      <w:r>
        <w:rPr>
          <w:rStyle w:val="VerbatimChar"/>
        </w:rPr>
        <w:t>##   2</w:t>
      </w:r>
    </w:p>
    <w:p w14:paraId="41FD7C06" w14:textId="77777777" w:rsidR="00485A22" w:rsidRDefault="00000000">
      <w:pPr>
        <w:pStyle w:val="CaptionedFigure"/>
      </w:pPr>
      <w:r>
        <w:rPr>
          <w:noProof/>
        </w:rPr>
        <w:lastRenderedPageBreak/>
        <w:drawing>
          <wp:inline distT="0" distB="0" distL="0" distR="0" wp14:anchorId="11DDE5CB" wp14:editId="08C55DF0">
            <wp:extent cx="5334000" cy="5334000"/>
            <wp:effectExtent l="0" t="0" r="0" b="0"/>
            <wp:docPr id="30" name="Picture" descr="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wp:cNvGraphicFramePr/>
            <a:graphic xmlns:a="http://schemas.openxmlformats.org/drawingml/2006/main">
              <a:graphicData uri="http://schemas.openxmlformats.org/drawingml/2006/picture">
                <pic:pic xmlns:pic="http://schemas.openxmlformats.org/drawingml/2006/picture">
                  <pic:nvPicPr>
                    <pic:cNvPr id="31" name="Picture" descr="Graphics%20and%20Supplements/Figure%203.png"/>
                    <pic:cNvPicPr>
                      <a:picLocks noChangeAspect="1" noChangeArrowheads="1"/>
                    </pic:cNvPicPr>
                  </pic:nvPicPr>
                  <pic:blipFill>
                    <a:blip r:embed="rId7"/>
                    <a:stretch>
                      <a:fillRect/>
                    </a:stretch>
                  </pic:blipFill>
                  <pic:spPr bwMode="auto">
                    <a:xfrm>
                      <a:off x="0" y="0"/>
                      <a:ext cx="5334000" cy="5334000"/>
                    </a:xfrm>
                    <a:prstGeom prst="rect">
                      <a:avLst/>
                    </a:prstGeom>
                    <a:noFill/>
                    <a:ln w="9525">
                      <a:noFill/>
                      <a:headEnd/>
                      <a:tailEnd/>
                    </a:ln>
                  </pic:spPr>
                </pic:pic>
              </a:graphicData>
            </a:graphic>
          </wp:inline>
        </w:drawing>
      </w:r>
    </w:p>
    <w:p w14:paraId="348BB9F6" w14:textId="77777777" w:rsidR="00485A22" w:rsidRDefault="00000000">
      <w:pPr>
        <w:pStyle w:val="ImageCaption"/>
      </w:pPr>
      <w:bookmarkStart w:id="3" w:name="fig:farmerFishTradeoffFigure01"/>
      <w:bookmarkEnd w:id="3"/>
      <w:r>
        <w:t>Figure 3: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14:paraId="6F69ECA7" w14:textId="77777777" w:rsidR="00485A22" w:rsidRDefault="00000000">
      <w:pPr>
        <w:pStyle w:val="SourceCode"/>
      </w:pPr>
      <w:r>
        <w:rPr>
          <w:rStyle w:val="VerbatimChar"/>
        </w:rPr>
        <w:t xml:space="preserve">## png </w:t>
      </w:r>
      <w:r>
        <w:br/>
      </w:r>
      <w:r>
        <w:rPr>
          <w:rStyle w:val="VerbatimChar"/>
        </w:rPr>
        <w:t>##   2</w:t>
      </w:r>
    </w:p>
    <w:p w14:paraId="4DA8BE26" w14:textId="77777777" w:rsidR="00485A22" w:rsidRDefault="00000000">
      <w:pPr>
        <w:pStyle w:val="SourceCode"/>
      </w:pPr>
      <w:r>
        <w:rPr>
          <w:rStyle w:val="VerbatimChar"/>
        </w:rPr>
        <w:t xml:space="preserve">## png </w:t>
      </w:r>
      <w:r>
        <w:br/>
      </w:r>
      <w:r>
        <w:rPr>
          <w:rStyle w:val="VerbatimChar"/>
        </w:rPr>
        <w:t>##   2</w:t>
      </w:r>
    </w:p>
    <w:p w14:paraId="5D939ED4" w14:textId="77777777" w:rsidR="00485A22" w:rsidRDefault="00000000">
      <w:pPr>
        <w:pStyle w:val="CaptionedFigure"/>
      </w:pPr>
      <w:r>
        <w:rPr>
          <w:noProof/>
        </w:rPr>
        <w:lastRenderedPageBreak/>
        <w:drawing>
          <wp:inline distT="0" distB="0" distL="0" distR="0" wp14:anchorId="16B174B7" wp14:editId="30D7509F">
            <wp:extent cx="5334000" cy="4000499"/>
            <wp:effectExtent l="0" t="0" r="0" b="0"/>
            <wp:docPr id="34" name="Picture" descr="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wp:cNvGraphicFramePr/>
            <a:graphic xmlns:a="http://schemas.openxmlformats.org/drawingml/2006/main">
              <a:graphicData uri="http://schemas.openxmlformats.org/drawingml/2006/picture">
                <pic:pic xmlns:pic="http://schemas.openxmlformats.org/drawingml/2006/picture">
                  <pic:nvPicPr>
                    <pic:cNvPr id="35" name="Picture" descr="Graphics%20and%20Supplements/Figure%205.png"/>
                    <pic:cNvPicPr>
                      <a:picLocks noChangeAspect="1" noChangeArrowheads="1"/>
                    </pic:cNvPicPr>
                  </pic:nvPicPr>
                  <pic:blipFill>
                    <a:blip r:embed="rId8"/>
                    <a:stretch>
                      <a:fillRect/>
                    </a:stretch>
                  </pic:blipFill>
                  <pic:spPr bwMode="auto">
                    <a:xfrm>
                      <a:off x="0" y="0"/>
                      <a:ext cx="5334000" cy="4000499"/>
                    </a:xfrm>
                    <a:prstGeom prst="rect">
                      <a:avLst/>
                    </a:prstGeom>
                    <a:noFill/>
                    <a:ln w="9525">
                      <a:noFill/>
                      <a:headEnd/>
                      <a:tailEnd/>
                    </a:ln>
                  </pic:spPr>
                </pic:pic>
              </a:graphicData>
            </a:graphic>
          </wp:inline>
        </w:drawing>
      </w:r>
    </w:p>
    <w:p w14:paraId="034121DB" w14:textId="77777777" w:rsidR="00485A22" w:rsidRDefault="00000000">
      <w:pPr>
        <w:pStyle w:val="ImageCaption"/>
      </w:pPr>
      <w:bookmarkStart w:id="4" w:name="fig:efficiency01"/>
      <w:bookmarkEnd w:id="4"/>
      <w:r>
        <w:t>Figure 4: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p w14:paraId="74BC852E" w14:textId="77777777" w:rsidR="00485A22" w:rsidRDefault="00000000">
      <w:r>
        <w:br w:type="page"/>
      </w:r>
    </w:p>
    <w:p w14:paraId="7F4E1F82" w14:textId="77777777" w:rsidR="00485A22" w:rsidRDefault="00000000">
      <w:pPr>
        <w:pStyle w:val="TableCaption"/>
      </w:pPr>
      <w:bookmarkStart w:id="5" w:name="tab:scenarioResultsTab01"/>
      <w:bookmarkEnd w:id="5"/>
      <w:r>
        <w:lastRenderedPageBreak/>
        <w:t>Table 2: Scenario attributes for 25 scenarios. Values in the Mean Hydrologic Benefit (HB) and Mean ET columns are averages of 35 annual values for each scenario. Efficiency not calculated for scenarios with no average ET loss.</w:t>
      </w:r>
    </w:p>
    <w:tbl>
      <w:tblPr>
        <w:tblStyle w:val="Table"/>
        <w:tblW w:w="0" w:type="auto"/>
        <w:jc w:val="center"/>
        <w:tblLayout w:type="fixed"/>
        <w:tblLook w:val="0420" w:firstRow="1" w:lastRow="0" w:firstColumn="0" w:lastColumn="0" w:noHBand="0" w:noVBand="1"/>
      </w:tblPr>
      <w:tblGrid>
        <w:gridCol w:w="2448"/>
        <w:gridCol w:w="1440"/>
        <w:gridCol w:w="1008"/>
        <w:gridCol w:w="1008"/>
        <w:gridCol w:w="1008"/>
        <w:gridCol w:w="1152"/>
        <w:gridCol w:w="1152"/>
      </w:tblGrid>
      <w:tr w:rsidR="00485A22" w14:paraId="2DE8C66A" w14:textId="77777777" w:rsidTr="00485A22">
        <w:trPr>
          <w:cnfStyle w:val="100000000000" w:firstRow="1" w:lastRow="0" w:firstColumn="0" w:lastColumn="0" w:oddVBand="0" w:evenVBand="0" w:oddHBand="0" w:evenHBand="0" w:firstRowFirstColumn="0" w:firstRowLastColumn="0" w:lastRowFirstColumn="0" w:lastRowLastColumn="0"/>
          <w:tblHeader/>
          <w:jc w:val="center"/>
        </w:trPr>
        <w:tc>
          <w:tcPr>
            <w:tcW w:w="244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31BC16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Scenario ID</w:t>
            </w:r>
          </w:p>
        </w:tc>
        <w:tc>
          <w:tcPr>
            <w:tcW w:w="144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AD84E8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Category</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49B2D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Feas.</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5DB59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HB / 1000</w:t>
            </w:r>
          </w:p>
        </w:tc>
        <w:tc>
          <w:tcPr>
            <w:tcW w:w="100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30D695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2"/>
                <w:szCs w:val="22"/>
              </w:rPr>
              <w:t>Mean ET</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8FA4A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Pareto</w:t>
            </w:r>
          </w:p>
        </w:tc>
        <w:tc>
          <w:tcPr>
            <w:tcW w:w="11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AD217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2"/>
                <w:szCs w:val="22"/>
              </w:rPr>
              <w:t>Efficiency</w:t>
            </w:r>
          </w:p>
        </w:tc>
      </w:tr>
      <w:tr w:rsidR="00485A22" w14:paraId="3C14EBB2" w14:textId="77777777" w:rsidTr="00485A22">
        <w:trPr>
          <w:jc w:val="center"/>
        </w:trPr>
        <w:tc>
          <w:tcPr>
            <w:tcW w:w="244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10AC9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44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BA261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basecase</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556A7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E27D6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237.85</w:t>
            </w:r>
          </w:p>
        </w:tc>
        <w:tc>
          <w:tcPr>
            <w:tcW w:w="100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F26D9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117.76</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629C6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17333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6656D337"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A2EB47"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28AD9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97D5B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EF9EB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241.99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A95B6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110.09</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25493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70DB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0.27</w:t>
            </w:r>
          </w:p>
        </w:tc>
      </w:tr>
      <w:tr w:rsidR="00485A22" w14:paraId="2D4A1341"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F1D0B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E1510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F45A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4EE62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239.33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E0A75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114.26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804C0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2AFA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0.21</w:t>
            </w:r>
          </w:p>
        </w:tc>
      </w:tr>
      <w:tr w:rsidR="00485A22" w14:paraId="2E8DE227"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D1802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alf_curtail_08.15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F16D7"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AlfIrr</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8BFD7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86888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237.93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090E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116.61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33393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27E52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485A22" w14:paraId="6C842CB0"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29D0C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C322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5BAD7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19D49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245.35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FE81F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102.83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CC04F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E67E3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0.25</w:t>
            </w:r>
          </w:p>
        </w:tc>
      </w:tr>
      <w:tr w:rsidR="00485A22" w14:paraId="2112B861"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B344C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curtail_all_07.31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1CB2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C4B1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9AD2E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236.91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9AD92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109.13</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89FEE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045A8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0C4A00CF"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381D1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curtail_all_08.15</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C173A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Curtail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7F3F5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ACB1E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244.45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31126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9CCBF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8CF6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1.15</w:t>
            </w:r>
          </w:p>
        </w:tc>
      </w:tr>
      <w:tr w:rsidR="00485A22" w14:paraId="33FB8A4B"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DBCE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eflows25_div_lims</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38F47"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FlowLims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6C6F9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018A5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233.59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24CB9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113.75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39BE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A1A9C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71A27122"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F525E7"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BF3C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83B92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62553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227.80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6B451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98.75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457837"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21A42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2206471D"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DB1BC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grain_14k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C6DB2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D1F98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5E76C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F75C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93.16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52F3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00994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0141C9F9"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E2EE1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grain_6k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4B7E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CropCh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0FB8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DF451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233.96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6B2AC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108.81</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55B5F7"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32A71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114F7BCB"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EDFF0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irr_eff_0.1</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E1B9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54756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2991D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235.38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CDBF3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116.74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2CE14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BC4F3"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6C949B62"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4CC23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irr_eff_0.2</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C4471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IrrEff</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75E1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2AA4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229.06</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1AFF3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114.98</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BCEAB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86631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388E7F12"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19EE9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maxMAR_fields2024</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E4128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EnhRch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A73A1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CE3B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237.59</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68CF6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117.75</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8854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4E6BE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02D6CB4D"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AD9C9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5C79D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BAD6B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CB16D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244.28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39494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DABB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728EA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0.08</w:t>
            </w:r>
          </w:p>
        </w:tc>
      </w:tr>
      <w:tr w:rsidR="00485A22" w14:paraId="06A5FF4C"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41F26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D6AC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653D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FA22F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235.70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1C0D63"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3A568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6181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2C75DBC7"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3FC62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A17AD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F27E8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ED7EA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227.92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21871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7774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B8ED57"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04A95845"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7D2B7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natveg_high_all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F9940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NatVegH</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B1A16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8A78E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266.37</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4C6F5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580C0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CD28E4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0.12</w:t>
            </w:r>
          </w:p>
        </w:tc>
      </w:tr>
      <w:tr w:rsidR="00485A22" w14:paraId="6B0F4F06"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AC090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natveg_low_12k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E474E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8662793"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0901D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239.78</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7EA2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78.66</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FF70C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955CA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0.02</w:t>
            </w:r>
          </w:p>
        </w:tc>
      </w:tr>
      <w:tr w:rsidR="00485A22" w14:paraId="627E9448"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577E6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natveg_low_4k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9944E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F54C0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736B6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236.64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EC6912"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107.70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7ADC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22AE1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35A44E46"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0B70C3"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natveg_low_8k</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F1C42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FFDC4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B3234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239.65</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5E3D0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94.02</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591421"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6324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0.04</w:t>
            </w:r>
          </w:p>
        </w:tc>
      </w:tr>
      <w:tr w:rsidR="00485A22" w14:paraId="142C8296"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5BA3E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natveg_low_all</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ABB1E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NatVegL</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6D4D4C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F43C7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230.43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0C7C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0.00</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DAEC8"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E7080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128717D7"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9A804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reservoir_etna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36BCD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F84B2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688524"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241.54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C88BBA"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117.87</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A5034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7BE183"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255C0171" w14:textId="77777777" w:rsidTr="00485A22">
        <w:trPr>
          <w:jc w:val="center"/>
        </w:trPr>
        <w:tc>
          <w:tcPr>
            <w:tcW w:w="244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A3DE3"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reservoir_french</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1522CE"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E4FD8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DFACF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230.83</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FC4A8B"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117.84</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C467E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D1CAC0"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r w:rsidR="00485A22" w14:paraId="340460CB" w14:textId="77777777" w:rsidTr="00485A22">
        <w:trPr>
          <w:jc w:val="center"/>
        </w:trPr>
        <w:tc>
          <w:tcPr>
            <w:tcW w:w="244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B00FC9"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reservoir_shackleford</w:t>
            </w:r>
          </w:p>
        </w:tc>
        <w:tc>
          <w:tcPr>
            <w:tcW w:w="144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E5A73A6"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Res</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139B25"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4</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33AD3D"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255.73</w:t>
            </w:r>
          </w:p>
        </w:tc>
        <w:tc>
          <w:tcPr>
            <w:tcW w:w="100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F89CBFC"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jc w:val="right"/>
            </w:pPr>
            <w:r>
              <w:rPr>
                <w:rFonts w:ascii="Arial" w:eastAsia="Arial" w:hAnsi="Arial" w:cs="Arial"/>
                <w:color w:val="000000"/>
                <w:sz w:val="20"/>
                <w:szCs w:val="20"/>
              </w:rPr>
              <w:t>117.98</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635FAF"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Yes</w:t>
            </w:r>
          </w:p>
        </w:tc>
        <w:tc>
          <w:tcPr>
            <w:tcW w:w="11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35A8DF3" w14:textId="77777777" w:rsidR="00485A22" w:rsidRDefault="00000000">
            <w:pPr>
              <w:pBdr>
                <w:top w:val="none" w:sz="0" w:space="0" w:color="000000"/>
                <w:left w:val="none" w:sz="0" w:space="0" w:color="000000"/>
                <w:bottom w:val="none" w:sz="0" w:space="0" w:color="000000"/>
                <w:right w:val="none" w:sz="0" w:space="0" w:color="000000"/>
              </w:pBdr>
              <w:spacing w:before="100" w:after="100"/>
              <w:ind w:left="100" w:right="100"/>
            </w:pPr>
            <w:r>
              <w:rPr>
                <w:rFonts w:ascii="Arial" w:eastAsia="Arial" w:hAnsi="Arial" w:cs="Arial"/>
                <w:color w:val="000000"/>
                <w:sz w:val="20"/>
                <w:szCs w:val="20"/>
              </w:rPr>
              <w:t>--</w:t>
            </w:r>
          </w:p>
        </w:tc>
      </w:tr>
    </w:tbl>
    <w:p w14:paraId="27022A75" w14:textId="77777777" w:rsidR="00401E6E" w:rsidRDefault="00401E6E"/>
    <w:sectPr w:rsidR="00401E6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E1D07E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05574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485A22"/>
    <w:rsid w:val="000F7A0F"/>
    <w:rsid w:val="00401E6E"/>
    <w:rsid w:val="00485A22"/>
    <w:rsid w:val="00580A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8E9A8"/>
  <w15:docId w15:val="{3A80001D-0277-4C88-AC96-5E4B0BE050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515</Words>
  <Characters>2938</Characters>
  <Application>Microsoft Office Word</Application>
  <DocSecurity>0</DocSecurity>
  <Lines>24</Lines>
  <Paragraphs>6</Paragraphs>
  <ScaleCrop>false</ScaleCrop>
  <Company/>
  <LinksUpToDate>false</LinksUpToDate>
  <CharactersWithSpaces>3447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C: Results with Hydrologic Benefit Function based on Chinook juvenile abundance</dc:title>
  <dc:creator>Claire Kouba</dc:creator>
  <cp:keywords/>
  <cp:lastModifiedBy>Kouba, Claire</cp:lastModifiedBy>
  <cp:revision>2</cp:revision>
  <dcterms:created xsi:type="dcterms:W3CDTF">2026-02-19T23:11:00Z</dcterms:created>
  <dcterms:modified xsi:type="dcterms:W3CDTF">2026-02-19T23:11:00Z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