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3.png" ContentType="image/png"/>
  <Override PartName="/word/media/rId37.png" ContentType="image/png"/>
  <Override PartName="/word/media/rId59.png" ContentType="image/png"/>
  <Override PartName="/word/media/rId63.png" ContentType="image/png"/>
  <Override PartName="/word/media/rId81.png" ContentType="image/png"/>
  <Override PartName="/word/media/rId8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Farms, fish, and cost: Locally-tailored objective functions expand utility of watershed model results and clarify trade-offs in an active local water planning process, northern California</w:t>
      </w:r>
    </w:p>
    <w:p>
      <w:pPr>
        <w:pStyle w:val="Author"/>
      </w:pPr>
      <w:r>
        <w:t xml:space="preserve">Claire Kouba</w:t>
      </w:r>
    </w:p>
    <w:p>
      <w:pPr>
        <w:pStyle w:val="Date"/>
      </w:pPr>
      <w:r>
        <w:t xml:space="preserve">2026-02-13</w:t>
      </w:r>
    </w:p>
    <w:bookmarkStart w:id="20" w:name="abstract"/>
    <w:p>
      <w:pPr>
        <w:pStyle w:val="Heading1"/>
      </w:pPr>
      <w:r>
        <w:t xml:space="preserve">Abstract</w:t>
      </w:r>
    </w:p>
    <w:p>
      <w:pPr>
        <w:pStyle w:val="FirstParagraph"/>
      </w:pPr>
      <w:r>
        <w:t xml:space="preserve">In the rural American West, water needs of agriculture and ecosystems are often in competition. Furthermore, in places with interconnected surface- and groundwater systems, stream-aquifer exchange increases the difficulty of tracking impacts of diverse water users on each other and on the system as a whole. Hydrologic models can estimate the impacts of water uses and management actions on groundwater elevation and streamflow, but may provide overwhelming amounts of information and/or may be challenging for stakeholders to interpret. In this study, we address these challenges and aim to increase utility of hydrologic model results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 25 management scenarios developed for the GSP, which were simulated using an existing integrated surface- and groundwater model.</w:t>
      </w:r>
      <w:r>
        <w:t xml:space="preserve"> </w:t>
      </w:r>
      <w:r>
        <w:rPr>
          <w:b/>
          <w:bCs/>
        </w:rP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w:t>
      </w:r>
      <w:r>
        <w:t xml:space="preserve"> </w:t>
      </w:r>
      <w:r>
        <w:t xml:space="preserve">Finally,</w:t>
      </w:r>
      <w:r>
        <w:t xml:space="preserve"> </w:t>
      </w:r>
      <w:r>
        <w:rPr>
          <w:b/>
          <w:bCs/>
        </w:rPr>
        <w:t xml:space="preserve">regarding regulatory actions, management interventions targeted at low-flow periods produced a more efficient gain in environmental flow value per cost in agricultural productivity.</w:t>
      </w:r>
      <w:r>
        <w:t xml:space="preserve"> </w:t>
      </w:r>
      <w:r>
        <w:t xml:space="preserve">This work demonstrates that basin-specific, stakeholder-informed objective functions can increase</w:t>
      </w:r>
      <w:r>
        <w:t xml:space="preserve"> </w:t>
      </w:r>
      <w:r>
        <w:rPr>
          <w:i/>
          <w:iCs/>
        </w:rPr>
        <w:t xml:space="preserve">stakeholder-salience of existing hydrologic model results</w:t>
      </w:r>
      <w:r>
        <w:t xml:space="preserve">, and can help clarify trade-offs in ongoing local water planning efforts.</w:t>
      </w:r>
    </w:p>
    <w:p>
      <w:pPr>
        <w:pStyle w:val="BodyText"/>
      </w:pPr>
      <w:r>
        <w:rPr>
          <w:b/>
          <w:bCs/>
        </w:rPr>
        <w:t xml:space="preserve">TO DO</w:t>
      </w:r>
    </w:p>
    <w:p>
      <w:pPr>
        <w:pStyle w:val="Compact"/>
        <w:numPr>
          <w:ilvl w:val="0"/>
          <w:numId w:val="1001"/>
        </w:numPr>
      </w:pPr>
      <w:r>
        <w:t xml:space="preserve">Supplement E - scenario design info. MAR map</w:t>
      </w:r>
      <w:r>
        <w:t xml:space="preserve"> </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Climate adaptation in the water sector, in its many facets - e.g., securing water and food supplies, updating infrastructure to reduce flood and drought risk, and preserving ecosystem function - is often most effective when implemented at the local level</w:t>
      </w:r>
      <w:r>
        <w:t xml:space="preserve"> </w:t>
      </w:r>
      <w:r>
        <w:t xml:space="preserve">(e.g., Van Steenbergen 2006)</w:t>
      </w:r>
      <w:r>
        <w:t xml:space="preserve">. However, local water managers face a complex regulatory landscape and serve diverse stakeholders, and typically have unmet knowledge needs</w:t>
      </w:r>
      <w:r>
        <w:t xml:space="preserve"> </w:t>
      </w:r>
      <w:r>
        <w:t xml:space="preserve">(Bork and Hirokawa 2021; Nordgren, Stults, and Meerow 2016)</w:t>
      </w:r>
      <w:r>
        <w:t xml:space="preserve">. Academic hydrologists have many tools to fill such knowledge gaps; however, when seeking broadly-relevant findings, they commonly avoid time-consuming engagement with specific local water organizations, which can reduce the utility of the resulting research to the relevant decisionmakers</w:t>
      </w:r>
      <w:r>
        <w:t xml:space="preserve"> </w:t>
      </w:r>
      <w:r>
        <w:t xml:space="preserve">(Freeman 2000)</w:t>
      </w:r>
      <w:r>
        <w:t xml:space="preserve">. In this study, we take advantage of the authors’ involvement with an existing water resource planning process, and a previously-developed integrated surface- and groundwater model, to test the utility of introducing quantitative objective functions into the public prioritization of groundwater management alternatives in a case study jurisdiction.</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often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2021 GSP) and potentially new insights about the holistic management option landscape.</w:t>
      </w:r>
      <w:r>
        <w:t xml:space="preserve"> </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4" w:name="X1d0ab14f4559910db365e3bb8ee13a97d99320e"/>
    <w:p>
      <w:pPr>
        <w:pStyle w:val="Heading1"/>
      </w:pPr>
      <w:r>
        <w:rPr>
          <w:rStyle w:val="SectionNumber"/>
        </w:rPr>
        <w:t xml:space="preserve">2</w:t>
      </w:r>
      <w:r>
        <w:tab/>
      </w:r>
      <w:r>
        <w:t xml:space="preserve">Background: Case study and GSP development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with forested uplands and a largely agricultural valley floor (Figure</w:t>
      </w:r>
      <w:r>
        <w:t xml:space="preserve"> </w:t>
      </w:r>
      <w:r>
        <w:t xml:space="preserve">1</w:t>
      </w:r>
      <w:r>
        <w:t xml:space="preserve">) overlying an alluvial aquifer up to 79 m (260 ft) thick</w:t>
      </w:r>
      <w:r>
        <w:t xml:space="preserve"> </w:t>
      </w:r>
      <w:r>
        <w:t xml:space="preserve">(SWRCB 1975; Mack 1958)</w:t>
      </w:r>
      <w:r>
        <w:t xml:space="preserve">. A key stream gauge (USGS Station ID 11519500, or the Fort Jones Gauge or FJ Gauge) is located downstream of the watershed’s cultivated areas (Figure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Winter storms (October-April) and melting mountain snowpack (April-July) generate streamflow during the wet and growing seasons. As a result, the Scott River and tributary streams experience seasonal high and low flows (Figure</w:t>
      </w:r>
      <w:r>
        <w:t xml:space="preserve"> </w:t>
      </w:r>
      <w:r>
        <w:t xml:space="preserve">2</w:t>
      </w:r>
      <w:r>
        <w:t xml:space="preserve">, panel C).</w:t>
      </w:r>
    </w:p>
    <w:p>
      <w:pPr>
        <w:pStyle w:val="BodyText"/>
      </w:pPr>
      <w:r>
        <w:t xml:space="preserve">Streams and groundwater are highly interconnected in the Scott River watershed</w:t>
      </w:r>
      <w:r>
        <w:t xml:space="preserve"> </w:t>
      </w:r>
      <w:r>
        <w:t xml:space="preserve">(Tolley, Foglia, and Harter 2019)</w:t>
      </w:r>
      <w:r>
        <w:t xml:space="preserve">.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On the valley floor, according to land use surveys conducted by the California Department of Water Resources</w:t>
      </w:r>
      <w:r>
        <w:t xml:space="preserve"> </w:t>
      </w:r>
      <w:r>
        <w:t xml:space="preserve">(DWR 2017)</w:t>
      </w:r>
      <w:r>
        <w:t xml:space="preserve">, half of the area overlying the alluvial aquifer is covered by irrigated agriculture, notably pasture for cattle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However, during recent declarations of emergency drought conditions, water use has been periodically curtailed to preserve flows for aquatic species</w:t>
      </w:r>
      <w:r>
        <w:t xml:space="preserve"> </w:t>
      </w:r>
      <w:r>
        <w:t xml:space="preserve">(SWRCB 2021, 2024a, 2024b)</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varying by season, are necessary to the survival of vulnerable species in the Scott River watershed</w:t>
      </w:r>
      <w:r>
        <w:t xml:space="preserve"> </w:t>
      </w:r>
      <w:r>
        <w:t xml:space="preserve">(Scott River Watershed Council 2018)</w:t>
      </w:r>
      <w:r>
        <w:t xml:space="preserve">.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2"/>
        </w:numPr>
      </w:pPr>
      <w:r>
        <w:t xml:space="preserve">Fall flows, increasing after the dry season in response to early wet season storms, that are sufficient to provide coho spawners access to preferred spawning reaches within the fall-run time window;</w:t>
      </w:r>
    </w:p>
    <w:p>
      <w:pPr>
        <w:pStyle w:val="Compact"/>
        <w:numPr>
          <w:ilvl w:val="0"/>
          <w:numId w:val="1002"/>
        </w:numPr>
      </w:pPr>
      <w:r>
        <w:t xml:space="preserve">Flows providing habitat for rearing juvenile salmon for their ~12-15 months of freshwater residence; and</w:t>
      </w:r>
    </w:p>
    <w:p>
      <w:pPr>
        <w:pStyle w:val="Compact"/>
        <w:numPr>
          <w:ilvl w:val="0"/>
          <w:numId w:val="1002"/>
        </w:numPr>
      </w:pPr>
      <w:r>
        <w:t xml:space="preserve">Sufficient flow in the spring for yearling smolts to migrate to the ocean.</w:t>
      </w:r>
    </w:p>
    <w:p>
      <w:pPr>
        <w:pStyle w:val="FirstParagraph"/>
      </w:pPr>
      <w:r>
        <w:t xml:space="preserve">While Chinook also require fall flows for spawning, their specific flow requirements are somewhat distinct from coho due to their different life histories:</w:t>
      </w:r>
    </w:p>
    <w:p>
      <w:pPr>
        <w:pStyle w:val="Compact"/>
        <w:numPr>
          <w:ilvl w:val="0"/>
          <w:numId w:val="1003"/>
        </w:numPr>
      </w:pPr>
      <w:r>
        <w:t xml:space="preserve">Chinook juveniles spend less than one year in the freshwater environment</w:t>
      </w:r>
      <w:r>
        <w:t xml:space="preserve"> </w:t>
      </w:r>
      <w:r>
        <w:t xml:space="preserve">(Agrawal et al. 2005)</w:t>
      </w:r>
      <w:r>
        <w:t xml:space="preserve">, while coho overwinter and typically migrate to the ocean at 1+ years old</w:t>
      </w:r>
      <w:r>
        <w:t xml:space="preserve"> </w:t>
      </w:r>
      <w:r>
        <w:t xml:space="preserve">(Moyle 2002; McMahon 1983)</w:t>
      </w:r>
      <w:r>
        <w:t xml:space="preserve">;</w:t>
      </w:r>
    </w:p>
    <w:p>
      <w:pPr>
        <w:pStyle w:val="Compact"/>
        <w:numPr>
          <w:ilvl w:val="0"/>
          <w:numId w:val="1003"/>
        </w:numPr>
      </w:pPr>
      <w:r>
        <w:t xml:space="preserve">Chinook tend to spawn earlier in the fall than coho</w:t>
      </w:r>
      <w:r>
        <w:t xml:space="preserve"> </w:t>
      </w:r>
      <w:r>
        <w:t xml:space="preserve">(Knechtle and Giudice 2020; Magranet 2015, 2017)</w:t>
      </w:r>
      <w:r>
        <w:t xml:space="preserve">;</w:t>
      </w:r>
    </w:p>
    <w:p>
      <w:pPr>
        <w:pStyle w:val="Compact"/>
        <w:numPr>
          <w:ilvl w:val="0"/>
          <w:numId w:val="1003"/>
        </w:numPr>
      </w:pPr>
      <w:r>
        <w:t xml:space="preserve">Chinook prefer to spawn in the main stem of the Scott River, while coho prefer to spawn in tributaries</w:t>
      </w:r>
      <w:r>
        <w:t xml:space="preserve"> </w:t>
      </w:r>
      <w:r>
        <w:t xml:space="preserve">(e.g., Magranet 2018; Magranet and Yokel 2017)</w:t>
      </w:r>
      <w:r>
        <w:t xml:space="preserve">, making juvenile Chinook salmon more vulnerable than coho to egg burial or bed scour during high-flow storm conditions.</w:t>
      </w:r>
    </w:p>
    <w:p>
      <w:pPr>
        <w:pStyle w:val="FirstParagraph"/>
      </w:pPr>
      <w:r>
        <w:t xml:space="preserve">Different functional flows are needed by other species, such as cottonwood trees, which require flood-stage flows to disperse their seeds</w:t>
      </w:r>
      <w:r>
        <w:t xml:space="preserve"> </w:t>
      </w:r>
      <w:r>
        <w:t xml:space="preserve">(Mahoney and Rood 1998)</w:t>
      </w:r>
      <w:r>
        <w:t xml:space="preserve">; but in this work we focus on coho and Chinook salmon as two examples in developing a single-species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w:t>
      </w:r>
      <w:r>
        <w:t xml:space="preserve"> </w:t>
      </w:r>
      <w:r>
        <w:rPr>
          <w:b/>
          <w:bCs/>
        </w:rPr>
        <w:t xml:space="preserve">investigated?</w:t>
      </w:r>
      <w:r>
        <w:t xml:space="preserve"> </w:t>
      </w:r>
      <w:r>
        <w:rPr>
          <w:b/>
          <w:bCs/>
        </w:rPr>
        <w:t xml:space="preserve">Cite Orloff/Snyder work?</w:t>
      </w:r>
      <w:r>
        <w:t xml:space="preserve"> </w:t>
      </w:r>
      <w:r>
        <w:t xml:space="preserve">simulated for a historical model period of Oct. 1, 1990 to Sept. 30, 2025, using the calibrated Scott Valley Integrated Hydrologic Model (SVIHM)</w:t>
      </w:r>
      <w:r>
        <w:t xml:space="preserve"> </w:t>
      </w:r>
      <w:r>
        <w:t xml:space="preserve">(Harter and Hines 2008; Foglia et al. 2013; Tolley, Foglia, and Harter 2019)</w:t>
      </w:r>
      <w:r>
        <w:t xml:space="preserve">. Water demand for crops and native vegetation (evapotranspiration, or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Annual crop ET and irrigation demand is relatively stable year to year while precipitation, and thus recharge to groundwater, are more variable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deciding the amount of (estimated) streamflow depletion that the GSA should aim to reverse, accounting for environmental water demand and what degree of water security was owed to local agriculture.</w:t>
      </w:r>
    </w:p>
    <w:p>
      <w:pPr>
        <w:pStyle w:val="BodyText"/>
      </w:pPr>
      <w:r>
        <w:t xml:space="preserve">During GSP development, 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 in Section 3.3.</w:t>
      </w:r>
    </w:p>
    <w:bookmarkEnd w:id="43"/>
    <w:bookmarkEnd w:id="44"/>
    <w:bookmarkStart w:id="57" w:name="methods"/>
    <w:p>
      <w:pPr>
        <w:pStyle w:val="Heading1"/>
      </w:pPr>
      <w:r>
        <w:rPr>
          <w:rStyle w:val="SectionNumber"/>
        </w:rPr>
        <w:t xml:space="preserve">3</w:t>
      </w:r>
      <w:r>
        <w:tab/>
      </w:r>
      <w:r>
        <w:t xml:space="preserve">Methods</w:t>
      </w:r>
    </w:p>
    <w:p>
      <w:pPr>
        <w:pStyle w:val="FirstParagraph"/>
      </w:pPr>
      <w:r>
        <w:t xml:space="preserve">After 2021, we expanded on this public planning effort with a research study, based on the suite of management scenarios designed for the GSP, in the hopes that it could inform water management decisions during 5-year GSP updates over the coming decades.</w:t>
      </w:r>
    </w:p>
    <w:p>
      <w:pPr>
        <w:pStyle w:val="BodyText"/>
      </w:pPr>
      <w:r>
        <w:t xml:space="preserve">In particular, we developed two quantitative objective functions and one categorical objective proxy to evaluate the management scenarios developed for the GSP. The three objectives were:</w:t>
      </w:r>
    </w:p>
    <w:p>
      <w:pPr>
        <w:pStyle w:val="Compact"/>
        <w:numPr>
          <w:ilvl w:val="0"/>
          <w:numId w:val="1004"/>
        </w:numPr>
      </w:pPr>
      <w:r>
        <w:t xml:space="preserve">maximize specific environmental flows,</w:t>
      </w:r>
    </w:p>
    <w:p>
      <w:pPr>
        <w:pStyle w:val="Compact"/>
        <w:numPr>
          <w:ilvl w:val="0"/>
          <w:numId w:val="1004"/>
        </w:numPr>
      </w:pPr>
      <w:r>
        <w:t xml:space="preserve">maintain current levels of agricultural productivity (represented as minimizing reduction in agricultural water use), and</w:t>
      </w:r>
    </w:p>
    <w:p>
      <w:pPr>
        <w:pStyle w:val="Compact"/>
        <w:numPr>
          <w:ilvl w:val="0"/>
          <w:numId w:val="1004"/>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5" w:name="tab:objFunctionTable"/>
      <w:bookmarkEnd w:id="45"/>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0" w:name="objective-functions"/>
    <w:p>
      <w:pPr>
        <w:pStyle w:val="Heading2"/>
      </w:pPr>
      <w:r>
        <w:rPr>
          <w:rStyle w:val="SectionNumber"/>
        </w:rPr>
        <w:t xml:space="preserve">3.1</w:t>
      </w:r>
      <w:r>
        <w:tab/>
      </w:r>
      <w:r>
        <w:t xml:space="preserve">Objective functions</w:t>
      </w:r>
    </w:p>
    <w:bookmarkStart w:id="47" w:name="hydrologic-benefit-function"/>
    <w:p>
      <w:pPr>
        <w:pStyle w:val="Heading3"/>
      </w:pPr>
      <w:r>
        <w:rPr>
          <w:rStyle w:val="SectionNumber"/>
        </w:rPr>
        <w:t xml:space="preserve">3.1.1</w:t>
      </w:r>
      <w:r>
        <w:tab/>
      </w:r>
      <w:r>
        <w:t xml:space="preserve">Hydrologic Benefit function</w:t>
      </w:r>
    </w:p>
    <w:p>
      <w:pPr>
        <w:pStyle w:val="FirstParagraph"/>
      </w:pPr>
      <w:r>
        <w:t xml:space="preserve">Conceptually, the Hydrologic Benefit (HB) function aims to answer the question: to what degree does this water year provide enough flow, at the right time, for this species?</w:t>
      </w:r>
    </w:p>
    <w:p>
      <w:pPr>
        <w:pStyle w:val="BodyText"/>
      </w:pPr>
      <w:r>
        <w:t xml:space="preserve">In a previous study, we empirically identified hydrograph features of high importance to Scott River coho and Chinook, based on correlations between hydrology and ecological observations such as outmigrating juvenile abundance</w:t>
      </w:r>
      <w:r>
        <w:t xml:space="preserve"> </w:t>
      </w:r>
      <w:r>
        <w:t xml:space="preserve">(Kouba et al. 2025)</w:t>
      </w:r>
      <w:r>
        <w:t xml:space="preserve">. The HB function is represented as a linear combination of these high-importance annual functional flow values.</w:t>
      </w:r>
    </w:p>
    <w:p>
      <w:pPr>
        <w:pStyle w:val="BodyText"/>
      </w:pPr>
      <w:r>
        <w:t xml:space="preserve">Functional flows are set of streamflow metrics related to the timing, amplitude, and duration of flow phenomena</w:t>
      </w:r>
      <w:r>
        <w:t xml:space="preserve"> </w:t>
      </w:r>
      <w:r>
        <w:t xml:space="preserve">(Yarnell et al. 2015; Patterson et al. 2020; Carpenter 2024)</w:t>
      </w:r>
      <w:r>
        <w:t xml:space="preserve">. In the HB function, these were weighted according to their power to predict coho and Chinook outcomes, such as smolt production or smolt production normalized per female spawner. The combination of these weighted metrics can be interpreted as a prediction of coho salmon reproduction</w:t>
      </w:r>
      <w:r>
        <w:t xml:space="preserve"> </w:t>
      </w:r>
      <w:r>
        <w:rPr>
          <w:i/>
          <w:iCs/>
        </w:rPr>
        <w:t xml:space="preserve">supported by hydrologic factors</w:t>
      </w:r>
      <w:r>
        <w:t xml:space="preserve">. Importantly, the HB function selected for this exercise only explains about</w:t>
      </w:r>
      <w:r>
        <w:t xml:space="preserve"> </w:t>
      </w:r>
      <w:r>
        <w:rPr>
          <w:i/>
          <w:iCs/>
        </w:rPr>
        <w:t xml:space="preserve">40% to 60%</w:t>
      </w:r>
      <w:r>
        <w:t xml:space="preserve"> </w:t>
      </w:r>
      <w:r>
        <w:t xml:space="preserve">of variation in observed smolt abundance, and the remaining 60%-40% of variation is assumed related to other life conditions, e.g., number of returning spawners, water quality, food resources, and internal fishery population dynamics</w:t>
      </w:r>
      <w:r>
        <w:t xml:space="preserve"> </w:t>
      </w:r>
      <w:r>
        <w:t xml:space="preserve">(Kouba et al. 2025)</w:t>
      </w:r>
      <w:r>
        <w:t xml:space="preserve">.</w:t>
      </w:r>
    </w:p>
    <w:p>
      <w:pPr>
        <w:pStyle w:val="BodyText"/>
      </w:pPr>
      <w:r>
        <w:t xml:space="preserve">There are many different possible HB function formulations; one example HB function is included below and three additional formulations are explored in Supplemental Material. These four HB functions correspond to the two species (coho and Chinook) as measured using two different units of annual salmon reproduction (outmigrating smolt abundance and normalized smolt-per-adult-spawner in the relevant brood year). See Supplemental Material for more HB function design information.</w:t>
      </w:r>
    </w:p>
    <w:p>
      <w:pPr>
        <w:pStyle w:val="BodyText"/>
      </w:pPr>
      <w:r>
        <w:t xml:space="preserve">The example HB function highlighted here is based on coho juvenile outmigrant abundance. It predicts that a higher number of coho smolt produced (coho smolt-equivalent) is related to higher fall flows during a cohort’s parents’ spawning, lower fall flows during a cohort’s time as overwintering yearlings, and a slower spring recession (see coefficient values in Table</w:t>
      </w:r>
      <w:r>
        <w:t xml:space="preserve"> </w:t>
      </w:r>
      <w:r>
        <w:t xml:space="preserve">3</w:t>
      </w:r>
      <w:r>
        <w:t xml:space="preserve">).</w:t>
      </w:r>
    </w:p>
    <w:p>
      <w:pPr>
        <w:pStyle w:val="TableCaption"/>
      </w:pPr>
      <w:bookmarkStart w:id="46" w:name="tab:coefTabMainText"/>
      <w:bookmarkEnd w:id="46"/>
      <w:r>
        <w:t xml:space="preserve">Table 3:</w:t>
      </w:r>
      <w:r>
        <w:t xml:space="preserve"> </w:t>
      </w:r>
      <w:r>
        <w:t xml:space="preserve">Coefficients for the Hydrologic Benefit function, an emperical estimate of ecological services provided to coho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pulse (as juvenile fish)</w:t>
            </w:r>
          </w:p>
        </w:tc>
      </w:tr>
    </w:tbl>
    <w:p>
      <w:pPr>
        <w:pStyle w:val="BodyText"/>
      </w:pPr>
      <w:r>
        <w:t xml:space="preserve">Functional flow metrics informing the HB function were calculated from the observed daily average flow record of the FJ gauge (</w:t>
      </w:r>
      <m:oMath>
        <m:r>
          <m:t>F</m:t>
        </m:r>
        <m:sSub>
          <m:e>
            <m:r>
              <m:t>J</m:t>
            </m:r>
          </m:e>
          <m:sub>
            <m:r>
              <m:t>o</m:t>
            </m:r>
            <m:r>
              <m:t>b</m:t>
            </m:r>
            <m:r>
              <m:t>s</m:t>
            </m:r>
          </m:sub>
        </m:sSub>
      </m:oMath>
      <w:r>
        <w:t xml:space="preserve">), using signal processing algorithms developed by the California Environmental Flows Framework</w:t>
      </w:r>
      <w:r>
        <w:t xml:space="preserve"> </w:t>
      </w:r>
      <w:r>
        <w:t xml:space="preserve">(Yarnell et al. 2015; Patterson et al. 2020; Carpenter 2024)</w:t>
      </w:r>
      <w:r>
        <w:t xml:space="preserve">. One key model result of the historical basecase scenario in SVIHM is a</w:t>
      </w:r>
      <w:r>
        <w:t xml:space="preserve"> </w:t>
      </w:r>
      <w:r>
        <w:rPr>
          <w:i/>
          <w:iCs/>
        </w:rPr>
        <w:t xml:space="preserve">simulated</w:t>
      </w:r>
      <w:r>
        <w:t xml:space="preserve"> </w:t>
      </w:r>
      <w:r>
        <w:t xml:space="preserve">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r>
        <w:t xml:space="preserve"> </w:t>
      </w:r>
    </w:p>
    <w:bookmarkEnd w:id="47"/>
    <w:bookmarkStart w:id="48"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p>
      <w:pPr>
        <w:pStyle w:val="BodyText"/>
      </w:pPr>
      <w:r>
        <w:t xml:space="preserve">We assume that grain, another important local crop, has a different relationship than alfalfa between ET and revenue, as grain is harvested once per year in mid-to-late summer and alfalfa is harvested three to four times per year in this region</w:t>
      </w:r>
      <w:r>
        <w:t xml:space="preserve"> </w:t>
      </w:r>
      <w:r>
        <w:t xml:space="preserve">(Harter and Hines 2008)</w:t>
      </w:r>
      <w:r>
        <w:t xml:space="preserve">. This makes interpretation of the agricultural objective functions more complicated for three crop change scenarios in which alfalfa is converted to grain; see additional discussion in Section 5.</w:t>
      </w:r>
    </w:p>
    <w:bookmarkEnd w:id="48"/>
    <w:bookmarkStart w:id="49"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5"/>
        </w:numPr>
      </w:pPr>
      <w:r>
        <w:t xml:space="preserve">No feasibility barriers (basecase; maintain current practices)</w:t>
      </w:r>
    </w:p>
    <w:p>
      <w:pPr>
        <w:pStyle w:val="Compact"/>
        <w:numPr>
          <w:ilvl w:val="0"/>
          <w:numId w:val="1005"/>
        </w:numPr>
      </w:pPr>
      <w:r>
        <w:t xml:space="preserve">Implementable with current infrastructure</w:t>
      </w:r>
    </w:p>
    <w:p>
      <w:pPr>
        <w:pStyle w:val="Compact"/>
        <w:numPr>
          <w:ilvl w:val="0"/>
          <w:numId w:val="1005"/>
        </w:numPr>
      </w:pPr>
      <w:r>
        <w:t xml:space="preserve">Requires new infrastructure that would take 1-2 years to build</w:t>
      </w:r>
    </w:p>
    <w:p>
      <w:pPr>
        <w:pStyle w:val="Compact"/>
        <w:numPr>
          <w:ilvl w:val="0"/>
          <w:numId w:val="1005"/>
        </w:numPr>
      </w:pPr>
      <w:r>
        <w:t xml:space="preserve">Requires new infrastructure that would take 3-5 years to build</w:t>
      </w:r>
    </w:p>
    <w:p>
      <w:pPr>
        <w:pStyle w:val="Compact"/>
        <w:numPr>
          <w:ilvl w:val="0"/>
          <w:numId w:val="1005"/>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higher-efficiency irrigation technology (assigned to category 2). See Table</w:t>
      </w:r>
      <w:r>
        <w:t xml:space="preserve"> </w:t>
      </w:r>
      <w:r>
        <w:t xml:space="preserve">6</w:t>
      </w:r>
      <w:r>
        <w:t xml:space="preserve"> </w:t>
      </w:r>
      <w:r>
        <w:t xml:space="preserve">for full list of assigned categories.</w:t>
      </w:r>
    </w:p>
    <w:bookmarkEnd w:id="49"/>
    <w:bookmarkEnd w:id="50"/>
    <w:bookmarkStart w:id="53" w:name="analyses-of-objective-function-values"/>
    <w:p>
      <w:pPr>
        <w:pStyle w:val="Heading2"/>
      </w:pPr>
      <w:r>
        <w:rPr>
          <w:rStyle w:val="SectionNumber"/>
        </w:rPr>
        <w:t xml:space="preserve">3.2</w:t>
      </w:r>
      <w:r>
        <w:tab/>
      </w:r>
      <w:r>
        <w:t xml:space="preserve">Analyses of objective function values</w:t>
      </w:r>
    </w:p>
    <w:bookmarkStart w:id="51"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r>
          <m:t>f</m:t>
        </m:r>
        <m:r>
          <m:t> </m:t>
        </m:r>
        <m:r>
          <m:t>s</m:t>
        </m:r>
        <m:r>
          <m:t>c</m:t>
        </m:r>
        <m:r>
          <m:t>e</m:t>
        </m:r>
        <m:r>
          <m:t>n</m:t>
        </m:r>
        <m:r>
          <m:t> </m:t>
        </m:r>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1"/>
    <w:bookmarkStart w:id="52"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bookmarkEnd w:id="52"/>
    <w:bookmarkEnd w:id="53"/>
    <w:bookmarkStart w:id="54" w:name="hydrologic-model-summary"/>
    <w:p>
      <w:pPr>
        <w:pStyle w:val="Heading2"/>
      </w:pPr>
      <w:r>
        <w:rPr>
          <w:rStyle w:val="SectionNumber"/>
        </w:rPr>
        <w:t xml:space="preserve">3.3</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and reference evapotranspiration (ET</w:t>
      </w:r>
      <w:r>
        <w:rPr>
          <w:vertAlign w:val="subscript"/>
        </w:rPr>
        <w:t xml:space="preserve">0</w:t>
      </w:r>
      <w:r>
        <w:t xml:space="preserve">). Like all models, it does not perfectly reproduce historical observations,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forcing period, covering 1991-2018. (For purposes of this study, the model period has been extended through Sept. 30, 2025.) Scenario simulations repeat the calibrated historical basecase simulation of SVIHM while varying specific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6"/>
        </w:numPr>
      </w:pPr>
      <w:r>
        <w:t xml:space="preserve">A prediction of Scott River daily average flow at the Fort Jones Gauge, which is co-located with the surface water outlet of the model domain; and</w:t>
      </w:r>
    </w:p>
    <w:p>
      <w:pPr>
        <w:pStyle w:val="Compact"/>
        <w:numPr>
          <w:ilvl w:val="0"/>
          <w:numId w:val="1006"/>
        </w:numPr>
      </w:pPr>
      <w:r>
        <w:t xml:space="preserve">Simulated total ET of crops and native vegetation within the model domain.</w:t>
      </w:r>
    </w:p>
    <w:bookmarkEnd w:id="54"/>
    <w:bookmarkStart w:id="56" w:name="management-scenario-descriptions"/>
    <w:p>
      <w:pPr>
        <w:pStyle w:val="Heading2"/>
      </w:pPr>
      <w:r>
        <w:rPr>
          <w:rStyle w:val="SectionNumber"/>
        </w:rPr>
        <w:t xml:space="preserve">3.4</w:t>
      </w:r>
      <w:r>
        <w:tab/>
      </w:r>
      <w:r>
        <w:t xml:space="preserve">Management scenario descriptions</w:t>
      </w:r>
    </w:p>
    <w:p>
      <w:pPr>
        <w:pStyle w:val="FirstParagraph"/>
      </w:pPr>
      <w:r>
        <w:t xml:space="preserve">For the Scott Valley GSP, SVIHM was used to simulate 64 management action scenarios; in most other California GSPs, between one and five scenarios was more common</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25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25 considered here.</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See Supplemental Material for more detailed scenario descriptions.</w:t>
      </w:r>
      <w:r>
        <w:t xml:space="preserve"> </w:t>
      </w:r>
      <w:r>
        <w:rPr>
          <w:b/>
          <w:bCs/>
        </w:rPr>
        <w:t xml:space="preserve">how much additional detail?</w:t>
      </w:r>
    </w:p>
    <w:p>
      <w:pPr>
        <w:pStyle w:val="TableCaption"/>
      </w:pPr>
      <w:bookmarkStart w:id="55" w:name="tab:scenCategoryTab"/>
      <w:bookmarkEnd w:id="55"/>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6"/>
    <w:bookmarkEnd w:id="57"/>
    <w:bookmarkStart w:id="92" w:name="results"/>
    <w:p>
      <w:pPr>
        <w:pStyle w:val="Heading1"/>
      </w:pPr>
      <w:r>
        <w:rPr>
          <w:rStyle w:val="SectionNumber"/>
        </w:rPr>
        <w:t xml:space="preserve">4</w:t>
      </w:r>
      <w:r>
        <w:tab/>
      </w:r>
      <w:r>
        <w:t xml:space="preserve">Results</w:t>
      </w:r>
    </w:p>
    <w:p>
      <w:pPr>
        <w:pStyle w:val="FirstParagraph"/>
      </w:pPr>
      <w:r>
        <w:t xml:space="preserve">The degree to which the basecase and 24 scenarios achieved local management goals was summarized using two objective functions. A summary value for the agricultural objective (total crop ET volume) and for the environmental objective (a Hydrologic Benefit [HB] value in units of predicted smolt abundance for coho) were calculated for each water year/brood year in the 35-year simulation period, for each scenario (Table</w:t>
      </w:r>
      <w:r>
        <w:t xml:space="preserve"> </w:t>
      </w:r>
      <w:r>
        <w:t xml:space="preserve">6</w:t>
      </w:r>
      <w:r>
        <w:t xml:space="preserve">). (See Supplemental Material for HB function results in different units; Table</w:t>
      </w:r>
      <w:r>
        <w:t xml:space="preserve"> </w:t>
      </w:r>
      <w:r>
        <w:t xml:space="preserve">5</w:t>
      </w:r>
      <w:r>
        <w:t xml:space="preserve">.) In addition to the two objective functions, each scenario has been assigned an infrastructure feasibility category (Tables</w:t>
      </w:r>
      <w:r>
        <w:t xml:space="preserve"> </w:t>
      </w:r>
      <w:r>
        <w:t xml:space="preserve">4</w:t>
      </w:r>
      <w:r>
        <w:t xml:space="preserve"> </w:t>
      </w:r>
      <w:r>
        <w:t xml:space="preserve">and</w:t>
      </w:r>
      <w:r>
        <w:t xml:space="preserve"> </w:t>
      </w:r>
      <w:r>
        <w:t xml:space="preserve">6</w:t>
      </w:r>
      <w:r>
        <w:t xml:space="preserve">).</w:t>
      </w:r>
    </w:p>
    <w:p>
      <w:pPr>
        <w:pStyle w:val="TableCaption"/>
      </w:pPr>
      <w:bookmarkStart w:id="58" w:name="tab:HBUnitsLocationTab"/>
      <w:bookmarkEnd w:id="58"/>
      <w:r>
        <w:t xml:space="preserve">Table 5:</w:t>
      </w:r>
      <w:r>
        <w:t xml:space="preserve"> </w:t>
      </w:r>
      <w:r>
        <w:t xml:space="preserve">Units of Hydrologic Benefit (HB) function and location in document.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60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coho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Chinook</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juvenile 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Highlighted in text and Supp. 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C</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juveniles per adult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D</w:t>
            </w:r>
          </w:p>
        </w:tc>
      </w:tr>
    </w:tbl>
    <w:p>
      <w:pPr>
        <w:pStyle w:val="BodyText"/>
      </w:pPr>
      <w:r>
        <w:t xml:space="preserve">In the basecase scenario, the 35-year mean annual ET volume is 118 million m</w:t>
      </w:r>
      <w:r>
        <w:rPr>
          <w:vertAlign w:val="superscript"/>
        </w:rPr>
        <w:t xml:space="preserve">3</w:t>
      </w:r>
      <w:r>
        <w:t xml:space="preserve"> </w:t>
      </w:r>
      <w:r>
        <w:t xml:space="preserve">of water, and the 35-year mean of annual HB values is 7812 coho spf-equivalent (Table</w:t>
      </w:r>
      <w:r>
        <w:t xml:space="preserve"> </w:t>
      </w:r>
      <w:r>
        <w:t xml:space="preserve">6</w:t>
      </w:r>
      <w:r>
        <w:t xml:space="preserve">). Annual ET volume is relatively stable over the model period of water years 1991-2025, while about annual HB values are more variable, with about 10% being high outliers (Figure</w:t>
      </w:r>
      <w:r>
        <w:t xml:space="preserve"> </w:t>
      </w:r>
      <w:r>
        <w:t xml:space="preserve">5</w:t>
      </w:r>
      <w:r>
        <w:t xml:space="preserve">). Among the 24 management scenarios, mean ET values ranged from 0 (i.e., no irrigated agriculture) to 118 million m</w:t>
      </w:r>
      <w:r>
        <w:rPr>
          <w:vertAlign w:val="superscript"/>
        </w:rPr>
        <w:t xml:space="preserve">3</w:t>
      </w:r>
      <w:r>
        <w:t xml:space="preserve"> </w:t>
      </w:r>
      <w:r>
        <w:t xml:space="preserve">of water (i.e., no reduction from basecase crop ET), while HB values ranged from 7696 to 8446 coho smolt-equivalent.</w:t>
      </w:r>
    </w:p>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5: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Supplement A." title="" id="60" name="Picture"/>
            <a:graphic>
              <a:graphicData uri="http://schemas.openxmlformats.org/drawingml/2006/picture">
                <pic:pic>
                  <pic:nvPicPr>
                    <pic:cNvPr descr="Graphics%20and%20Supplements/Figure%204.png" id="61" name="Picture"/>
                    <pic:cNvPicPr>
                      <a:picLocks noChangeArrowheads="1" noChangeAspect="1"/>
                    </pic:cNvPicPr>
                  </pic:nvPicPr>
                  <pic:blipFill>
                    <a:blip r:embed="rId59"/>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62" w:name="fig:benefitByWYMainText"/>
      <w:bookmarkEnd w:id="62"/>
      <w:r>
        <w:t xml:space="preserve">Figure 5:</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Supplement A.</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64" name="Picture"/>
            <a:graphic>
              <a:graphicData uri="http://schemas.openxmlformats.org/drawingml/2006/picture">
                <pic:pic>
                  <pic:nvPicPr>
                    <pic:cNvPr descr="Graphics%20and%20Supplements/Figure%205.png" id="65" name="Picture"/>
                    <pic:cNvPicPr>
                      <a:picLocks noChangeArrowheads="1" noChangeAspect="1"/>
                    </pic:cNvPicPr>
                  </pic:nvPicPr>
                  <pic:blipFill>
                    <a:blip r:embed="rId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6" w:name="fig:farmerFishTradeoffFigureMainText"/>
      <w:bookmarkEnd w:id="66"/>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bookmarkStart w:id="67" w:name="X7284884376ee93470eb63c20106f06dfdc86233"/>
    <w:p>
      <w:pPr>
        <w:pStyle w:val="Heading2"/>
      </w:pPr>
      <w:r>
        <w:rPr>
          <w:rStyle w:val="SectionNumber"/>
        </w:rPr>
        <w:t xml:space="preserve">4.1</w:t>
      </w:r>
      <w:r>
        <w:tab/>
      </w:r>
      <w:r>
        <w:t xml:space="preserve">Hydrologic Benefit function basis: selected functional flows</w:t>
      </w:r>
    </w:p>
    <w:p>
      <w:pPr>
        <w:pStyle w:val="FirstParagraph"/>
      </w:pPr>
      <w:r>
        <w:t xml:space="preserve">As stated above, the environmental objective (HB function) results can be interpreted as a prediction of the 40% to 60% of variation in coho smolt production that is empirically</w:t>
      </w:r>
      <w:r>
        <w:t xml:space="preserve"> </w:t>
      </w:r>
      <w:r>
        <w:rPr>
          <w:i/>
          <w:iCs/>
        </w:rPr>
        <w:t xml:space="preserve">associated with</w:t>
      </w:r>
      <w:r>
        <w:t xml:space="preserve"> </w:t>
      </w:r>
      <w:r>
        <w:t xml:space="preserve">and appears to be</w:t>
      </w:r>
      <w:r>
        <w:t xml:space="preserve"> </w:t>
      </w:r>
      <w:r>
        <w:rPr>
          <w:i/>
          <w:iCs/>
        </w:rPr>
        <w:t xml:space="preserve">supported by</w:t>
      </w:r>
      <w:r>
        <w:t xml:space="preserve"> </w:t>
      </w:r>
      <w:r>
        <w:t xml:space="preserve">hydrologic factors; correspondingly, it is assumed that the remaining variation in observed smolt abundance is due to non-hydrologic factors like water quality or population dynamics</w:t>
      </w:r>
      <w:r>
        <w:t xml:space="preserve"> </w:t>
      </w:r>
      <w:r>
        <w:t xml:space="preserve">(Kouba et al. 2025)</w:t>
      </w:r>
      <w:r>
        <w:t xml:space="preserve">.</w:t>
      </w:r>
    </w:p>
    <w:p>
      <w:pPr>
        <w:pStyle w:val="BodyText"/>
      </w:pPr>
      <w:r>
        <w:t xml:space="preserve">Because functional flow values were standardized (Z-score transformed) before the statistical modeling exercise, absolute values of HB function coefficients for flow metrics can be interpreted as relative degree of influence on the relevant ecological outcome (Table</w:t>
      </w:r>
      <w:r>
        <w:t xml:space="preserve"> </w:t>
      </w:r>
      <w:r>
        <w:t xml:space="preserve">3</w:t>
      </w:r>
      <w:r>
        <w:t xml:space="preserve">; see Supplement A for tabulated, untransformed functional flow values).</w:t>
      </w:r>
    </w:p>
    <w:p>
      <w:pPr>
        <w:pStyle w:val="BodyText"/>
      </w:pPr>
      <w:r>
        <w:t xml:space="preserve">The HB formulations represent four ways of answering the question,</w:t>
      </w:r>
      <w:r>
        <w:t xml:space="preserve"> </w:t>
      </w:r>
      <w:r>
        <w:t xml:space="preserve">“how good was this water year for this species, and which flows matter?”</w:t>
      </w:r>
      <w:r>
        <w:t xml:space="preserve"> </w:t>
      </w:r>
      <w:r>
        <w:t xml:space="preserve">For coho, in both absolute and spawner-normalized smolt units, the high-importance flows were fall-to-wet season transition metrics; for units of absolute smolt abundance, the spring recession rate was also important (Supplements A and B, Table 1). For Chinook, in both absolute and spawner-normalized smolt units, the wet season baseflow median magnitude was of greatest importance; for normalized smolt units, maximum spring recession rate was also selected (Supplements C and D, Table 1). Effectively, in the context of LASSO regression, the flows that explain the most variation in smolt production (without overfitting, as determined by k-fold validation) were related to, for coho, the timing of wet season onset and the magnitude of changes in fall flows; and for Chinook, the wet season baseflow.</w:t>
      </w:r>
    </w:p>
    <w:bookmarkEnd w:id="67"/>
    <w:bookmarkStart w:id="68" w:name="objective-function-results-over-time"/>
    <w:p>
      <w:pPr>
        <w:pStyle w:val="Heading2"/>
      </w:pPr>
      <w:r>
        <w:rPr>
          <w:rStyle w:val="SectionNumber"/>
        </w:rPr>
        <w:t xml:space="preserve">4.2</w:t>
      </w:r>
      <w:r>
        <w:tab/>
      </w:r>
      <w:r>
        <w:t xml:space="preserve">Objective function results over time</w:t>
      </w:r>
    </w:p>
    <w:p>
      <w:pPr>
        <w:pStyle w:val="FirstParagraph"/>
      </w:pPr>
      <w:r>
        <w:t xml:space="preserve">Management scenarios tended to have a uniform effect on total ET over time, shifting it by about the same amount each year relative to basecase (Figure</w:t>
      </w:r>
      <w:r>
        <w:t xml:space="preserve"> </w:t>
      </w:r>
      <w:r>
        <w:t xml:space="preserve">5</w:t>
      </w:r>
      <w:r>
        <w:t xml:space="preserve">). Conversely, in some years, many scenarios seem to have very little effect on HB function, though this is variable over time, regardless of which HB units are used (Figure</w:t>
      </w:r>
      <w:r>
        <w:t xml:space="preserve"> </w:t>
      </w:r>
      <w:r>
        <w:t xml:space="preserve">5</w:t>
      </w:r>
      <w:r>
        <w:t xml:space="preserve"> </w:t>
      </w:r>
      <w:r>
        <w:t xml:space="preserve">and Supplements A-D, Figure 1).</w:t>
      </w:r>
    </w:p>
    <w:p>
      <w:pPr>
        <w:pStyle w:val="BodyText"/>
      </w:pPr>
      <w:r>
        <w:t xml:space="preserve">The small effect of some scenarios on HB values implies that these scenarios do not alter the HB function component flows relative to basecase (Supplements A-D, Figure 2). For coho juvenile abundance, in the basecase scenario, it seems that when the HB function predicts a particularly good year (i.e., &gt; 20,000 coho smolt-equiv.), it is driven by a large magnitude fall flow difference, or fall pulse. Conversely, in the years where the HB function predicts a particularly bad year (i.e., ’95, ’98, ’04), it is driven by a rapid first spring recession rate (Supplement A, Figure 2). Conversely, for coho juveniles per spawner (basecase), both good and bad years seem to be largely driven by wet season onset timing (Supplement B, Figure 2).</w:t>
      </w:r>
    </w:p>
    <w:p>
      <w:pPr>
        <w:pStyle w:val="BodyText"/>
      </w:pPr>
      <w:r>
        <w:t xml:space="preserve">In both cases for coho, second fall flow difference makes minor contributions (Supplements A and B, Figure 2), and is assigned a negative coefficient (Table</w:t>
      </w:r>
      <w:r>
        <w:t xml:space="preserve"> </w:t>
      </w:r>
      <w:r>
        <w:t xml:space="preserve">3</w:t>
      </w:r>
      <w:r>
        <w:t xml:space="preserve">). This suggests higher flows in the second fall (for juvenile overwintering coho) are consistently associated with lower smolt production, but other factors such as first fall flow difference and wet season timing seem to exert greater overall influence.</w:t>
      </w:r>
    </w:p>
    <w:p>
      <w:pPr>
        <w:pStyle w:val="BodyText"/>
      </w:pPr>
      <w:r>
        <w:t xml:space="preserve">For Chinook, predictions of both high and low smolt production are driven by wet season baseflow magnitude (with a small contribution from maximum spring recession rate for juveniles per adult): high wet season flows are associated with lower smolt abundance (Supplements C and D, Figure 2).</w:t>
      </w:r>
    </w:p>
    <w:bookmarkEnd w:id="68"/>
    <w:bookmarkStart w:id="77" w:name="X90e3ce3c48e7ea41c56b26fe6b0606cf118095a"/>
    <w:p>
      <w:pPr>
        <w:pStyle w:val="Heading2"/>
      </w:pPr>
      <w:r>
        <w:rPr>
          <w:rStyle w:val="SectionNumber"/>
        </w:rPr>
        <w:t xml:space="preserve">4.3</w:t>
      </w:r>
      <w:r>
        <w:tab/>
      </w:r>
      <w:r>
        <w:t xml:space="preserve">Environmental-agricultural tradeoffs within and scenario categories</w:t>
      </w:r>
    </w:p>
    <w:p>
      <w:pPr>
        <w:pStyle w:val="FirstParagraph"/>
      </w:pPr>
      <w:r>
        <w:t xml:space="preserve">The 35-year mean values of HB and ET can be used to map all scenarios on one two-dimensional landscape, which is useful for evaluating trade-offs between objectives (Figure</w:t>
      </w:r>
      <w:r>
        <w:t xml:space="preserve"> </w:t>
      </w:r>
      <w:r>
        <w:t xml:space="preserve">6</w:t>
      </w:r>
      <w:r>
        <w:t xml:space="preserve">).</w:t>
      </w:r>
    </w:p>
    <w:p>
      <w:pPr>
        <w:pStyle w:val="BodyText"/>
      </w:pPr>
      <w:r>
        <w:t xml:space="preserve">In units of coho smolt abundance, three management scenarios actually produce poorer fish outcomes than basecase, but the majority of scenarios produce more favorable flows for smolt production (Figure</w:t>
      </w:r>
      <w:r>
        <w:t xml:space="preserve"> </w:t>
      </w:r>
      <w:r>
        <w:t xml:space="preserve">6</w:t>
      </w:r>
      <w:r>
        <w:t xml:space="preserve">). We expect that this is due to scenario impacts on the largest single component of the HB function for coho smolt abundance, first fall flow difference or</w:t>
      </w:r>
      <w:r>
        <w:t xml:space="preserve"> </w:t>
      </w:r>
      <w:r>
        <w:rPr>
          <w:rStyle w:val="VerbatimChar"/>
        </w:rPr>
        <w:t xml:space="preserve">f1_FA_Dif_num</w:t>
      </w:r>
      <w:r>
        <w:t xml:space="preserve">. This metric is calculated as the difference between dry season median discharge and peak fall pulse discharge; in years with no detectable fall pulse flow, this value is set to 0</w:t>
      </w:r>
      <w:r>
        <w:t xml:space="preserve"> </w:t>
      </w:r>
      <w:r>
        <w:t xml:space="preserve">(Carpenter 2024; Baruch et al. 2024)</w:t>
      </w:r>
      <w:r>
        <w:t xml:space="preserve"> </w:t>
      </w:r>
      <w:r>
        <w:t xml:space="preserve">(see also Supplement A, Figure 5 and Table 3). The high degree of correlation between this flow and coho smolt abundance is corroborated by the species’ natural history: fall run timing is somewhat more flexible for coho than Chinook, and coho seem to respond strongly to pulse flows, possibly due to olfactory signals from their natal streams [</w:t>
      </w:r>
      <w:r>
        <w:rPr>
          <w:b/>
          <w:bCs/>
        </w:rPr>
        <w:t xml:space="preserve">CITE</w:t>
      </w:r>
      <w:r>
        <w:t xml:space="preserve">]. Because changes in water use can affect both the dry season minimum and the magnitude of a fall pulse flow, management scenarios may have positive or negative effect on this functional flow, which in turn will influence the total calculated HB value.</w:t>
      </w:r>
      <w:r>
        <w:t xml:space="preserve"> </w:t>
      </w:r>
    </w:p>
    <w:p>
      <w:pPr>
        <w:pStyle w:val="Compact"/>
        <w:numPr>
          <w:ilvl w:val="0"/>
          <w:numId w:val="1007"/>
        </w:numPr>
      </w:pPr>
      <w:r>
        <w:t xml:space="preserve">Chinook plots of fish vs farmer tradeoffs are effectively meaningless, since wet season median flows are largely beyond human control in this undammed watershed. (</w:t>
      </w:r>
      <w:r>
        <w:rPr>
          <w:b/>
          <w:bCs/>
        </w:rPr>
        <w:t xml:space="preserve">for discussion?</w:t>
      </w:r>
      <w:r>
        <w:t xml:space="preserve">)</w:t>
      </w:r>
    </w:p>
    <w:bookmarkStart w:id="69" w:name="reservoir"/>
    <w:p>
      <w:pPr>
        <w:pStyle w:val="Heading3"/>
      </w:pPr>
      <w:r>
        <w:rPr>
          <w:rStyle w:val="SectionNumber"/>
        </w:rPr>
        <w:t xml:space="preserve">4.3.1</w:t>
      </w:r>
      <w:r>
        <w:tab/>
      </w:r>
      <w:r>
        <w:t xml:space="preserve">Reservoir</w:t>
      </w:r>
    </w:p>
    <w:p>
      <w:pPr>
        <w:pStyle w:val="FirstParagraph"/>
      </w:pPr>
      <w:r>
        <w:t xml:space="preserve">Reservoir scenarios simulate how flows would change if a small reservoir (9 thousand acre-feet, or 11.1 10</w:t>
      </w:r>
      <w:r>
        <w:rPr>
          <w:vertAlign w:val="superscript"/>
        </w:rPr>
        <w:t xml:space="preserve">6</w:t>
      </w:r>
      <w:r>
        <w:t xml:space="preserve"> </w:t>
      </w:r>
      <w:r>
        <w:t xml:space="preserve">m</w:t>
      </w:r>
      <w:r>
        <w:rPr>
          <w:vertAlign w:val="superscript"/>
        </w:rPr>
        <w:t xml:space="preserve">3</w:t>
      </w:r>
      <w:r>
        <w:t xml:space="preserve">), located in the headwaters on one of 3 tributaries, were operated with the following objectives: retain winter flow until fill (Dec-Mar), pass along growing season flow (Apr-Aug), and supplement dry season flow (Sep-Nov).</w:t>
      </w:r>
    </w:p>
    <w:p>
      <w:pPr>
        <w:pStyle w:val="BodyText"/>
      </w:pPr>
      <w:r>
        <w:t xml:space="preserve">Somewhat contrary to expectations, reservoir scenarios don’t help coho much, relative to other management options: small reservoirs may not have capacity to add fall flow during dry years when baseflows are lowest (Figure</w:t>
      </w:r>
      <w:r>
        <w:t xml:space="preserve"> </w:t>
      </w:r>
      <w:r>
        <w:t xml:space="preserve">6</w:t>
      </w:r>
      <w:r>
        <w:t xml:space="preserve"> </w:t>
      </w:r>
      <w:r>
        <w:t xml:space="preserve">and Supplements A and B, Figure 3). Surprisingly, reservoir scenarios seem to help Chinook significantly more than coho: even a small reservoir on one tributary appears to dampen wet season stormflows enough to benefit Chinook (Supplements C and D, Figure 3).</w:t>
      </w:r>
    </w:p>
    <w:bookmarkEnd w:id="69"/>
    <w:bookmarkStart w:id="70" w:name="enhanced-recharge"/>
    <w:p>
      <w:pPr>
        <w:pStyle w:val="Heading3"/>
      </w:pPr>
      <w:r>
        <w:rPr>
          <w:rStyle w:val="SectionNumber"/>
        </w:rPr>
        <w:t xml:space="preserve">4.3.2</w:t>
      </w:r>
      <w:r>
        <w:tab/>
      </w:r>
      <w:r>
        <w:t xml:space="preserve">Enhanced Recharge</w:t>
      </w:r>
    </w:p>
    <w:p>
      <w:pPr>
        <w:pStyle w:val="FirstParagraph"/>
      </w:pPr>
      <w:r>
        <w:t xml:space="preserve">The Enhanced Recharge scenario simulates a Managed Aquifer Recharge (MAR) program diverting</w:t>
      </w:r>
      <w:r>
        <w:t xml:space="preserve"> </w:t>
      </w:r>
      <w:r>
        <w:rPr>
          <w:b/>
          <w:bCs/>
        </w:rPr>
        <w:t xml:space="preserve">XXX</w:t>
      </w:r>
      <w:r>
        <w:t xml:space="preserve"> </w:t>
      </w:r>
      <w:r>
        <w:t xml:space="preserve">maximum total water volume from the Scott River, Jan-March, and applying it as winter recharge on</w:t>
      </w:r>
      <w:r>
        <w:t xml:space="preserve"> </w:t>
      </w:r>
      <w:r>
        <w:rPr>
          <w:b/>
          <w:bCs/>
        </w:rPr>
        <w:t xml:space="preserve">X</w:t>
      </w:r>
      <w:r>
        <w:t xml:space="preserve"> </w:t>
      </w:r>
      <w:r>
        <w:t xml:space="preserve">fields covering</w:t>
      </w:r>
      <w:r>
        <w:t xml:space="preserve"> </w:t>
      </w:r>
      <w:r>
        <w:rPr>
          <w:b/>
          <w:bCs/>
        </w:rPr>
        <w:t xml:space="preserve">XXX</w:t>
      </w:r>
      <w:r>
        <w:t xml:space="preserve"> </w:t>
      </w:r>
      <w:r>
        <w:t xml:space="preserve">acres (</w:t>
      </w:r>
      <w:r>
        <w:rPr>
          <w:b/>
          <w:bCs/>
        </w:rPr>
        <w:t xml:space="preserve">XXXX</w:t>
      </w:r>
      <w:r>
        <w:t xml:space="preserve"> </w:t>
      </w:r>
      <w:r>
        <w:t xml:space="preserve">m</w:t>
      </w:r>
      <w:r>
        <w:rPr>
          <w:vertAlign w:val="superscript"/>
        </w:rPr>
        <w:t xml:space="preserve">2</w:t>
      </w:r>
      <w:r>
        <w:t xml:space="preserve">; see</w:t>
      </w:r>
      <w:r>
        <w:t xml:space="preserve"> </w:t>
      </w:r>
      <w:r>
        <w:rPr>
          <w:b/>
          <w:bCs/>
        </w:rPr>
        <w:t xml:space="preserve">Supplement E</w:t>
      </w:r>
      <w:r>
        <w:t xml:space="preserve"> </w:t>
      </w:r>
      <w:r>
        <w:t xml:space="preserve">for map of recharge areas).</w:t>
      </w:r>
    </w:p>
    <w:p>
      <w:pPr>
        <w:pStyle w:val="BodyText"/>
      </w:pPr>
      <w:r>
        <w:t xml:space="preserve">In all four HB formulations, Enhanced Recharge produces virtually no change in either fish benefit or farmer cost relative to basecase (Figure</w:t>
      </w:r>
      <w:r>
        <w:t xml:space="preserve"> </w:t>
      </w:r>
      <w:r>
        <w:t xml:space="preserve">6</w:t>
      </w:r>
      <w:r>
        <w:t xml:space="preserve"> </w:t>
      </w:r>
      <w:r>
        <w:t xml:space="preserve">and Supplements A-D, Figure 3). The lack of farmer cost is by design; this management strategy is intended to avoid any impacts on growing season operations. But the lack of any fish benefit suggests that current maximum permitted surface water diversions are insufficient to improve flow conditions for fish.</w:t>
      </w:r>
      <w:r>
        <w:t xml:space="preserve"> </w:t>
      </w:r>
      <w:r>
        <w:rPr>
          <w:b/>
          <w:bCs/>
        </w:rPr>
        <w:t xml:space="preserve">for discussion? &gt;</w:t>
      </w:r>
      <w:r>
        <w:t xml:space="preserve"> </w:t>
      </w:r>
      <w:r>
        <w:t xml:space="preserve">The popularity of this management action points to a need, in Scott Valley, California, and semi-arid agricultural regions more broadly, regarding effective spatial, timing, and water volume elements of an effective MAR program.</w:t>
      </w:r>
    </w:p>
    <w:bookmarkEnd w:id="70"/>
    <w:bookmarkStart w:id="71" w:name="alfalfa-irrigation"/>
    <w:p>
      <w:pPr>
        <w:pStyle w:val="Heading3"/>
      </w:pPr>
      <w:r>
        <w:rPr>
          <w:rStyle w:val="SectionNumber"/>
        </w:rPr>
        <w:t xml:space="preserve">4.3.3</w:t>
      </w:r>
      <w:r>
        <w:tab/>
      </w:r>
      <w:r>
        <w:t xml:space="preserve">Alfalfa Irrigation</w:t>
      </w:r>
    </w:p>
    <w:p>
      <w:pPr>
        <w:pStyle w:val="FirstParagraph"/>
      </w:pPr>
      <w:r>
        <w:t xml:space="preserve">Early cessation of irrigation on alfalfa fields effectively means that growers forgo the harvest of one or more hay cuttings. The irrigation cutoff dates for alfala in this category are Aug 15 (closest to basecase), July 31, and July 15.</w:t>
      </w:r>
    </w:p>
    <w:p>
      <w:pPr>
        <w:pStyle w:val="BodyText"/>
      </w:pPr>
      <w:r>
        <w:rPr>
          <w:b/>
          <w:bCs/>
        </w:rPr>
        <w:t xml:space="preserve">CURRENTLY HERE.</w:t>
      </w:r>
      <w:r>
        <w:t xml:space="preserve"> </w:t>
      </w:r>
      <w:r>
        <w:t xml:space="preserve">iNTERPRET Alfalfa, Irr Curt, Crop Change, Irr Eff, and Low Flow Div. Also NatVeg high and low.</w:t>
      </w:r>
    </w:p>
    <w:bookmarkEnd w:id="71"/>
    <w:bookmarkStart w:id="72" w:name="irrigation-curtailment"/>
    <w:p>
      <w:pPr>
        <w:pStyle w:val="Heading3"/>
      </w:pPr>
      <w:r>
        <w:rPr>
          <w:rStyle w:val="SectionNumber"/>
        </w:rPr>
        <w:t xml:space="preserve">4.3.4</w:t>
      </w:r>
      <w:r>
        <w:tab/>
      </w:r>
      <w:r>
        <w:t xml:space="preserve">Irrigation Curtailment</w:t>
      </w:r>
    </w:p>
    <w:bookmarkEnd w:id="72"/>
    <w:bookmarkStart w:id="73" w:name="crop-change"/>
    <w:p>
      <w:pPr>
        <w:pStyle w:val="Heading3"/>
      </w:pPr>
      <w:r>
        <w:rPr>
          <w:rStyle w:val="SectionNumber"/>
        </w:rPr>
        <w:t xml:space="preserve">4.3.5</w:t>
      </w:r>
      <w:r>
        <w:tab/>
      </w:r>
      <w:r>
        <w:t xml:space="preserve">Crop Change</w:t>
      </w:r>
    </w:p>
    <w:p>
      <w:pPr>
        <w:pStyle w:val="FirstParagraph"/>
      </w:pPr>
      <w:r>
        <w:t xml:space="preserve">The ET values in the Crop Change category are challenging to compare directly to those in other categories, since the</w:t>
      </w:r>
    </w:p>
    <w:p>
      <w:pPr>
        <w:pStyle w:val="BodyText"/>
      </w:pPr>
      <w:r>
        <w:t xml:space="preserve">; a change in ET in this scenario category may not correspond to a similar change in crop value if commodity prices for grain produce greater economic benefit than for alfalfa.</w:t>
      </w:r>
    </w:p>
    <w:bookmarkEnd w:id="73"/>
    <w:bookmarkStart w:id="74" w:name="irrigation-efficiency"/>
    <w:p>
      <w:pPr>
        <w:pStyle w:val="Heading3"/>
      </w:pPr>
      <w:r>
        <w:rPr>
          <w:rStyle w:val="SectionNumber"/>
        </w:rPr>
        <w:t xml:space="preserve">4.3.6</w:t>
      </w:r>
      <w:r>
        <w:tab/>
      </w:r>
      <w:r>
        <w:t xml:space="preserve">Irrigation Efficiency</w:t>
      </w:r>
    </w:p>
    <w:p>
      <w:pPr>
        <w:pStyle w:val="FirstParagraph"/>
      </w:pPr>
      <w:r>
        <w:t xml:space="preserve">Irrigation efficiency seems to have a minimal effect on crop ET and a small positive or negative effect on environmental benefit;</w:t>
      </w:r>
    </w:p>
    <w:bookmarkEnd w:id="74"/>
    <w:bookmarkStart w:id="75" w:name="low-flow-diversion-limits"/>
    <w:p>
      <w:pPr>
        <w:pStyle w:val="Heading3"/>
      </w:pPr>
      <w:r>
        <w:rPr>
          <w:rStyle w:val="SectionNumber"/>
        </w:rPr>
        <w:t xml:space="preserve">4.3.7</w:t>
      </w:r>
      <w:r>
        <w:tab/>
      </w:r>
      <w:r>
        <w:t xml:space="preserve">Low Flow Diversion Limits</w:t>
      </w:r>
    </w:p>
    <w:p>
      <w:pPr>
        <w:pStyle w:val="FirstParagraph"/>
      </w:pPr>
      <w:r>
        <w:t xml:space="preserve">In the basecase, surface water diversions to meet crop water demand are permitted until the stream volume is totally depleted (which is a common occurrence in some reaches of this ephemeral stream system); conversely, in this scenario, surface water was not diverted if flow fell below minimum tributary flowrates corresponding to the CDFW emergency drought flow regime</w:t>
      </w:r>
      <w:r>
        <w:t xml:space="preserve"> </w:t>
      </w:r>
      <w:r>
        <w:t xml:space="preserve">(State Water Resources Control Board 2024a)</w:t>
      </w:r>
      <w:r>
        <w:t xml:space="preserve">.</w:t>
      </w:r>
    </w:p>
    <w:bookmarkEnd w:id="75"/>
    <w:bookmarkStart w:id="76" w:name="native-vegetation"/>
    <w:p>
      <w:pPr>
        <w:pStyle w:val="Heading3"/>
      </w:pPr>
      <w:r>
        <w:rPr>
          <w:rStyle w:val="SectionNumber"/>
        </w:rPr>
        <w:t xml:space="preserve">4.3.8</w:t>
      </w:r>
      <w:r>
        <w:tab/>
      </w:r>
      <w:r>
        <w:t xml:space="preserve">Native Vegetation</w:t>
      </w:r>
    </w:p>
    <w:p>
      <w:pPr>
        <w:pStyle w:val="Compact"/>
        <w:numPr>
          <w:ilvl w:val="0"/>
          <w:numId w:val="1008"/>
        </w:numPr>
      </w:pPr>
      <w:r>
        <w:t xml:space="preserve">two vegetation types simulated</w:t>
      </w:r>
    </w:p>
    <w:p>
      <w:pPr>
        <w:pStyle w:val="Compact"/>
        <w:numPr>
          <w:ilvl w:val="0"/>
          <w:numId w:val="1008"/>
        </w:numPr>
      </w:pPr>
      <w:r>
        <w:t xml:space="preserve">high ET obviously increases consumptive use in the valley</w:t>
      </w:r>
    </w:p>
    <w:bookmarkEnd w:id="76"/>
    <w:bookmarkEnd w:id="77"/>
    <w:bookmarkStart w:id="78" w:name="Xb1d6363a0142b3ddbad42495f6318fce999d2e5"/>
    <w:p>
      <w:pPr>
        <w:pStyle w:val="Heading2"/>
      </w:pPr>
      <w:r>
        <w:rPr>
          <w:rStyle w:val="SectionNumber"/>
        </w:rPr>
        <w:t xml:space="preserve">4.4</w:t>
      </w:r>
      <w:r>
        <w:tab/>
      </w:r>
      <w:r>
        <w:t xml:space="preserve">Trade-off efficiency and considering infrastructure cost</w:t>
      </w:r>
    </w:p>
    <w:p>
      <w:pPr>
        <w:pStyle w:val="FirstParagraph"/>
      </w:pPr>
      <w:r>
        <w:t xml:space="preserve">(Figure</w:t>
      </w:r>
      <w:r>
        <w:t xml:space="preserve"> </w:t>
      </w:r>
      <w:r>
        <w:t xml:space="preserve">7</w:t>
      </w:r>
    </w:p>
    <w:p>
      <w:pPr>
        <w:pStyle w:val="BodyText"/>
      </w:pPr>
      <w:r>
        <w:t xml:space="preserve">3-D results figure (Figure</w:t>
      </w:r>
      <w:r>
        <w:t xml:space="preserve"> </w:t>
      </w:r>
      <w:r>
        <w:t xml:space="preserve">8</w:t>
      </w:r>
    </w:p>
    <w:p>
      <w:pPr>
        <w:pStyle w:val="BodyText"/>
      </w:pPr>
      <w:r>
        <w:t xml:space="preserve">For coho, trade-off curves in every category.</w:t>
      </w:r>
    </w:p>
    <w:p>
      <w:pPr>
        <w:pStyle w:val="BodyText"/>
      </w:pPr>
      <w:r>
        <w:rPr>
          <w:b/>
          <w:bCs/>
        </w:rPr>
        <w:t xml:space="preserve">begin old result text</w:t>
      </w:r>
    </w:p>
    <w:bookmarkEnd w:id="78"/>
    <w:bookmarkStart w:id="80" w:name="X7919b09686293416b4bcb59483f48ae87a57064"/>
    <w:p>
      <w:pPr>
        <w:pStyle w:val="Heading2"/>
      </w:pPr>
      <w:r>
        <w:rPr>
          <w:rStyle w:val="SectionNumber"/>
        </w:rPr>
        <w:t xml:space="preserve">4.5</w:t>
      </w:r>
      <w:r>
        <w:tab/>
      </w:r>
      <w:r>
        <w:t xml:space="preserve">Environmental and agricultural objective function values</w:t>
      </w:r>
    </w:p>
    <w:p>
      <w:pPr>
        <w:pStyle w:val="FirstParagraph"/>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w:t>
      </w:r>
      <w:r>
        <w:t xml:space="preserve">). The scenarios in this group all require some degree of infrastructure investment, and they have a minimal impact on crop ET: the mean ET values of scenarios in this cluster are 118 to 118 million m</w:t>
      </w:r>
      <w:r>
        <w:rPr>
          <w:vertAlign w:val="superscript"/>
        </w:rPr>
        <w:t xml:space="preserve">3</w:t>
      </w:r>
      <w:r>
        <w:t xml:space="preserve">, or 0 percent less to 0.2 percent more than basecase. Their mean improvement in HB values over the basecase ranges from -1 to 105 coho spf-equivalent.</w:t>
      </w:r>
    </w:p>
    <w:p>
      <w:pPr>
        <w:pStyle w:val="BodyText"/>
      </w:pPr>
      <w:r>
        <w:t xml:space="preserve">The mean ET volumes of the two Crop Change scenarios fall below those in the aforementioned cluster, with and million m</w:t>
      </w:r>
      <w:r>
        <w:rPr>
          <w:vertAlign w:val="superscript"/>
        </w:rPr>
        <w:t xml:space="preserve">3</w:t>
      </w:r>
      <w:r>
        <w:t xml:space="preserve">, while HB values are and respectively (Figure</w:t>
      </w:r>
      <w:r>
        <w:t xml:space="preserve"> </w:t>
      </w:r>
      <w:r>
        <w:t xml:space="preserve">??</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“farmer benefit”</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(SWRCB 2021)</w:t>
      </w:r>
      <w:r>
        <w:t xml:space="preserve">. The mean ET values of scenarios in these two categories are 103 to 117 million m</w:t>
      </w:r>
      <w:r>
        <w:rPr>
          <w:vertAlign w:val="superscript"/>
        </w:rPr>
        <w:t xml:space="preserve">3</w:t>
      </w:r>
      <w:r>
        <w:t xml:space="preserve">, or 13 to 1 percent less than basecase; HB gains over basecase are -116 to 384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4 million m</w:t>
      </w:r>
      <w:r>
        <w:rPr>
          <w:vertAlign w:val="superscript"/>
        </w:rPr>
        <w:t xml:space="preserve">3</w:t>
      </w:r>
      <w:r>
        <w:t xml:space="preserve"> </w:t>
      </w:r>
      <w:r>
        <w:t xml:space="preserve">(~3%) less than basecase, while the mean HB value is 15 coho spf-equivalent greater than basecase.</w:t>
      </w:r>
    </w:p>
    <w:p>
      <w:pPr>
        <w:pStyle w:val="BodyText"/>
      </w:pPr>
      <w:r>
        <w:t xml:space="preserve">The remaining two categories, abbreviated as</w:t>
      </w:r>
      <w:r>
        <w:t xml:space="preserve"> </w:t>
      </w:r>
      <w:r>
        <w:t xml:space="preserve">“NatVeg”</w:t>
      </w:r>
      <w:r>
        <w:t xml:space="preserve"> </w:t>
      </w:r>
      <w:r>
        <w:t xml:space="preserve">and</w:t>
      </w:r>
      <w:r>
        <w:t xml:space="preserve"> </w:t>
      </w:r>
      <w:r>
        <w:t xml:space="preserve">“NatVegET”</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“pre-historic”</w:t>
      </w:r>
      <w:r>
        <w:t xml:space="preserve">,</w:t>
      </w:r>
      <w:r>
        <w:t xml:space="preserve"> </w:t>
      </w:r>
      <w:r>
        <w:t xml:space="preserve">“unimpaired”</w:t>
      </w:r>
      <w:r>
        <w:t xml:space="preserve">, or</w:t>
      </w:r>
      <w:r>
        <w:t xml:space="preserve"> </w:t>
      </w:r>
      <w:r>
        <w:t xml:space="preserve">“conservation”</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w:t>
      </w:r>
      <w:r>
        <w:t xml:space="preserve">).</w:t>
      </w:r>
    </w:p>
    <w:p>
      <w:pPr>
        <w:pStyle w:val="BodyText"/>
      </w:pPr>
      <w:r>
        <w:t xml:space="preserve">The key geographic feature in the NatVeg and NatVegET scenarios is the</w:t>
      </w:r>
      <w:r>
        <w:t xml:space="preserve"> </w:t>
      </w:r>
      <w:r>
        <w:t xml:space="preserve">“Interconnected Zone”</w:t>
      </w:r>
      <w:r>
        <w:t xml:space="preserve"> </w:t>
      </w:r>
      <w:r>
        <w:t xml:space="preserve">in the 1980 Scott Valley surface water adjudication</w:t>
      </w:r>
      <w:r>
        <w:t xml:space="preserve"> </w:t>
      </w:r>
      <w:r>
        <w:t xml:space="preserve">(California State Water Resources Control Board 1980)</w:t>
      </w:r>
      <w:r>
        <w:t xml:space="preserve">, referred to here as the</w:t>
      </w:r>
      <w:r>
        <w:t xml:space="preserve"> </w:t>
      </w:r>
      <w:r>
        <w:t xml:space="preserve">“adjudicated zone”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TableCaption"/>
      </w:pPr>
      <w:bookmarkStart w:id="79" w:name="tab:scenarioResultsTabMainText"/>
      <w:bookmarkEnd w:id="79"/>
      <w:r>
        <w:t xml:space="preserve">Table 6:</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bookmarkEnd w:id="80"/>
    <w:bookmarkStart w:id="85" w:name="X5717be130d28923be971a1bdea556d769a5487a"/>
    <w:p>
      <w:pPr>
        <w:pStyle w:val="Heading2"/>
      </w:pPr>
      <w:r>
        <w:rPr>
          <w:rStyle w:val="SectionNumber"/>
        </w:rPr>
        <w:t xml:space="preserve">4.6</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-1.97 to 0.9 when averaged over all years(Table</w:t>
      </w:r>
      <w:r>
        <w:t xml:space="preserve"> </w:t>
      </w:r>
      <w:r>
        <w:t xml:space="preserve">6</w:t>
      </w:r>
      <w:r>
        <w:t xml:space="preserve">). The range covers two orders of magnitude because the denominator of the ratio, lost ET, ranges from 0% to 100%, while the HB gains fall more narrowly between -1.5% to 8.1%.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“low-efficiency”</w:t>
      </w:r>
      <w:r>
        <w:t xml:space="preserve"> </w:t>
      </w:r>
      <w:r>
        <w:t xml:space="preserve">cluster, with all-years efficiencies of less than 1: Crop Change, Curtailment, and the two Natural Vegetation categories (Figure</w:t>
      </w:r>
      <w:r>
        <w:t xml:space="preserve"> </w:t>
      </w:r>
      <w:r>
        <w:t xml:space="preserve">??</w:t>
      </w:r>
      <w:r>
        <w:t xml:space="preserve">). These scenarios can produce substantial HB gains (ranging from 15 to 634) coho spf-equiv., but result in severe agricultural productivity reductions (0.9% to 100%). The</w:t>
      </w:r>
      <w:r>
        <w:t xml:space="preserve"> </w:t>
      </w:r>
      <w:r>
        <w:t xml:space="preserve">“high-efficiency”</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w:t>
      </w:r>
      <w:r>
        <w:t xml:space="preserve"> </w:t>
      </w:r>
      <w:r>
        <w:t xml:space="preserve">to -</w:t>
      </w:r>
      <w:r>
        <w:t xml:space="preserve"> </w:t>
      </w:r>
      <w:r>
        <w:t xml:space="preserve">million m</w:t>
      </w:r>
      <w:r>
        <w:rPr>
          <w:vertAlign w:val="superscript"/>
        </w:rPr>
        <w:t xml:space="preserve">3</w:t>
      </w:r>
      <w:r>
        <w:t xml:space="preserve">, or</w:t>
      </w:r>
      <w:r>
        <w:t xml:space="preserve"> </w:t>
      </w:r>
      <w:r>
        <w:t xml:space="preserve"> </w:t>
      </w:r>
      <w:r>
        <w:t xml:space="preserve">to -</w:t>
      </w:r>
      <w:r>
        <w:t xml:space="preserve"> </w:t>
      </w:r>
      <w:r>
        <w:t xml:space="preserve">percent of basecase crop ET).</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7: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82" name="Picture"/>
            <a:graphic>
              <a:graphicData uri="http://schemas.openxmlformats.org/drawingml/2006/picture">
                <pic:pic>
                  <pic:nvPicPr>
                    <pic:cNvPr descr="Graphics%20and%20Supplements/Figure%207.png" id="83" name="Picture"/>
                    <pic:cNvPicPr>
                      <a:picLocks noChangeArrowheads="1" noChangeAspect="1"/>
                    </pic:cNvPicPr>
                  </pic:nvPicPr>
                  <pic:blipFill>
                    <a:blip r:embed="rId8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84" w:name="fig:efficiencyMainText"/>
      <w:bookmarkEnd w:id="84"/>
      <w:r>
        <w:t xml:space="preserve">Figure 7:</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bookmarkEnd w:id="85"/>
    <w:bookmarkStart w:id="91" w:name="Xfbc83626841bb94e70b2ed42e58f7fe62bf81a6"/>
    <w:p>
      <w:pPr>
        <w:pStyle w:val="Heading2"/>
      </w:pPr>
      <w:r>
        <w:rPr>
          <w:rStyle w:val="SectionNumber"/>
        </w:rPr>
        <w:t xml:space="preserve">4.7</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6</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25 simulated scenarios.</w:t>
      </w:r>
    </w:p>
    <w:p>
      <w:pPr>
        <w:pStyle w:val="BodyText"/>
      </w:pPr>
      <w:r>
        <w:t xml:space="preserve">High-priority scenarios tend to be associated with higher average crop ET values and modest HB gains relative to basecase (Table</w:t>
      </w:r>
      <w:r>
        <w:t xml:space="preserve"> </w:t>
      </w:r>
      <w:r>
        <w:t xml:space="preserve">7</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7</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2552700" cy="2352675"/>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87" name="Picture"/>
            <a:graphic>
              <a:graphicData uri="http://schemas.openxmlformats.org/drawingml/2006/picture">
                <pic:pic>
                  <pic:nvPicPr>
                    <pic:cNvPr descr="Graphics%20and%20Supplements/hbf%20et%20infra%20plot3d_2026.02.19.jpg" id="88" name="Picture"/>
                    <pic:cNvPicPr>
                      <a:picLocks noChangeArrowheads="1" noChangeAspect="1"/>
                    </pic:cNvPicPr>
                  </pic:nvPicPr>
                  <pic:blipFill>
                    <a:blip r:embed="rId86"/>
                    <a:stretch>
                      <a:fillRect/>
                    </a:stretch>
                  </pic:blipFill>
                  <pic:spPr bwMode="auto">
                    <a:xfrm>
                      <a:off x="0" y="0"/>
                      <a:ext cx="2552700" cy="2352675"/>
                    </a:xfrm>
                    <a:prstGeom prst="rect">
                      <a:avLst/>
                    </a:prstGeom>
                    <a:noFill/>
                    <a:ln w="9525">
                      <a:noFill/>
                      <a:headEnd/>
                      <a:tailEnd/>
                    </a:ln>
                  </pic:spPr>
                </pic:pic>
              </a:graphicData>
            </a:graphic>
          </wp:inline>
        </w:drawing>
      </w:r>
    </w:p>
    <w:p>
      <w:pPr>
        <w:pStyle w:val="ImageCaption"/>
      </w:pPr>
      <w:bookmarkStart w:id="89" w:name="fig:farmerFishInfraFigure3D"/>
      <w:bookmarkEnd w:id="89"/>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bookmarkStart w:id="90" w:name="tab:gspMgmtList"/>
      <w:bookmarkEnd w:id="90"/>
      <w:r>
        <w:t xml:space="preserve">Table 7:</w:t>
      </w:r>
      <w:r>
        <w:t xml:space="preserve"> </w:t>
      </w:r>
      <w:r>
        <w:t xml:space="preserve">List of management actions in Chapter 4 of the GSP and analogues in the set of 25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7845.7-8446.38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7860.77-8064.83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7847.87-7917.48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7696.15-8196.51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91"/>
    <w:bookmarkEnd w:id="92"/>
    <w:bookmarkStart w:id="98" w:name="discussion"/>
    <w:p>
      <w:pPr>
        <w:pStyle w:val="Heading1"/>
      </w:pPr>
      <w:r>
        <w:rPr>
          <w:rStyle w:val="SectionNumber"/>
        </w:rPr>
        <w:t xml:space="preserve">5</w:t>
      </w:r>
      <w:r>
        <w:tab/>
      </w:r>
      <w:r>
        <w:t xml:space="preserve">Discussion</w:t>
      </w:r>
    </w:p>
    <w:p>
      <w:pPr>
        <w:pStyle w:val="FirstParagraph"/>
      </w:pPr>
      <w:r>
        <w:rPr>
          <w:b/>
          <w:bCs/>
        </w:rPr>
        <w:t xml:space="preserve">add discussion of alternative env obj functions: steelhead, other aquatic species, GDEs, indices of alteration</w:t>
      </w:r>
    </w:p>
    <w:p>
      <w:pPr>
        <w:pStyle w:val="BodyText"/>
      </w:pPr>
      <w:r>
        <w:rPr>
          <w:b/>
          <w:bCs/>
        </w:rPr>
        <w:t xml:space="preserve">add discussion of how to interpret grain ET results. might need to check with TH</w:t>
      </w:r>
    </w:p>
    <w:p>
      <w:pPr>
        <w:pStyle w:val="BodyText"/>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93" w:name="Xa151cb59b4ad5c02348e31b83bab4d8169de230"/>
    <w:p>
      <w:pPr>
        <w:pStyle w:val="Heading2"/>
      </w:pPr>
      <w:r>
        <w:rPr>
          <w:rStyle w:val="SectionNumber"/>
        </w:rPr>
        <w:t xml:space="preserve">5.1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w:t>
      </w:r>
    </w:p>
    <w:p>
      <w:pPr>
        <w:pStyle w:val="BodyText"/>
      </w:pPr>
      <w:r>
        <w:t xml:space="preserve">A water year with a low HB value (e.g., &lt; XX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 2015)</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(Sunding 1996)</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 2021)</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93"/>
    <w:bookmarkStart w:id="94" w:name="Xeb4407dfc59ea709d91a13199c8e469abf09cea"/>
    <w:p>
      <w:pPr>
        <w:pStyle w:val="Heading2"/>
      </w:pPr>
      <w:r>
        <w:rPr>
          <w:rStyle w:val="SectionNumber"/>
        </w:rPr>
        <w:t xml:space="preserve">5.2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 Ohlberger et al. 2018)</w:t>
      </w:r>
      <w:r>
        <w:t xml:space="preserve">. Eight dry years occurred during the 1991-2018 model period: 1991, ’92, ’94, 2001, ’09, ’13, ’14, and ’18 (Figure</w:t>
      </w:r>
      <w:r>
        <w:t xml:space="preserve"> </w:t>
      </w:r>
      <w:r>
        <w:t xml:space="preserve">??</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XX predicted coho spf-equivalent, tend to occur in years following one or more dry years (i.e., 1993, 1995, 2002, and 2014-16 in Figure</w:t>
      </w:r>
      <w:r>
        <w:t xml:space="preserve"> </w:t>
      </w:r>
      <w:r>
        <w:t xml:space="preserve">??</w:t>
      </w:r>
      <w:r>
        <w:t xml:space="preserve">;</w:t>
      </w:r>
      <w:r>
        <w:t xml:space="preserve"> </w:t>
      </w:r>
      <w:r>
        <w:t xml:space="preserve">“low-coho years”</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w:t>
      </w:r>
      <w:r>
        <w:t xml:space="preserve">), the low-coho year HB performance of various model scenarios is a key scenario differentiator.</w:t>
      </w:r>
    </w:p>
    <w:bookmarkEnd w:id="94"/>
    <w:bookmarkStart w:id="95" w:name="environmental-agricultural-trade-offs"/>
    <w:p>
      <w:pPr>
        <w:pStyle w:val="Heading2"/>
      </w:pPr>
      <w:r>
        <w:rPr>
          <w:rStyle w:val="SectionNumber"/>
        </w:rPr>
        <w:t xml:space="preserve">5.3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p>
      <w:pPr>
        <w:pStyle w:val="BodyText"/>
      </w:pPr>
      <w:r>
        <w:t xml:space="preserve">The 33 scenarios with ET lower than basecase sort clearly into one high- and one low-efficiency cluster (Figure</w:t>
      </w:r>
      <w:r>
        <w:t xml:space="preserve"> </w:t>
      </w:r>
      <w:r>
        <w:t xml:space="preserve">??</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6</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35-year model period (Figure</w:t>
      </w:r>
      <w:r>
        <w:t xml:space="preserve"> </w:t>
      </w:r>
      <w:r>
        <w:t xml:space="preserve">??</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alf_irr_stop_07.31_dry_yrs_only</w:t>
      </w:r>
      <w:r>
        <w:t xml:space="preserve"> </w:t>
      </w:r>
      <w:r>
        <w:t xml:space="preserve">and</w:t>
      </w:r>
      <w:r>
        <w:t xml:space="preserve"> </w:t>
      </w:r>
      <w:r>
        <w:rPr>
          <w:rStyle w:val="VerbatimChar"/>
        </w:rPr>
        <w:t xml:space="preserve">alf_irr_stop_08.15_dry_yrs_only</w:t>
      </w:r>
      <w:r>
        <w:t xml:space="preserve">) are higher than for their corresponding scenarios with an intervention in all years (</w:t>
      </w:r>
      <w:r>
        <w:rPr>
          <w:rStyle w:val="VerbatimChar"/>
        </w:rPr>
        <w:t xml:space="preserve">alf_irr_stop_07.31</w:t>
      </w:r>
      <w:r>
        <w:t xml:space="preserve"> </w:t>
      </w:r>
      <w:r>
        <w:t xml:space="preserve">and</w:t>
      </w:r>
      <w:r>
        <w:t xml:space="preserve"> </w:t>
      </w:r>
      <w:r>
        <w:rPr>
          <w:rStyle w:val="VerbatimChar"/>
        </w:rPr>
        <w:t xml:space="preserve">alf_irr_stop_08.15</w:t>
      </w:r>
      <w:r>
        <w:t xml:space="preserve">; Table</w:t>
      </w:r>
      <w:r>
        <w:t xml:space="preserve"> </w:t>
      </w:r>
      <w:r>
        <w:t xml:space="preserve">6</w:t>
      </w:r>
      <w:r>
        <w:t xml:space="preserve">).</w:t>
      </w:r>
    </w:p>
    <w:bookmarkEnd w:id="95"/>
    <w:bookmarkStart w:id="96" w:name="Xb48c0b1c357814727cacf50afe35e98b0bf92dd"/>
    <w:p>
      <w:pPr>
        <w:pStyle w:val="Heading2"/>
      </w:pPr>
      <w:r>
        <w:rPr>
          <w:rStyle w:val="SectionNumber"/>
        </w:rPr>
        <w:t xml:space="preserve">5.4</w:t>
      </w:r>
      <w:r>
        <w:tab/>
      </w:r>
      <w:r>
        <w:t xml:space="preserve">Pareto-optimal solution set and GSP priority management actions</w:t>
      </w:r>
    </w:p>
    <w:p>
      <w:pPr>
        <w:pStyle w:val="FirstParagraph"/>
      </w:pPr>
      <w:r>
        <w:t xml:space="preserve">Within the proposed suite of management actions, more than half (</w:t>
      </w:r>
      <w:r>
        <w:rPr>
          <w:b/>
          <w:bCs/>
        </w:rPr>
        <w:t xml:space="preserve">25</w:t>
      </w:r>
      <w:r>
        <w:t xml:space="preserve"> </w:t>
      </w:r>
      <w:r>
        <w:t xml:space="preserve">of 25, including the basecase) fall within the Pareto-optimal set based on the infrastructure category and the 35-year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6</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w:t>
      </w:r>
      <w:r>
        <w:t xml:space="preserve">; Table</w:t>
      </w:r>
      <w:r>
        <w:t xml:space="preserve"> </w:t>
      </w:r>
      <w:r>
        <w:t xml:space="preserve">6</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7</w:t>
      </w:r>
      <w:r>
        <w:t xml:space="preserve">). Although the GSP management priorities emphasized infrastructure, in a strict application of these objective functions, both infrastructure-based and regulatory approaches fell within the Pareto-optimal set of management options.</w:t>
      </w:r>
    </w:p>
    <w:bookmarkEnd w:id="96"/>
    <w:bookmarkStart w:id="97" w:name="policy-implications"/>
    <w:p>
      <w:pPr>
        <w:pStyle w:val="Heading2"/>
      </w:pPr>
      <w:r>
        <w:rPr>
          <w:rStyle w:val="SectionNumber"/>
        </w:rPr>
        <w:t xml:space="preserve">5.5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pStyle w:val="Compact"/>
        <w:numPr>
          <w:ilvl w:val="0"/>
          <w:numId w:val="1009"/>
        </w:numPr>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6</w:t>
      </w:r>
      <w:r>
        <w:t xml:space="preserve">).</w:t>
      </w:r>
    </w:p>
    <w:p>
      <w:pPr>
        <w:pStyle w:val="Compact"/>
        <w:numPr>
          <w:ilvl w:val="0"/>
          <w:numId w:val="1009"/>
        </w:numPr>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pStyle w:val="Compact"/>
        <w:numPr>
          <w:ilvl w:val="0"/>
          <w:numId w:val="1009"/>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w:t>
      </w:r>
      <w:r>
        <w:t xml:space="preserve">.</w:t>
      </w:r>
    </w:p>
    <w:p>
      <w:pPr>
        <w:pStyle w:val="Compact"/>
        <w:numPr>
          <w:ilvl w:val="0"/>
          <w:numId w:val="1009"/>
        </w:numPr>
      </w:pPr>
      <w:r>
        <w:t xml:space="preserve">In recent years, drought conditions have prompted state regulatory agencies to consider and then impose significant irrigation curtailments</w:t>
      </w:r>
      <w:r>
        <w:t xml:space="preserve"> </w:t>
      </w:r>
      <w:r>
        <w:t xml:space="preserve">(SWRCB 2021, 2024a, 2024b)</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w:t>
      </w:r>
      <w:r>
        <w:t xml:space="preserve">).</w:t>
      </w:r>
    </w:p>
    <w:bookmarkEnd w:id="97"/>
    <w:bookmarkEnd w:id="98"/>
    <w:bookmarkStart w:id="99" w:name="conclusion"/>
    <w:p>
      <w:pPr>
        <w:pStyle w:val="Heading1"/>
      </w:pPr>
      <w:r>
        <w:rPr>
          <w:rStyle w:val="SectionNumber"/>
        </w:rPr>
        <w:t xml:space="preserve">6</w:t>
      </w:r>
      <w:r>
        <w:tab/>
      </w:r>
      <w:r>
        <w:t xml:space="preserve">Conclusion</w:t>
      </w:r>
    </w:p>
    <w:p>
      <w:pPr>
        <w:pStyle w:val="FirstParagraph"/>
      </w:pPr>
      <w:r>
        <w:t xml:space="preserve">In this study, functions quantifying the achievement of the two management objectives (environmental and agricultural) were applied to 25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99"/>
    <w:bookmarkStart w:id="100" w:name="acknowledgments"/>
    <w:p>
      <w:pPr>
        <w:pStyle w:val="Heading1"/>
      </w:pPr>
      <w:r>
        <w:t xml:space="preserve">Acknowledgments</w:t>
      </w:r>
    </w:p>
    <w:bookmarkEnd w:id="100"/>
    <w:bookmarkStart w:id="166" w:name="references"/>
    <w:p>
      <w:pPr>
        <w:pStyle w:val="Heading1"/>
      </w:pPr>
      <w:r>
        <w:rPr>
          <w:rStyle w:val="SectionNumber"/>
        </w:rPr>
        <w:t xml:space="preserve">7</w:t>
      </w:r>
      <w:r>
        <w:tab/>
      </w:r>
      <w:r>
        <w:t xml:space="preserve">References</w:t>
      </w:r>
    </w:p>
    <w:bookmarkStart w:id="165" w:name="refs"/>
    <w:bookmarkStart w:id="101" w:name="ref-AgrawalEtAlPREDICTING2005"/>
    <w:p>
      <w:pPr>
        <w:pStyle w:val="Bibliography"/>
      </w:pPr>
      <w:r>
        <w:t xml:space="preserve">Agrawal, A, R S Schick, E P Bjorkstedt, R G Szerlong, M N Goslin, B C Spence, T H Williams, and K M Burnett. 2005.</w:t>
      </w:r>
      <w:r>
        <w:t xml:space="preserve"> </w:t>
      </w:r>
      <w:r>
        <w:t xml:space="preserve">“</w:t>
      </w:r>
      <w:r>
        <w:t xml:space="preserve">PREDICTING THE POTENTIAL FOR HISTORICAL COHO</w:t>
      </w:r>
      <w:r>
        <w:t xml:space="preserve">,</w:t>
      </w:r>
      <w:r>
        <w:t xml:space="preserve"> </w:t>
      </w:r>
      <w:r>
        <w:t xml:space="preserve">CHINOOK AND STEELHEAD HABITAT IN NORTHERN CALIFORNIA</w:t>
      </w:r>
      <w:r>
        <w:t xml:space="preserve">.”</w:t>
      </w:r>
      <w:r>
        <w:t xml:space="preserve"> </w:t>
      </w:r>
      <w:r>
        <w:t xml:space="preserve">National Marine Fisheries Service.</w:t>
      </w:r>
    </w:p>
    <w:bookmarkEnd w:id="101"/>
    <w:bookmarkStart w:id="103" w:name="ref-BaruchEtAlMimicking2024"/>
    <w:p>
      <w:pPr>
        <w:pStyle w:val="Bibliography"/>
      </w:pPr>
      <w:r>
        <w:t xml:space="preserve">Baruch, Ethan M., Sarah M. Yarnell, Theodore E. Grantham, Jessica R. Ayers, Andrew L. Rypel, and Robert A. Lusardi. 2024.</w:t>
      </w:r>
      <w:r>
        <w:t xml:space="preserve"> </w:t>
      </w:r>
      <w:r>
        <w:t xml:space="preserve">“Mimicking Functional Elements of the Natural Flow Regime Promotes Native Fish Recovery in a Regulated River.”</w:t>
      </w:r>
      <w:r>
        <w:t xml:space="preserve"> </w:t>
      </w:r>
      <w:r>
        <w:rPr>
          <w:i/>
          <w:iCs/>
        </w:rPr>
        <w:t xml:space="preserve">Ecological Applications</w:t>
      </w:r>
      <w:r>
        <w:t xml:space="preserve"> </w:t>
      </w:r>
      <w:r>
        <w:t xml:space="preserve">34 (6): e3013.</w:t>
      </w:r>
      <w:r>
        <w:t xml:space="preserve"> </w:t>
      </w:r>
      <w:hyperlink r:id="rId102">
        <w:r>
          <w:rPr>
            <w:rStyle w:val="Hyperlink"/>
          </w:rPr>
          <w:t xml:space="preserve">https://doi.org/10.1002/eap.3013</w:t>
        </w:r>
      </w:hyperlink>
      <w:r>
        <w:t xml:space="preserve">.</w:t>
      </w:r>
    </w:p>
    <w:bookmarkEnd w:id="103"/>
    <w:bookmarkStart w:id="105"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104">
        <w:r>
          <w:rPr>
            <w:rStyle w:val="Hyperlink"/>
          </w:rPr>
          <w:t xml:space="preserve">https://doi.org/10.3389/fclim.2021.719150</w:t>
        </w:r>
      </w:hyperlink>
      <w:r>
        <w:t xml:space="preserve">.</w:t>
      </w:r>
    </w:p>
    <w:bookmarkEnd w:id="105"/>
    <w:bookmarkStart w:id="107" w:name="ref-BrownEtAlHistorical1994"/>
    <w:p>
      <w:pPr>
        <w:pStyle w:val="Bibliography"/>
      </w:pPr>
      <w:r>
        <w:t xml:space="preserve">Brown, Larry R., Peter B. Moyle, and Ronald M. Yoshiyama. 1994.</w:t>
      </w:r>
      <w:r>
        <w:t xml:space="preserve"> </w:t>
      </w:r>
      <w:r>
        <w:t xml:space="preserve">“Historical</w:t>
      </w:r>
      <w:r>
        <w:t xml:space="preserve"> </w:t>
      </w:r>
      <w:r>
        <w:t xml:space="preserve">Decline</w:t>
      </w:r>
      <w:r>
        <w:t xml:space="preserve"> </w:t>
      </w:r>
      <w:r>
        <w:t xml:space="preserve">and</w:t>
      </w:r>
      <w:r>
        <w:t xml:space="preserve"> </w:t>
      </w:r>
      <w:r>
        <w:t xml:space="preserve">Current Status</w:t>
      </w:r>
      <w:r>
        <w:t xml:space="preserve"> </w:t>
      </w:r>
      <w:r>
        <w:t xml:space="preserve">of</w:t>
      </w:r>
      <w:r>
        <w:t xml:space="preserve"> </w:t>
      </w:r>
      <w:r>
        <w:t xml:space="preserve">Coho Salmon</w:t>
      </w:r>
      <w:r>
        <w:t xml:space="preserve"> </w:t>
      </w:r>
      <w:r>
        <w:t xml:space="preserve">in</w:t>
      </w:r>
      <w:r>
        <w:t xml:space="preserve"> </w:t>
      </w:r>
      <w:r>
        <w:t xml:space="preserve">California</w:t>
      </w:r>
      <w:r>
        <w:t xml:space="preserve">.”</w:t>
      </w:r>
      <w:r>
        <w:t xml:space="preserve"> </w:t>
      </w:r>
      <w:r>
        <w:rPr>
          <w:i/>
          <w:iCs/>
        </w:rPr>
        <w:t xml:space="preserve">North American Journal of Fisheries Management</w:t>
      </w:r>
      <w:r>
        <w:t xml:space="preserve"> </w:t>
      </w:r>
      <w:r>
        <w:t xml:space="preserve">14 (2): 237–61.</w:t>
      </w:r>
      <w:r>
        <w:t xml:space="preserve"> </w:t>
      </w:r>
      <w:hyperlink r:id="rId106">
        <w:r>
          <w:rPr>
            <w:rStyle w:val="Hyperlink"/>
          </w:rPr>
          <w:t xml:space="preserve">https://doi.org/10.1577/1548-8675(1994)014&lt;0237:HDACSO&gt;2.3.CO;2</w:t>
        </w:r>
      </w:hyperlink>
      <w:r>
        <w:t xml:space="preserve">.</w:t>
      </w:r>
    </w:p>
    <w:bookmarkEnd w:id="107"/>
    <w:bookmarkStart w:id="108" w:name="X534406a913d453049af97ddf853e5acf00f7d45"/>
    <w:p>
      <w:pPr>
        <w:pStyle w:val="Bibliography"/>
      </w:pPr>
      <w:r>
        <w:t xml:space="preserve">California Department of Fish and Wildlife. 2017.</w:t>
      </w:r>
      <w:r>
        <w:t xml:space="preserve"> </w:t>
      </w:r>
      <w:r>
        <w:t xml:space="preserve">“</w:t>
      </w:r>
      <w:r>
        <w:t xml:space="preserve">INTERIM INSTREAM FLOW CRITERIA FOR THE PROTECTION OF FISHERY RESOURCES IN THE SCOTT RIVER WATERSHED</w:t>
      </w:r>
      <w:r>
        <w:t xml:space="preserve">,</w:t>
      </w:r>
      <w:r>
        <w:t xml:space="preserve"> </w:t>
      </w:r>
      <w:r>
        <w:t xml:space="preserve">SISKIYOU COUNTY</w:t>
      </w:r>
      <w:r>
        <w:t xml:space="preserve">.”</w:t>
      </w:r>
    </w:p>
    <w:bookmarkEnd w:id="108"/>
    <w:bookmarkStart w:id="109" w:name="Xc89eae4adec15389bd12509e9457a9dc8c09d75"/>
    <w:p>
      <w:pPr>
        <w:pStyle w:val="Bibliography"/>
      </w:pPr>
      <w:r>
        <w:t xml:space="preserve">California Department of Fish and Wildlife, NOAA-Fisheries, Scott River Water Trust, Siskiyou Resource Conservation District, and U.S. Forest Service - Klamath National Forest. 2015.</w:t>
      </w:r>
      <w:r>
        <w:t xml:space="preserve"> </w:t>
      </w:r>
      <w:r>
        <w:t xml:space="preserve">“Cooperative</w:t>
      </w:r>
      <w:r>
        <w:t xml:space="preserve"> </w:t>
      </w:r>
      <w:r>
        <w:t xml:space="preserve">Scott River Coho Rescue</w:t>
      </w:r>
      <w:r>
        <w:t xml:space="preserve"> </w:t>
      </w:r>
      <w:r>
        <w:t xml:space="preserve">&amp;</w:t>
      </w:r>
      <w:r>
        <w:t xml:space="preserve"> </w:t>
      </w:r>
      <w:r>
        <w:t xml:space="preserve">Relocation Effort</w:t>
      </w:r>
      <w:r>
        <w:t xml:space="preserve">: 2014</w:t>
      </w:r>
      <w:r>
        <w:t xml:space="preserve"> </w:t>
      </w:r>
      <w:r>
        <w:t xml:space="preserve">Drought Emergency</w:t>
      </w:r>
      <w:r>
        <w:t xml:space="preserve">.”</w:t>
      </w:r>
    </w:p>
    <w:bookmarkEnd w:id="109"/>
    <w:bookmarkStart w:id="110" w:name="X7c5765d4bf46367820355fe718939efb3be661f"/>
    <w:p>
      <w:pPr>
        <w:pStyle w:val="Bibliography"/>
      </w:pPr>
      <w:r>
        <w:t xml:space="preserve">California Department of Water Resources. 2017.</w:t>
      </w:r>
      <w:r>
        <w:t xml:space="preserve"> </w:t>
      </w:r>
      <w:r>
        <w:t xml:space="preserve">“Statewide</w:t>
      </w:r>
      <w:r>
        <w:t xml:space="preserve"> </w:t>
      </w:r>
      <w:r>
        <w:t xml:space="preserve">Crop Mapping</w:t>
      </w:r>
      <w:r>
        <w:t xml:space="preserve"> </w:t>
      </w:r>
      <w:r>
        <w:t xml:space="preserve">- 2016</w:t>
      </w:r>
      <w:r>
        <w:t xml:space="preserve"> </w:t>
      </w:r>
      <w:r>
        <w:t xml:space="preserve">Statewide Crop Mapping GIS Shapefiles</w:t>
      </w:r>
      <w:r>
        <w:t xml:space="preserve"> </w:t>
      </w:r>
      <w:r>
        <w:t xml:space="preserve">-</w:t>
      </w:r>
      <w:r>
        <w:t xml:space="preserve"> </w:t>
      </w:r>
      <w:r>
        <w:t xml:space="preserve">California Natural Resources Agency Open Data</w:t>
      </w:r>
      <w:r>
        <w:t xml:space="preserve">.”</w:t>
      </w:r>
      <w:r>
        <w:t xml:space="preserve"> </w:t>
      </w:r>
      <w:r>
        <w:rPr>
          <w:i/>
          <w:iCs/>
        </w:rPr>
        <w:t xml:space="preserve">2016 Statewide Crop Mapping GIS Shapefiles</w:t>
      </w:r>
      <w:r>
        <w:t xml:space="preserve">. https://data.cnra.ca.gov/dataset/statewide-crop-mapping/resource/3b57898b-f013-487a-b472-17f54311edb5.</w:t>
      </w:r>
    </w:p>
    <w:bookmarkEnd w:id="110"/>
    <w:bookmarkStart w:id="111" w:name="Xe7b7ad2022eadb255e299639b3100f5357e120c"/>
    <w:p>
      <w:pPr>
        <w:pStyle w:val="Bibliography"/>
      </w:pPr>
      <w:r>
        <w:t xml:space="preserve">California State Water Resources Control Board. 1980.</w:t>
      </w:r>
      <w:r>
        <w:t xml:space="preserve"> </w:t>
      </w:r>
      <w:r>
        <w:t xml:space="preserve">“Scott</w:t>
      </w:r>
      <w:r>
        <w:t xml:space="preserve"> </w:t>
      </w:r>
      <w:r>
        <w:t xml:space="preserve">River Adjudication</w:t>
      </w:r>
      <w:r>
        <w:t xml:space="preserve">,</w:t>
      </w:r>
      <w:r>
        <w:t xml:space="preserve"> </w:t>
      </w:r>
      <w:r>
        <w:t xml:space="preserve">Decree No</w:t>
      </w:r>
      <w:r>
        <w:t xml:space="preserve">. 30662.</w:t>
      </w:r>
      <w:r>
        <w:t xml:space="preserve"> </w:t>
      </w:r>
      <w:r>
        <w:t xml:space="preserve">Scott River</w:t>
      </w:r>
      <w:r>
        <w:t xml:space="preserve"> </w:t>
      </w:r>
      <w:r>
        <w:t xml:space="preserve">Stream System,</w:t>
      </w:r>
      <w:r>
        <w:t xml:space="preserve"> </w:t>
      </w:r>
      <w:r>
        <w:t xml:space="preserve">Siskiyou County</w:t>
      </w:r>
      <w:r>
        <w:t xml:space="preserve">.”</w:t>
      </w:r>
      <w:r>
        <w:t xml:space="preserve"> </w:t>
      </w:r>
      <w:r>
        <w:t xml:space="preserve">Superior Court of Siskiyou County.</w:t>
      </w:r>
    </w:p>
    <w:bookmarkEnd w:id="111"/>
    <w:bookmarkStart w:id="112" w:name="X6ef878f889213098c200c5acad35595649e9db2"/>
    <w:p>
      <w:pPr>
        <w:pStyle w:val="Bibliography"/>
      </w:pPr>
      <w:r>
        <w:t xml:space="preserve">California State Water Resources Control Board (SWRCB). 1975.</w:t>
      </w:r>
      <w:r>
        <w:t xml:space="preserve"> </w:t>
      </w:r>
      <w:r>
        <w:t xml:space="preserve">“Report on</w:t>
      </w:r>
      <w:r>
        <w:t xml:space="preserve"> </w:t>
      </w:r>
      <w:r>
        <w:t xml:space="preserve">Hydrogeologic Conditions</w:t>
      </w:r>
      <w:r>
        <w:t xml:space="preserve">,</w:t>
      </w:r>
      <w:r>
        <w:t xml:space="preserve"> </w:t>
      </w:r>
      <w:r>
        <w:t xml:space="preserve">Scott River Valley</w:t>
      </w:r>
      <w:r>
        <w:t xml:space="preserve">,</w:t>
      </w:r>
      <w:r>
        <w:t xml:space="preserve"> </w:t>
      </w:r>
      <w:r>
        <w:t xml:space="preserve">Scott River Valley</w:t>
      </w:r>
      <w:r>
        <w:t xml:space="preserve">.”</w:t>
      </w:r>
    </w:p>
    <w:bookmarkEnd w:id="112"/>
    <w:bookmarkStart w:id="113" w:name="ref-CarpenterAccurately2024"/>
    <w:p>
      <w:pPr>
        <w:pStyle w:val="Bibliography"/>
      </w:pPr>
      <w:r>
        <w:t xml:space="preserve">Carpenter, Cameron. 2024.</w:t>
      </w:r>
      <w:r>
        <w:t xml:space="preserve"> </w:t>
      </w:r>
      <w:r>
        <w:t xml:space="preserve">“Accurately</w:t>
      </w:r>
      <w:r>
        <w:t xml:space="preserve"> </w:t>
      </w:r>
      <w:r>
        <w:t xml:space="preserve">Identifying Functional Flow Metrics</w:t>
      </w:r>
      <w:r>
        <w:t xml:space="preserve"> </w:t>
      </w:r>
      <w:r>
        <w:t xml:space="preserve">in</w:t>
      </w:r>
      <w:r>
        <w:t xml:space="preserve"> </w:t>
      </w:r>
      <w:r>
        <w:t xml:space="preserve">Flashy</w:t>
      </w:r>
      <w:r>
        <w:t xml:space="preserve"> </w:t>
      </w:r>
      <w:r>
        <w:t xml:space="preserve">and</w:t>
      </w:r>
      <w:r>
        <w:t xml:space="preserve"> </w:t>
      </w:r>
      <w:r>
        <w:t xml:space="preserve">Highly Altered Stream Systems</w:t>
      </w:r>
      <w:r>
        <w:t xml:space="preserve">.”</w:t>
      </w:r>
      <w:r>
        <w:t xml:space="preserve"> </w:t>
      </w:r>
      <w:r>
        <w:t xml:space="preserve">Master’s thesis, University of California, Davis.</w:t>
      </w:r>
    </w:p>
    <w:bookmarkEnd w:id="113"/>
    <w:bookmarkStart w:id="115" w:name="ref-CarterSheafferAlfalfa1983"/>
    <w:p>
      <w:pPr>
        <w:pStyle w:val="Bibliography"/>
      </w:pPr>
      <w:r>
        <w:t xml:space="preserve">Carter, P. R., and C. C. Sheaffer. 1983.</w:t>
      </w:r>
      <w:r>
        <w:t xml:space="preserve"> </w:t>
      </w:r>
      <w:r>
        <w:t xml:space="preserve">“Alfalfa</w:t>
      </w:r>
      <w:r>
        <w:t xml:space="preserve"> </w:t>
      </w:r>
      <w:r>
        <w:t xml:space="preserve">Response</w:t>
      </w:r>
      <w:r>
        <w:t xml:space="preserve"> </w:t>
      </w:r>
      <w:r>
        <w:t xml:space="preserve">to</w:t>
      </w:r>
      <w:r>
        <w:t xml:space="preserve"> </w:t>
      </w:r>
      <w:r>
        <w:t xml:space="preserve">Soil Water Deficits</w:t>
      </w:r>
      <w:r>
        <w:t xml:space="preserve">.</w:t>
      </w:r>
      <w:r>
        <w:t xml:space="preserve"> </w:t>
      </w:r>
      <w:r>
        <w:t xml:space="preserve">I</w:t>
      </w:r>
      <w:r>
        <w:t xml:space="preserve">.</w:t>
      </w:r>
      <w:r>
        <w:t xml:space="preserve"> </w:t>
      </w:r>
      <w:r>
        <w:t xml:space="preserve">Growth</w:t>
      </w:r>
      <w:r>
        <w:t xml:space="preserve">,</w:t>
      </w:r>
      <w:r>
        <w:t xml:space="preserve"> </w:t>
      </w:r>
      <w:r>
        <w:t xml:space="preserve">Forage Quality</w:t>
      </w:r>
      <w:r>
        <w:t xml:space="preserve">,</w:t>
      </w:r>
      <w:r>
        <w:t xml:space="preserve"> </w:t>
      </w:r>
      <w:r>
        <w:t xml:space="preserve">Yield</w:t>
      </w:r>
      <w:r>
        <w:t xml:space="preserve">,</w:t>
      </w:r>
      <w:r>
        <w:t xml:space="preserve"> </w:t>
      </w:r>
      <w:r>
        <w:t xml:space="preserve">Water Use</w:t>
      </w:r>
      <w:r>
        <w:t xml:space="preserve">, and</w:t>
      </w:r>
      <w:r>
        <w:t xml:space="preserve"> </w:t>
      </w:r>
      <w:r>
        <w:t xml:space="preserve">Water</w:t>
      </w:r>
      <w:r>
        <w:t xml:space="preserve">-</w:t>
      </w:r>
      <w:r>
        <w:t xml:space="preserve">Use Efficiency</w:t>
      </w:r>
      <w:r>
        <w:rPr>
          <w:vertAlign w:val="superscript"/>
        </w:rPr>
        <w:t xml:space="preserve">1</w:t>
      </w:r>
      <w:r>
        <w:t xml:space="preserve">.”</w:t>
      </w:r>
      <w:r>
        <w:t xml:space="preserve"> </w:t>
      </w:r>
      <w:r>
        <w:rPr>
          <w:i/>
          <w:iCs/>
        </w:rPr>
        <w:t xml:space="preserve">Crop Science</w:t>
      </w:r>
      <w:r>
        <w:t xml:space="preserve"> </w:t>
      </w:r>
      <w:r>
        <w:t xml:space="preserve">23 (4): 669–75.</w:t>
      </w:r>
      <w:r>
        <w:t xml:space="preserve"> </w:t>
      </w:r>
      <w:hyperlink r:id="rId114">
        <w:r>
          <w:rPr>
            <w:rStyle w:val="Hyperlink"/>
          </w:rPr>
          <w:t xml:space="preserve">https://doi.org/10.2135/cropsci1983.0011183X002300040016x</w:t>
        </w:r>
      </w:hyperlink>
      <w:r>
        <w:t xml:space="preserve">.</w:t>
      </w:r>
    </w:p>
    <w:bookmarkEnd w:id="115"/>
    <w:bookmarkStart w:id="117" w:name="ref-CohonMarksMultiobjective1973"/>
    <w:p>
      <w:pPr>
        <w:pStyle w:val="Bibliography"/>
      </w:pPr>
      <w:r>
        <w:t xml:space="preserve">Cohon, Jared L., and David H. Marks. 1973.</w:t>
      </w:r>
      <w:r>
        <w:t xml:space="preserve"> </w:t>
      </w:r>
      <w:r>
        <w:t xml:space="preserve">“Multiobjective Screening Models and Water Resource Investment.”</w:t>
      </w:r>
      <w:r>
        <w:t xml:space="preserve"> </w:t>
      </w:r>
      <w:r>
        <w:rPr>
          <w:i/>
          <w:iCs/>
        </w:rPr>
        <w:t xml:space="preserve">Water Resources Research</w:t>
      </w:r>
      <w:r>
        <w:t xml:space="preserve"> </w:t>
      </w:r>
      <w:r>
        <w:t xml:space="preserve">9 (4): 826–36.</w:t>
      </w:r>
      <w:r>
        <w:t xml:space="preserve"> </w:t>
      </w:r>
      <w:hyperlink r:id="rId116">
        <w:r>
          <w:rPr>
            <w:rStyle w:val="Hyperlink"/>
          </w:rPr>
          <w:t xml:space="preserve">https://doi.org/10.1029/WR009i004p00826</w:t>
        </w:r>
      </w:hyperlink>
      <w:r>
        <w:t xml:space="preserve">.</w:t>
      </w:r>
    </w:p>
    <w:bookmarkEnd w:id="117"/>
    <w:bookmarkStart w:id="118" w:name="ref-FogliaEtAlScott2013"/>
    <w:p>
      <w:pPr>
        <w:pStyle w:val="Bibliography"/>
      </w:pPr>
      <w:r>
        <w:t xml:space="preserve">Foglia, Laura, Alison McNally, Courtney Hall, Lauren Ledesma, Ryan Hines, and Thomas Harter. 2013.</w:t>
      </w:r>
      <w:r>
        <w:t xml:space="preserve"> </w:t>
      </w:r>
      <w:r>
        <w:t xml:space="preserve">“Scott</w:t>
      </w:r>
      <w:r>
        <w:t xml:space="preserve"> </w:t>
      </w:r>
      <w:r>
        <w:t xml:space="preserve">Valley Integrated Hydrologic Model</w:t>
      </w:r>
      <w:r>
        <w:t xml:space="preserve">:</w:t>
      </w:r>
      <w:r>
        <w:t xml:space="preserve"> </w:t>
      </w:r>
      <w:r>
        <w:t xml:space="preserve">Data Collection</w:t>
      </w:r>
      <w:r>
        <w:t xml:space="preserve">,</w:t>
      </w:r>
      <w:r>
        <w:t xml:space="preserve"> </w:t>
      </w:r>
      <w:r>
        <w:t xml:space="preserve">Analysis</w:t>
      </w:r>
      <w:r>
        <w:t xml:space="preserve">, and</w:t>
      </w:r>
      <w:r>
        <w:t xml:space="preserve"> </w:t>
      </w:r>
      <w:r>
        <w:t xml:space="preserve">Water Budget</w:t>
      </w:r>
      <w:r>
        <w:t xml:space="preserve">.”</w:t>
      </w:r>
      <w:r>
        <w:t xml:space="preserve"> </w:t>
      </w:r>
      <w:r>
        <w:t xml:space="preserve">Davis, CA: North Coast Regional Water Quality Control Board.</w:t>
      </w:r>
    </w:p>
    <w:bookmarkEnd w:id="118"/>
    <w:bookmarkStart w:id="119" w:name="Xff198d1a9510a26c6b6a97c9924d7fdc8be1418"/>
    <w:p>
      <w:pPr>
        <w:pStyle w:val="Bibliography"/>
      </w:pPr>
      <w:r>
        <w:t xml:space="preserve">Fox Canyon Groundwater Management Agency. 2019.</w:t>
      </w:r>
      <w:r>
        <w:t xml:space="preserve"> </w:t>
      </w:r>
      <w:r>
        <w:t xml:space="preserve">“Groundwater</w:t>
      </w:r>
      <w:r>
        <w:t xml:space="preserve"> </w:t>
      </w:r>
      <w:r>
        <w:t xml:space="preserve">Sustainability Plan</w:t>
      </w:r>
      <w:r>
        <w:t xml:space="preserve"> </w:t>
      </w:r>
      <w:r>
        <w:t xml:space="preserve">for the</w:t>
      </w:r>
      <w:r>
        <w:t xml:space="preserve"> </w:t>
      </w:r>
      <w:r>
        <w:t xml:space="preserve">Oxnard Subbasin</w:t>
      </w:r>
      <w:r>
        <w:t xml:space="preserve">.”</w:t>
      </w:r>
      <w:r>
        <w:t xml:space="preserve"> </w:t>
      </w:r>
      <w:r>
        <w:t xml:space="preserve">Ventura, CA: Fox Canyon Groundwater Manegement Agency.</w:t>
      </w:r>
    </w:p>
    <w:bookmarkEnd w:id="119"/>
    <w:bookmarkStart w:id="121"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t xml:space="preserve">.”</w:t>
      </w:r>
      <w:r>
        <w:t xml:space="preserve"> </w:t>
      </w:r>
      <w:r>
        <w:rPr>
          <w:i/>
          <w:iCs/>
        </w:rPr>
        <w:t xml:space="preserve">Journal of the American Water Resources Association</w:t>
      </w:r>
      <w:r>
        <w:t xml:space="preserve"> </w:t>
      </w:r>
      <w:r>
        <w:t xml:space="preserve">36 (3): 483–91.</w:t>
      </w:r>
      <w:r>
        <w:t xml:space="preserve"> </w:t>
      </w:r>
      <w:hyperlink r:id="rId120">
        <w:r>
          <w:rPr>
            <w:rStyle w:val="Hyperlink"/>
          </w:rPr>
          <w:t xml:space="preserve">https://doi.org/10.1111/j.1752-1688.2000.tb04280.x</w:t>
        </w:r>
      </w:hyperlink>
      <w:r>
        <w:t xml:space="preserve">.</w:t>
      </w:r>
    </w:p>
    <w:bookmarkEnd w:id="121"/>
    <w:bookmarkStart w:id="122" w:name="ref-HarterHinesSCOTT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University of California, Davis.</w:t>
      </w:r>
    </w:p>
    <w:bookmarkEnd w:id="122"/>
    <w:bookmarkStart w:id="124" w:name="ref-KapelanEtAlMultiobjective2005"/>
    <w:p>
      <w:pPr>
        <w:pStyle w:val="Bibliography"/>
      </w:pPr>
      <w:r>
        <w:t xml:space="preserve">Kapelan, Zoran S., Dragan A. Savic, and Godfrey A. Walters. 2005.</w:t>
      </w:r>
      <w:r>
        <w:t xml:space="preserve"> </w:t>
      </w:r>
      <w:r>
        <w:t xml:space="preserve">“Multiobjective Design of Water Distribution Systems Under Uncertainty.”</w:t>
      </w:r>
      <w:r>
        <w:t xml:space="preserve"> </w:t>
      </w:r>
      <w:r>
        <w:rPr>
          <w:i/>
          <w:iCs/>
        </w:rPr>
        <w:t xml:space="preserve">Water Resources Research</w:t>
      </w:r>
      <w:r>
        <w:t xml:space="preserve"> </w:t>
      </w:r>
      <w:r>
        <w:t xml:space="preserve">41 (11): 2004WR003787.</w:t>
      </w:r>
      <w:r>
        <w:t xml:space="preserve"> </w:t>
      </w:r>
      <w:hyperlink r:id="rId123">
        <w:r>
          <w:rPr>
            <w:rStyle w:val="Hyperlink"/>
          </w:rPr>
          <w:t xml:space="preserve">https://doi.org/10.1029/2004WR003787</w:t>
        </w:r>
      </w:hyperlink>
      <w:r>
        <w:t xml:space="preserve">.</w:t>
      </w:r>
    </w:p>
    <w:bookmarkEnd w:id="124"/>
    <w:bookmarkStart w:id="125" w:name="ref-KnechtleGiudice20192020"/>
    <w:p>
      <w:pPr>
        <w:pStyle w:val="Bibliography"/>
      </w:pPr>
      <w:r>
        <w:t xml:space="preserve">Knechtle, Morgan, and Domenic Giudice. 2020.</w:t>
      </w:r>
      <w:r>
        <w:t xml:space="preserve"> </w:t>
      </w:r>
      <w:r>
        <w:t xml:space="preserve">“2019</w:t>
      </w:r>
      <w:r>
        <w:t xml:space="preserve"> </w:t>
      </w:r>
      <w:r>
        <w:t xml:space="preserve">SCOTT RIVER SALMON STUDIES FINAL REPORT</w:t>
      </w:r>
      <w:r>
        <w:t xml:space="preserve">.”</w:t>
      </w:r>
      <w:r>
        <w:t xml:space="preserve"> </w:t>
      </w:r>
      <w:r>
        <w:t xml:space="preserve">California Department of Fish and Wildlife</w:t>
      </w:r>
      <w:r>
        <w:t xml:space="preserve">.</w:t>
      </w:r>
    </w:p>
    <w:bookmarkEnd w:id="125"/>
    <w:bookmarkStart w:id="127"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26">
        <w:r>
          <w:rPr>
            <w:rStyle w:val="Hyperlink"/>
          </w:rPr>
          <w:t xml:space="preserve">https://doi.org/10.1002/eco.70098</w:t>
        </w:r>
      </w:hyperlink>
      <w:r>
        <w:t xml:space="preserve">.</w:t>
      </w:r>
    </w:p>
    <w:bookmarkEnd w:id="127"/>
    <w:bookmarkStart w:id="129" w:name="ref-MackGeology1958"/>
    <w:p>
      <w:pPr>
        <w:pStyle w:val="Bibliography"/>
      </w:pPr>
      <w:r>
        <w:t xml:space="preserve">Mack, Seymour. 1958.</w:t>
      </w:r>
      <w:r>
        <w:t xml:space="preserve"> </w:t>
      </w:r>
      <w:r>
        <w:t xml:space="preserve">“Geology and Ground-Water Features of</w:t>
      </w:r>
      <w:r>
        <w:t xml:space="preserve"> </w:t>
      </w:r>
      <w:r>
        <w:t xml:space="preserve">Scott Valley</w:t>
      </w:r>
      <w:r>
        <w:t xml:space="preserve">,</w:t>
      </w:r>
      <w:r>
        <w:t xml:space="preserve"> </w:t>
      </w:r>
      <w:r>
        <w:t xml:space="preserve">Siskiyou County</w:t>
      </w:r>
      <w:r>
        <w:t xml:space="preserve">,</w:t>
      </w:r>
      <w:r>
        <w:t xml:space="preserve"> </w:t>
      </w:r>
      <w:r>
        <w:t xml:space="preserve">California</w:t>
      </w:r>
      <w:r>
        <w:t xml:space="preserve">.”</w:t>
      </w:r>
      <w:r>
        <w:t xml:space="preserve"> </w:t>
      </w:r>
      <w:r>
        <w:t xml:space="preserve">Geological {{Survey Water-Supply Paper}} 1462. United States Geological Survey.</w:t>
      </w:r>
      <w:r>
        <w:t xml:space="preserve"> </w:t>
      </w:r>
      <w:hyperlink r:id="rId128">
        <w:r>
          <w:rPr>
            <w:rStyle w:val="Hyperlink"/>
          </w:rPr>
          <w:t xml:space="preserve">https://doi.org/10.3133/wsp1462</w:t>
        </w:r>
      </w:hyperlink>
      <w:r>
        <w:t xml:space="preserve">.</w:t>
      </w:r>
    </w:p>
    <w:bookmarkEnd w:id="129"/>
    <w:bookmarkStart w:id="130" w:name="ref-MagranetScott2015a"/>
    <w:p>
      <w:pPr>
        <w:pStyle w:val="Bibliography"/>
      </w:pPr>
      <w:r>
        <w:t xml:space="preserve">Magranet, Lindsay. 2015.</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30"/>
    <w:bookmarkStart w:id="131" w:name="ref-MagranetScott2017"/>
    <w:p>
      <w:pPr>
        <w:pStyle w:val="Bibliography"/>
      </w:pPr>
      <w:r>
        <w:t xml:space="preserve">———. 2017.</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31"/>
    <w:bookmarkStart w:id="132" w:name="ref-MagranetScott2018"/>
    <w:p>
      <w:pPr>
        <w:pStyle w:val="Bibliography"/>
      </w:pPr>
      <w:r>
        <w:t xml:space="preserve">———. 2018.</w:t>
      </w:r>
      <w:r>
        <w:t xml:space="preserve"> </w:t>
      </w:r>
      <w:r>
        <w:t xml:space="preserve">“Scott</w:t>
      </w:r>
      <w:r>
        <w:t xml:space="preserve"> </w:t>
      </w:r>
      <w:r>
        <w:t xml:space="preserve">River Fall Chinook Spawning Ground Surveys</w:t>
      </w:r>
      <w:r>
        <w:t xml:space="preserve"> </w:t>
      </w:r>
      <w:r>
        <w:t xml:space="preserve">2017</w:t>
      </w:r>
      <w:r>
        <w:t xml:space="preserve"> </w:t>
      </w:r>
      <w:r>
        <w:t xml:space="preserve">Season</w:t>
      </w:r>
      <w:r>
        <w:t xml:space="preserve">.”</w:t>
      </w:r>
      <w:r>
        <w:t xml:space="preserve"> </w:t>
      </w:r>
      <w:r>
        <w:t xml:space="preserve">Etna, CA: Siskiyou Resource Conservation District.</w:t>
      </w:r>
    </w:p>
    <w:bookmarkEnd w:id="132"/>
    <w:bookmarkStart w:id="133" w:name="ref-MagranetYokelScott2017"/>
    <w:p>
      <w:pPr>
        <w:pStyle w:val="Bibliography"/>
      </w:pPr>
      <w:r>
        <w:t xml:space="preserve">Magranet, Lindsay, and Erich Yokel. 2017.</w:t>
      </w:r>
      <w:r>
        <w:t xml:space="preserve"> </w:t>
      </w:r>
      <w:r>
        <w:t xml:space="preserve">“Scott</w:t>
      </w:r>
      <w:r>
        <w:t xml:space="preserve"> </w:t>
      </w:r>
      <w:r>
        <w:t xml:space="preserve">River Adult Coho Spawning Ground Surveys</w:t>
      </w:r>
      <w:r>
        <w:t xml:space="preserve"> </w:t>
      </w:r>
      <w:r>
        <w:t xml:space="preserve">2016-2017</w:t>
      </w:r>
      <w:r>
        <w:t xml:space="preserve"> </w:t>
      </w:r>
      <w:r>
        <w:t xml:space="preserve">Season</w:t>
      </w:r>
      <w:r>
        <w:t xml:space="preserve">.”</w:t>
      </w:r>
      <w:r>
        <w:t xml:space="preserve"> </w:t>
      </w:r>
      <w:r>
        <w:t xml:space="preserve">Etna, CA: Siskiyou Resource Conservation District.</w:t>
      </w:r>
    </w:p>
    <w:bookmarkEnd w:id="133"/>
    <w:bookmarkStart w:id="135" w:name="ref-MahoneyRoodStreamflow1998"/>
    <w:p>
      <w:pPr>
        <w:pStyle w:val="Bibliography"/>
      </w:pPr>
      <w:r>
        <w:t xml:space="preserve">Mahoney, John M., and Stewart B. Rood. 1998.</w:t>
      </w:r>
      <w:r>
        <w:t xml:space="preserve"> </w:t>
      </w:r>
      <w:r>
        <w:t xml:space="preserve">“Streamflow Requirements for Cottonwood Seedling Recruitment—</w:t>
      </w:r>
      <w:r>
        <w:t xml:space="preserve">An</w:t>
      </w:r>
      <w:r>
        <w:t xml:space="preserve"> </w:t>
      </w:r>
      <w:r>
        <w:t xml:space="preserve">Integrative Model.”</w:t>
      </w:r>
      <w:r>
        <w:t xml:space="preserve"> </w:t>
      </w:r>
      <w:r>
        <w:rPr>
          <w:i/>
          <w:iCs/>
        </w:rPr>
        <w:t xml:space="preserve">Wetlands</w:t>
      </w:r>
      <w:r>
        <w:t xml:space="preserve"> </w:t>
      </w:r>
      <w:r>
        <w:t xml:space="preserve">18 (4): 634–45.</w:t>
      </w:r>
      <w:r>
        <w:t xml:space="preserve"> </w:t>
      </w:r>
      <w:hyperlink r:id="rId134">
        <w:r>
          <w:rPr>
            <w:rStyle w:val="Hyperlink"/>
          </w:rPr>
          <w:t xml:space="preserve">https://doi.org/10.1007/BF03161678</w:t>
        </w:r>
      </w:hyperlink>
      <w:r>
        <w:t xml:space="preserve">.</w:t>
      </w:r>
    </w:p>
    <w:bookmarkEnd w:id="135"/>
    <w:bookmarkStart w:id="136" w:name="ref-McMahonHabitat1983"/>
    <w:p>
      <w:pPr>
        <w:pStyle w:val="Bibliography"/>
      </w:pPr>
      <w:r>
        <w:t xml:space="preserve">McMahon, Thomas E. 1983.</w:t>
      </w:r>
      <w:r>
        <w:t xml:space="preserve"> </w:t>
      </w:r>
      <w:r>
        <w:t xml:space="preserve">“Habitat</w:t>
      </w:r>
      <w:r>
        <w:t xml:space="preserve"> </w:t>
      </w:r>
      <w:r>
        <w:t xml:space="preserve">Suitability Index Models</w:t>
      </w:r>
      <w:r>
        <w:t xml:space="preserve">:</w:t>
      </w:r>
      <w:r>
        <w:t xml:space="preserve"> </w:t>
      </w:r>
      <w:r>
        <w:t xml:space="preserve">Coho Salmon</w:t>
      </w:r>
      <w:r>
        <w:t xml:space="preserve">.”</w:t>
      </w:r>
      <w:r>
        <w:t xml:space="preserve"> </w:t>
      </w:r>
      <w:r>
        <w:t xml:space="preserve">FWS/OBS-82/10.49.</w:t>
      </w:r>
      <w:r>
        <w:t xml:space="preserve"> </w:t>
      </w:r>
      <w:r>
        <w:t xml:space="preserve">U.S. Fish and Wildlife Service</w:t>
      </w:r>
      <w:r>
        <w:t xml:space="preserve">.</w:t>
      </w:r>
    </w:p>
    <w:bookmarkEnd w:id="136"/>
    <w:bookmarkStart w:id="138" w:name="ref-MonarchiEtAlInteractive1973"/>
    <w:p>
      <w:pPr>
        <w:pStyle w:val="Bibliography"/>
      </w:pPr>
      <w:r>
        <w:t xml:space="preserve">Monarchi, David E., Chester C. Kisiel, and Lucien Duckstein. 1973.</w:t>
      </w:r>
      <w:r>
        <w:t xml:space="preserve"> </w:t>
      </w:r>
      <w:r>
        <w:t xml:space="preserve">“Interactive Multiobjective Programing in Water Resources:</w:t>
      </w:r>
      <w:r>
        <w:t xml:space="preserve"> </w:t>
      </w:r>
      <w:r>
        <w:t xml:space="preserve">A</w:t>
      </w:r>
      <w:r>
        <w:t xml:space="preserve"> </w:t>
      </w:r>
      <w:r>
        <w:t xml:space="preserve">Case Study.”</w:t>
      </w:r>
      <w:r>
        <w:t xml:space="preserve"> </w:t>
      </w:r>
      <w:r>
        <w:rPr>
          <w:i/>
          <w:iCs/>
        </w:rPr>
        <w:t xml:space="preserve">Water Resources Research</w:t>
      </w:r>
      <w:r>
        <w:t xml:space="preserve"> </w:t>
      </w:r>
      <w:r>
        <w:t xml:space="preserve">9 (4): 837–50.</w:t>
      </w:r>
      <w:r>
        <w:t xml:space="preserve"> </w:t>
      </w:r>
      <w:hyperlink r:id="rId137">
        <w:r>
          <w:rPr>
            <w:rStyle w:val="Hyperlink"/>
          </w:rPr>
          <w:t xml:space="preserve">https://doi.org/10.1029/WR009i004p00837</w:t>
        </w:r>
      </w:hyperlink>
      <w:r>
        <w:t xml:space="preserve">.</w:t>
      </w:r>
    </w:p>
    <w:bookmarkEnd w:id="138"/>
    <w:bookmarkStart w:id="139" w:name="ref-MoyleCoho2002"/>
    <w:p>
      <w:pPr>
        <w:pStyle w:val="Bibliography"/>
      </w:pPr>
      <w:r>
        <w:t xml:space="preserve">Moyle, Peter B. 2002.</w:t>
      </w:r>
      <w:r>
        <w:t xml:space="preserve"> </w:t>
      </w:r>
      <w:r>
        <w:t xml:space="preserve">“Coho</w:t>
      </w:r>
      <w:r>
        <w:t xml:space="preserve"> </w:t>
      </w:r>
      <w:r>
        <w:t xml:space="preserve">Salmon</w:t>
      </w:r>
      <w:r>
        <w:t xml:space="preserve">,</w:t>
      </w:r>
      <w:r>
        <w:t xml:space="preserve"> </w:t>
      </w:r>
      <w:r>
        <w:t xml:space="preserve">Oncorhynchus</w:t>
      </w:r>
      <w:r>
        <w:t xml:space="preserve"> </w:t>
      </w:r>
      <w:r>
        <w:t xml:space="preserve">Kisutch (</w:t>
      </w:r>
      <w:r>
        <w:t xml:space="preserve">Walbaum</w:t>
      </w:r>
      <w:r>
        <w:t xml:space="preserve">).”</w:t>
      </w:r>
      <w:r>
        <w:t xml:space="preserve"> </w:t>
      </w:r>
      <w:r>
        <w:t xml:space="preserve">In</w:t>
      </w:r>
      <w:r>
        <w:t xml:space="preserve"> </w:t>
      </w:r>
      <w:r>
        <w:rPr>
          <w:i/>
          <w:iCs/>
        </w:rPr>
        <w:t xml:space="preserve">Inland</w:t>
      </w:r>
      <w:r>
        <w:rPr>
          <w:i/>
          <w:iCs/>
        </w:rPr>
        <w:t xml:space="preserve"> </w:t>
      </w:r>
      <w:r>
        <w:rPr>
          <w:i/>
          <w:iCs/>
        </w:rPr>
        <w:t xml:space="preserve">Fishes</w:t>
      </w:r>
      <w:r>
        <w:rPr>
          <w:i/>
          <w:iCs/>
        </w:rPr>
        <w:t xml:space="preserve"> </w:t>
      </w:r>
      <w:r>
        <w:rPr>
          <w:i/>
          <w:iCs/>
        </w:rPr>
        <w:t xml:space="preserve">of</w:t>
      </w:r>
      <w:r>
        <w:rPr>
          <w:i/>
          <w:iCs/>
        </w:rPr>
        <w:t xml:space="preserve"> </w:t>
      </w:r>
      <w:r>
        <w:rPr>
          <w:i/>
          <w:iCs/>
        </w:rPr>
        <w:t xml:space="preserve">California</w:t>
      </w:r>
      <w:r>
        <w:t xml:space="preserve">, 245–51. University of California Press.</w:t>
      </w:r>
    </w:p>
    <w:bookmarkEnd w:id="139"/>
    <w:bookmarkStart w:id="141"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40">
        <w:r>
          <w:rPr>
            <w:rStyle w:val="Hyperlink"/>
          </w:rPr>
          <w:t xml:space="preserve">https://doi.org/10.1016/j.envsci.2016.05.006</w:t>
        </w:r>
      </w:hyperlink>
      <w:r>
        <w:t xml:space="preserve">.</w:t>
      </w:r>
    </w:p>
    <w:bookmarkEnd w:id="141"/>
    <w:bookmarkStart w:id="143" w:name="ref-OhlbergerEtAlEffects2018"/>
    <w:p>
      <w:pPr>
        <w:pStyle w:val="Bibliography"/>
      </w:pPr>
      <w:r>
        <w:t xml:space="preserve">Ohlberger, Jan, Thomas W. Buehrens, Samuel J. Brenkman, Patrick Crain, Thomas P. Quinn, and Ray Hilborn. 2018.</w:t>
      </w:r>
      <w:r>
        <w:t xml:space="preserve"> </w:t>
      </w:r>
      <w:r>
        <w:t xml:space="preserve">“Effects of Past and Projected River Discharge Variability on Freshwater Production in an Anadromous Fish.”</w:t>
      </w:r>
      <w:r>
        <w:t xml:space="preserve"> </w:t>
      </w:r>
      <w:r>
        <w:rPr>
          <w:i/>
          <w:iCs/>
        </w:rPr>
        <w:t xml:space="preserve">Freshwater Biology</w:t>
      </w:r>
      <w:r>
        <w:t xml:space="preserve"> </w:t>
      </w:r>
      <w:r>
        <w:t xml:space="preserve">63 (4): 331–40.</w:t>
      </w:r>
      <w:r>
        <w:t xml:space="preserve"> </w:t>
      </w:r>
      <w:hyperlink r:id="rId142">
        <w:r>
          <w:rPr>
            <w:rStyle w:val="Hyperlink"/>
          </w:rPr>
          <w:t xml:space="preserve">https://doi.org/10.1111/fwb.13070</w:t>
        </w:r>
      </w:hyperlink>
      <w:r>
        <w:t xml:space="preserve">.</w:t>
      </w:r>
    </w:p>
    <w:bookmarkEnd w:id="143"/>
    <w:bookmarkStart w:id="144" w:name="ref-ParetoCours1896"/>
    <w:p>
      <w:pPr>
        <w:pStyle w:val="Bibliography"/>
      </w:pPr>
      <w:r>
        <w:t xml:space="preserve">Pareto, Vilfredo. 1896.</w:t>
      </w:r>
      <w:r>
        <w:t xml:space="preserve"> </w:t>
      </w:r>
      <w:r>
        <w:rPr>
          <w:i/>
          <w:iCs/>
        </w:rPr>
        <w:t xml:space="preserve">Cours</w:t>
      </w:r>
      <w:r>
        <w:rPr>
          <w:i/>
          <w:iCs/>
        </w:rPr>
        <w:t xml:space="preserve"> </w:t>
      </w:r>
      <w:r>
        <w:rPr>
          <w:i/>
          <w:iCs/>
        </w:rPr>
        <w:t xml:space="preserve">D</w:t>
      </w:r>
      <w:r>
        <w:rPr>
          <w:i/>
          <w:iCs/>
        </w:rPr>
        <w:t xml:space="preserve">’</w:t>
      </w:r>
      <w:r>
        <w:rPr>
          <w:i/>
          <w:iCs/>
        </w:rPr>
        <w:t xml:space="preserve">Economie Politique</w:t>
      </w:r>
      <w:r>
        <w:t xml:space="preserve">. Lausanne.</w:t>
      </w:r>
    </w:p>
    <w:bookmarkEnd w:id="144"/>
    <w:bookmarkStart w:id="146" w:name="ref-PattersonEtAlHydrologic2020"/>
    <w:p>
      <w:pPr>
        <w:pStyle w:val="Bibliography"/>
      </w:pPr>
      <w:r>
        <w:t xml:space="preserve">Patterson, Noelle K., Belize A. Lane, Samuel Sandoval-Solis, Gregory B. Pasternack, Sarah M. Yarnell, and Yexuan Qiu. 2020.</w:t>
      </w:r>
      <w:r>
        <w:t xml:space="preserve"> </w:t>
      </w:r>
      <w:r>
        <w:t xml:space="preserve">“A Hydrologic Feature Detection Algorithm to Quantify Seasonal Components of Flow Regimes.”</w:t>
      </w:r>
      <w:r>
        <w:t xml:space="preserve"> </w:t>
      </w:r>
      <w:r>
        <w:rPr>
          <w:i/>
          <w:iCs/>
        </w:rPr>
        <w:t xml:space="preserve">Journal of Hydrology</w:t>
      </w:r>
      <w:r>
        <w:t xml:space="preserve"> </w:t>
      </w:r>
      <w:r>
        <w:t xml:space="preserve">585 (June): 124787.</w:t>
      </w:r>
      <w:r>
        <w:t xml:space="preserve"> </w:t>
      </w:r>
      <w:hyperlink r:id="rId145">
        <w:r>
          <w:rPr>
            <w:rStyle w:val="Hyperlink"/>
          </w:rPr>
          <w:t xml:space="preserve">https://doi.org/10.1016/j.jhydrol.2020.124787</w:t>
        </w:r>
      </w:hyperlink>
      <w:r>
        <w:t xml:space="preserve">.</w:t>
      </w:r>
    </w:p>
    <w:bookmarkEnd w:id="146"/>
    <w:bookmarkStart w:id="147" w:name="X35601437fc25b0fdd92b478f2f9ddeaed3398df"/>
    <w:p>
      <w:pPr>
        <w:pStyle w:val="Bibliography"/>
      </w:pPr>
      <w:r>
        <w:t xml:space="preserve">Scott River Watershed Council. 2018.</w:t>
      </w:r>
      <w:r>
        <w:t xml:space="preserve"> </w:t>
      </w:r>
      <w:r>
        <w:t xml:space="preserve">“Restoring</w:t>
      </w:r>
      <w:r>
        <w:t xml:space="preserve"> </w:t>
      </w:r>
      <w:r>
        <w:t xml:space="preserve">Priority Coho Habitat</w:t>
      </w:r>
      <w:r>
        <w:t xml:space="preserve"> </w:t>
      </w:r>
      <w:r>
        <w:t xml:space="preserve">in the</w:t>
      </w:r>
      <w:r>
        <w:t xml:space="preserve"> </w:t>
      </w:r>
      <w:r>
        <w:t xml:space="preserve">Scott River Watershed Modeling</w:t>
      </w:r>
      <w:r>
        <w:t xml:space="preserve"> </w:t>
      </w:r>
      <w:r>
        <w:t xml:space="preserve">and</w:t>
      </w:r>
      <w:r>
        <w:t xml:space="preserve"> </w:t>
      </w:r>
      <w:r>
        <w:t xml:space="preserve">Planning Report</w:t>
      </w:r>
      <w:r>
        <w:t xml:space="preserve">.”</w:t>
      </w:r>
    </w:p>
    <w:bookmarkEnd w:id="147"/>
    <w:bookmarkStart w:id="148" w:name="X334218043bd9d5b07a848a610917fcfef0168db"/>
    <w:p>
      <w:pPr>
        <w:pStyle w:val="Bibliography"/>
      </w:pPr>
      <w:r>
        <w:t xml:space="preserve">Scott Valley Area Plan Committee. 1980.</w:t>
      </w:r>
      <w:r>
        <w:t xml:space="preserve"> </w:t>
      </w:r>
      <w:r>
        <w:t xml:space="preserve">“Scott</w:t>
      </w:r>
      <w:r>
        <w:t xml:space="preserve"> </w:t>
      </w:r>
      <w:r>
        <w:t xml:space="preserve">Valley Area Plan</w:t>
      </w:r>
      <w:r>
        <w:t xml:space="preserve">.”</w:t>
      </w:r>
      <w:r>
        <w:t xml:space="preserve"> </w:t>
      </w:r>
      <w:r>
        <w:t xml:space="preserve">Siskiyou County.</w:t>
      </w:r>
    </w:p>
    <w:bookmarkEnd w:id="148"/>
    <w:bookmarkStart w:id="149" w:name="ref-SiskiyouCountyScott2021"/>
    <w:p>
      <w:pPr>
        <w:pStyle w:val="Bibliography"/>
      </w:pPr>
      <w:r>
        <w:t xml:space="preserve">Siskiyou County. 2021.</w:t>
      </w:r>
      <w:r>
        <w:t xml:space="preserve"> </w:t>
      </w:r>
      <w:r>
        <w:t xml:space="preserve">“Scott</w:t>
      </w:r>
      <w:r>
        <w:t xml:space="preserve"> </w:t>
      </w:r>
      <w:r>
        <w:t xml:space="preserve">Valley Groundwater Sustainability Plan</w:t>
      </w:r>
      <w:r>
        <w:t xml:space="preserve">.”</w:t>
      </w:r>
    </w:p>
    <w:bookmarkEnd w:id="149"/>
    <w:bookmarkStart w:id="150" w:name="X15105b7917297e4641cb2d2cfd1651756f7bcb0"/>
    <w:p>
      <w:pPr>
        <w:pStyle w:val="Bibliography"/>
      </w:pPr>
      <w:r>
        <w:t xml:space="preserve">Siskiyou County GSA - Scott Valley Groundwater Advisory Committee. 2021.</w:t>
      </w:r>
      <w:r>
        <w:t xml:space="preserve"> </w:t>
      </w:r>
      <w:r>
        <w:t xml:space="preserve">“Siskiyou</w:t>
      </w:r>
      <w:r>
        <w:t xml:space="preserve"> </w:t>
      </w:r>
      <w:r>
        <w:t xml:space="preserve">County Groundwater Sustainability Agency</w:t>
      </w:r>
      <w:r>
        <w:t xml:space="preserve">:</w:t>
      </w:r>
      <w:r>
        <w:t xml:space="preserve"> </w:t>
      </w:r>
      <w:r>
        <w:t xml:space="preserve">Scott Valley Advisory Committee Meeting</w:t>
      </w:r>
      <w:r>
        <w:t xml:space="preserve">.”</w:t>
      </w:r>
      <w:r>
        <w:t xml:space="preserve"> </w:t>
      </w:r>
      <w:r>
        <w:t xml:space="preserve">Fort Jones, CA: Siskiyou County.</w:t>
      </w:r>
    </w:p>
    <w:bookmarkEnd w:id="150"/>
    <w:bookmarkStart w:id="151" w:name="X2560a5ce8c29a4d10823717cd7284f11df015d4"/>
    <w:p>
      <w:pPr>
        <w:pStyle w:val="Bibliography"/>
      </w:pPr>
      <w:r>
        <w:t xml:space="preserve">State Water Resources Control Board. 2021.</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Klamath Watershed</w:t>
      </w:r>
      <w:r>
        <w:t xml:space="preserve">.”</w:t>
      </w:r>
      <w:r>
        <w:t xml:space="preserve"> </w:t>
      </w:r>
      <w:r>
        <w:t xml:space="preserve">{{NOTICE OF APPROVAL OF EMERGENCY REGULATORY ACTION}} OAL 2021-0820-05.</w:t>
      </w:r>
    </w:p>
    <w:bookmarkEnd w:id="151"/>
    <w:bookmarkStart w:id="152" w:name="Xc65d78564b05799285cd4578f858a1851ca0d64"/>
    <w:p>
      <w:pPr>
        <w:pStyle w:val="Bibliography"/>
      </w:pPr>
      <w:r>
        <w:t xml:space="preserve">———. 2024a.</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{{NOTICE OF APPROVAL OF EMERGENCY REGULATORY ACTION}} OAL 2024-0123-03.</w:t>
      </w:r>
    </w:p>
    <w:bookmarkEnd w:id="152"/>
    <w:bookmarkStart w:id="153" w:name="Xa7b10fbb32571a990cee2341e679d296b855974"/>
    <w:p>
      <w:pPr>
        <w:pStyle w:val="Bibliography"/>
      </w:pPr>
      <w:r>
        <w:t xml:space="preserve">———. 2024b.</w:t>
      </w:r>
      <w:r>
        <w:t xml:space="preserve"> </w:t>
      </w:r>
      <w:r>
        <w:t xml:space="preserve">“</w:t>
      </w:r>
      <w:r>
        <w:t xml:space="preserve">RESOLUTION NO</w:t>
      </w:r>
      <w:r>
        <w:t xml:space="preserve">. 2024-0036:</w:t>
      </w:r>
      <w:r>
        <w:t xml:space="preserve"> </w:t>
      </w:r>
      <w:r>
        <w:t xml:space="preserve">REGARDING FLOW EFFORTS IN THE SCOTT RIVER AND SHASTA RIVER WATERSHEDS</w:t>
      </w:r>
      <w:r>
        <w:t xml:space="preserve">.”</w:t>
      </w:r>
      <w:r>
        <w:t xml:space="preserve"> </w:t>
      </w:r>
      <w:r>
        <w:t xml:space="preserve">2024-0036.</w:t>
      </w:r>
    </w:p>
    <w:bookmarkEnd w:id="153"/>
    <w:bookmarkStart w:id="155" w:name="ref-SundingMeasuring1996"/>
    <w:p>
      <w:pPr>
        <w:pStyle w:val="Bibliography"/>
      </w:pPr>
      <w:r>
        <w:t xml:space="preserve">Sunding, David L. 1996.</w:t>
      </w:r>
      <w:r>
        <w:t xml:space="preserve"> </w:t>
      </w:r>
      <w:r>
        <w:t xml:space="preserve">“Measuring the</w:t>
      </w:r>
      <w:r>
        <w:t xml:space="preserve"> </w:t>
      </w:r>
      <w:r>
        <w:t xml:space="preserve">Marginal Cost</w:t>
      </w:r>
      <w:r>
        <w:t xml:space="preserve"> </w:t>
      </w:r>
      <w:r>
        <w:t xml:space="preserve">of</w:t>
      </w:r>
      <w:r>
        <w:t xml:space="preserve"> </w:t>
      </w:r>
      <w:r>
        <w:t xml:space="preserve">Nonuniform Environmental Regulations</w:t>
      </w:r>
      <w:r>
        <w:t xml:space="preserve">.”</w:t>
      </w:r>
      <w:r>
        <w:t xml:space="preserve"> </w:t>
      </w:r>
      <w:r>
        <w:rPr>
          <w:i/>
          <w:iCs/>
        </w:rPr>
        <w:t xml:space="preserve">American Journal of Agricultural Economics</w:t>
      </w:r>
      <w:r>
        <w:t xml:space="preserve"> </w:t>
      </w:r>
      <w:r>
        <w:t xml:space="preserve">78 (4): 1098–1107.</w:t>
      </w:r>
      <w:r>
        <w:t xml:space="preserve"> </w:t>
      </w:r>
      <w:hyperlink r:id="rId154">
        <w:r>
          <w:rPr>
            <w:rStyle w:val="Hyperlink"/>
          </w:rPr>
          <w:t xml:space="preserve">https://doi.org/10.2307/1243866</w:t>
        </w:r>
      </w:hyperlink>
      <w:r>
        <w:t xml:space="preserve">.</w:t>
      </w:r>
    </w:p>
    <w:bookmarkEnd w:id="155"/>
    <w:bookmarkStart w:id="157" w:name="ref-TolleyEtAlSensitivity2019"/>
    <w:p>
      <w:pPr>
        <w:pStyle w:val="Bibliography"/>
      </w:pPr>
      <w:r>
        <w:t xml:space="preserve">Tolley, D., L. Foglia, and T. Harter. 2019.</w:t>
      </w:r>
      <w:r>
        <w:t xml:space="preserve"> </w:t>
      </w:r>
      <w:r>
        <w:t xml:space="preserve">“Sensitivity</w:t>
      </w:r>
      <w:r>
        <w:t xml:space="preserve"> </w:t>
      </w:r>
      <w:r>
        <w:t xml:space="preserve">Analysis</w:t>
      </w:r>
      <w:r>
        <w:t xml:space="preserve"> </w:t>
      </w:r>
      <w:r>
        <w:t xml:space="preserve">and</w:t>
      </w:r>
      <w:r>
        <w:t xml:space="preserve"> </w:t>
      </w:r>
      <w:r>
        <w:t xml:space="preserve">Calibration</w:t>
      </w:r>
      <w:r>
        <w:t xml:space="preserve"> </w:t>
      </w:r>
      <w:r>
        <w:t xml:space="preserve">of an</w:t>
      </w:r>
      <w:r>
        <w:t xml:space="preserve"> </w:t>
      </w:r>
      <w:r>
        <w:t xml:space="preserve">Integrated Hydrologic Model</w:t>
      </w:r>
      <w:r>
        <w:t xml:space="preserve"> </w:t>
      </w:r>
      <w:r>
        <w:t xml:space="preserve">in an</w:t>
      </w:r>
      <w:r>
        <w:t xml:space="preserve"> </w:t>
      </w:r>
      <w:r>
        <w:t xml:space="preserve">Irrigated Agricultural Basin With</w:t>
      </w:r>
      <w:r>
        <w:t xml:space="preserve"> </w:t>
      </w:r>
      <w:r>
        <w:t xml:space="preserve">a</w:t>
      </w:r>
      <w:r>
        <w:t xml:space="preserve"> </w:t>
      </w:r>
      <w:r>
        <w:t xml:space="preserve">Groundwater-Dependent Ecosystem</w:t>
      </w:r>
      <w:r>
        <w:t xml:space="preserve">.”</w:t>
      </w:r>
      <w:r>
        <w:t xml:space="preserve"> </w:t>
      </w:r>
      <w:r>
        <w:rPr>
          <w:i/>
          <w:iCs/>
        </w:rPr>
        <w:t xml:space="preserve">Water Resources Research</w:t>
      </w:r>
      <w:r>
        <w:t xml:space="preserve"> </w:t>
      </w:r>
      <w:r>
        <w:t xml:space="preserve">55 (9): 7876–7901.</w:t>
      </w:r>
      <w:r>
        <w:t xml:space="preserve"> </w:t>
      </w:r>
      <w:hyperlink r:id="rId156">
        <w:r>
          <w:rPr>
            <w:rStyle w:val="Hyperlink"/>
          </w:rPr>
          <w:t xml:space="preserve">https://doi.org/10.1029/2018WR024209</w:t>
        </w:r>
      </w:hyperlink>
      <w:r>
        <w:t xml:space="preserve">.</w:t>
      </w:r>
    </w:p>
    <w:bookmarkEnd w:id="157"/>
    <w:bookmarkStart w:id="159" w:name="ref-VanSteenbergenPromoting2006"/>
    <w:p>
      <w:pPr>
        <w:pStyle w:val="Bibliography"/>
      </w:pPr>
      <w:r>
        <w:t xml:space="preserve">Van Steenbergen, Frank. 2006.</w:t>
      </w:r>
      <w:r>
        <w:t xml:space="preserve"> </w:t>
      </w:r>
      <w:r>
        <w:t xml:space="preserve">“Promoting Local Management in Groundwater.”</w:t>
      </w:r>
      <w:r>
        <w:t xml:space="preserve"> </w:t>
      </w:r>
      <w:r>
        <w:rPr>
          <w:i/>
          <w:iCs/>
        </w:rPr>
        <w:t xml:space="preserve">Hydrogeology Journal</w:t>
      </w:r>
      <w:r>
        <w:t xml:space="preserve"> </w:t>
      </w:r>
      <w:r>
        <w:t xml:space="preserve">14 (3): 380–91.</w:t>
      </w:r>
      <w:r>
        <w:t xml:space="preserve"> </w:t>
      </w:r>
      <w:hyperlink r:id="rId158">
        <w:r>
          <w:rPr>
            <w:rStyle w:val="Hyperlink"/>
          </w:rPr>
          <w:t xml:space="preserve">https://doi.org/10.1007/s10040-005-0015-y</w:t>
        </w:r>
      </w:hyperlink>
      <w:r>
        <w:t xml:space="preserve">.</w:t>
      </w:r>
    </w:p>
    <w:bookmarkEnd w:id="159"/>
    <w:bookmarkStart w:id="161" w:name="ref-YarnellEtAlFunctional2015"/>
    <w:p>
      <w:pPr>
        <w:pStyle w:val="Bibliography"/>
      </w:pPr>
      <w:r>
        <w:t xml:space="preserve">Yarnell, Sarah M., Geoffrey E. Petts, John C. Schmidt, Alison A. Whipple, Erin E. Beller, Clifford N. Dahm, Peter Goodwin, and Joshua H. Viers. 2015.</w:t>
      </w:r>
      <w:r>
        <w:t xml:space="preserve"> </w:t>
      </w:r>
      <w:r>
        <w:t xml:space="preserve">“Functional</w:t>
      </w:r>
      <w:r>
        <w:t xml:space="preserve"> </w:t>
      </w:r>
      <w:r>
        <w:t xml:space="preserve">Flows</w:t>
      </w:r>
      <w:r>
        <w:t xml:space="preserve"> </w:t>
      </w:r>
      <w:r>
        <w:t xml:space="preserve">in</w:t>
      </w:r>
      <w:r>
        <w:t xml:space="preserve"> </w:t>
      </w:r>
      <w:r>
        <w:t xml:space="preserve">Modified Riverscapes</w:t>
      </w:r>
      <w:r>
        <w:t xml:space="preserve">:</w:t>
      </w:r>
      <w:r>
        <w:t xml:space="preserve"> </w:t>
      </w:r>
      <w:r>
        <w:t xml:space="preserve">Hydrographs</w:t>
      </w:r>
      <w:r>
        <w:t xml:space="preserve">,</w:t>
      </w:r>
      <w:r>
        <w:t xml:space="preserve"> </w:t>
      </w:r>
      <w:r>
        <w:t xml:space="preserve">Habitats</w:t>
      </w:r>
      <w:r>
        <w:t xml:space="preserve"> </w:t>
      </w:r>
      <w:r>
        <w:t xml:space="preserve">and</w:t>
      </w:r>
      <w:r>
        <w:t xml:space="preserve"> </w:t>
      </w:r>
      <w:r>
        <w:t xml:space="preserve">Opportunities</w:t>
      </w:r>
      <w:r>
        <w:t xml:space="preserve">.”</w:t>
      </w:r>
      <w:r>
        <w:t xml:space="preserve"> </w:t>
      </w:r>
      <w:r>
        <w:rPr>
          <w:i/>
          <w:iCs/>
        </w:rPr>
        <w:t xml:space="preserve">BioScience</w:t>
      </w:r>
      <w:r>
        <w:t xml:space="preserve"> </w:t>
      </w:r>
      <w:r>
        <w:t xml:space="preserve">65 (10): 963–72.</w:t>
      </w:r>
      <w:r>
        <w:t xml:space="preserve"> </w:t>
      </w:r>
      <w:hyperlink r:id="rId160">
        <w:r>
          <w:rPr>
            <w:rStyle w:val="Hyperlink"/>
          </w:rPr>
          <w:t xml:space="preserve">https://doi.org/10.1093/biosci/biv102</w:t>
        </w:r>
      </w:hyperlink>
      <w:r>
        <w:t xml:space="preserve">.</w:t>
      </w:r>
    </w:p>
    <w:bookmarkEnd w:id="161"/>
    <w:bookmarkStart w:id="163" w:name="ref-YehBeckerMultiobjective1982"/>
    <w:p>
      <w:pPr>
        <w:pStyle w:val="Bibliography"/>
      </w:pPr>
      <w:r>
        <w:t xml:space="preserve">Yeh, William W-G., and Leonard Becker. 1982.</w:t>
      </w:r>
      <w:r>
        <w:t xml:space="preserve"> </w:t>
      </w:r>
      <w:r>
        <w:t xml:space="preserve">“Multiobjective Analysis of Multireservoir Operations.”</w:t>
      </w:r>
      <w:r>
        <w:t xml:space="preserve"> </w:t>
      </w:r>
      <w:r>
        <w:rPr>
          <w:i/>
          <w:iCs/>
        </w:rPr>
        <w:t xml:space="preserve">Water Resources Research</w:t>
      </w:r>
      <w:r>
        <w:t xml:space="preserve"> </w:t>
      </w:r>
      <w:r>
        <w:t xml:space="preserve">18 (5): 1326–36.</w:t>
      </w:r>
      <w:r>
        <w:t xml:space="preserve"> </w:t>
      </w:r>
      <w:hyperlink r:id="rId162">
        <w:r>
          <w:rPr>
            <w:rStyle w:val="Hyperlink"/>
          </w:rPr>
          <w:t xml:space="preserve">https://doi.org/10.1029/WR018i005p01326</w:t>
        </w:r>
      </w:hyperlink>
      <w:r>
        <w:t xml:space="preserve">.</w:t>
      </w:r>
    </w:p>
    <w:bookmarkEnd w:id="163"/>
    <w:bookmarkStart w:id="164" w:name="X8bf5592004e543b04dfcfc3edb39663c8006d78"/>
    <w:p>
      <w:pPr>
        <w:pStyle w:val="Bibliography"/>
      </w:pPr>
      <w:r>
        <w:t xml:space="preserve">Yolo Subbasin Groundwater Agency. 2022.</w:t>
      </w:r>
      <w:r>
        <w:t xml:space="preserve"> </w:t>
      </w:r>
      <w:r>
        <w:t xml:space="preserve">“Yolo</w:t>
      </w:r>
      <w:r>
        <w:t xml:space="preserve"> </w:t>
      </w:r>
      <w:r>
        <w:t xml:space="preserve">Subbasin Groundwater Sustainability Plan</w:t>
      </w:r>
      <w:r>
        <w:t xml:space="preserve">.”</w:t>
      </w:r>
      <w:r>
        <w:t xml:space="preserve"> </w:t>
      </w:r>
      <w:r>
        <w:t xml:space="preserve">Woodland, CA.</w:t>
      </w:r>
    </w:p>
    <w:bookmarkEnd w:id="164"/>
    <w:bookmarkEnd w:id="165"/>
    <w:p>
      <w:r>
        <w:br w:type="page"/>
      </w:r>
    </w:p>
    <w:bookmarkEnd w:id="166"/>
    <w:bookmarkStart w:id="167" w:name="X6c1a78753bbdca554aba589b0aa85ab8ac746bf"/>
    <w:p>
      <w:pPr>
        <w:pStyle w:val="Heading1"/>
      </w:pPr>
      <w:r>
        <w:rPr>
          <w:rStyle w:val="SectionNumber"/>
        </w:rPr>
        <w:t xml:space="preserve">8</w:t>
      </w:r>
      <w:r>
        <w:tab/>
      </w:r>
      <w:r>
        <w:t xml:space="preserve">Supplement: Fish-Farm Results from all four Hydrologic Benefit function formulations</w:t>
      </w:r>
    </w:p>
    <w:p>
      <w:pPr>
        <w:pStyle w:val="FirstParagraph"/>
      </w:pPr>
      <w:r>
        <w:t xml:space="preserve">For each species, across all statistical methods, the coefficients for any single predictor were consistently negative or positive; e.g.,</w:t>
      </w:r>
    </w:p>
    <w:p>
      <w:pPr>
        <w:pStyle w:val="BodyText"/>
      </w:pPr>
      <w:r>
        <w:t xml:space="preserve">The Hydrologic Benefit (HB) function is intended to estimate the ecological value (in units of fish production) provided to fish by specific flow values (e.g., timing of fall flow increase; magnitude of dry season flow). This is expressed in conceptual mathematical terms as</w:t>
      </w:r>
      <w:r>
        <w:t xml:space="preserve"> </w:t>
      </w:r>
      <m:oMath>
        <m:r>
          <m:t>f</m:t>
        </m:r>
        <m:r>
          <m:t>i</m:t>
        </m:r>
        <m:r>
          <m:t>s</m:t>
        </m:r>
        <m:r>
          <m:t>h</m:t>
        </m:r>
        <m:r>
          <m:rPr>
            <m:sty m:val="p"/>
          </m:rPr>
          <m:t>=</m:t>
        </m:r>
        <m:r>
          <m:t>b</m:t>
        </m:r>
        <m:r>
          <m:rPr>
            <m:sty m:val="p"/>
          </m:rPr>
          <m:t>+</m:t>
        </m:r>
        <m:sSub>
          <m:e>
            <m:r>
              <m:t>m</m:t>
            </m:r>
          </m:e>
          <m:sub>
            <m:r>
              <m:t>1</m:t>
            </m:r>
          </m:sub>
        </m:sSub>
        <m:r>
          <m:rPr>
            <m:sty m:val="p"/>
          </m:rPr>
          <m:t>*</m:t>
        </m:r>
        <m:r>
          <m:t>f</m:t>
        </m:r>
        <m:r>
          <m:t>l</m:t>
        </m:r>
        <m:r>
          <m:t>o</m:t>
        </m:r>
        <m:sSub>
          <m:e>
            <m:r>
              <m:t>w</m:t>
            </m:r>
          </m:e>
          <m:sub>
            <m:r>
              <m:t>1</m:t>
            </m:r>
          </m:sub>
        </m:sSub>
        <m:r>
          <m:rPr>
            <m:sty m:val="p"/>
          </m:rPr>
          <m:t>+</m:t>
        </m:r>
        <m:sSub>
          <m:e>
            <m:r>
              <m:t>m</m:t>
            </m:r>
          </m:e>
          <m:sub>
            <m:r>
              <m:t>1</m:t>
            </m:r>
          </m:sub>
        </m:sSub>
        <m:r>
          <m:rPr>
            <m:sty m:val="p"/>
          </m:rPr>
          <m:t>*</m:t>
        </m:r>
        <m:r>
          <m:t>f</m:t>
        </m:r>
        <m:r>
          <m:t>l</m:t>
        </m:r>
        <m:r>
          <m:t>o</m:t>
        </m:r>
        <m:sSub>
          <m:e>
            <m:r>
              <m:t>w</m:t>
            </m:r>
          </m:e>
          <m:sub>
            <m:r>
              <m:t>2</m:t>
            </m:r>
          </m:sub>
        </m:sSub>
        <m:r>
          <m:t> </m:t>
        </m:r>
        <m:r>
          <m:rPr>
            <m:sty m:val="p"/>
          </m:rPr>
          <m:t>⋯</m:t>
        </m:r>
      </m:oMath>
      <w:r>
        <w:t xml:space="preserve">; see methods in</w:t>
      </w:r>
      <w:r>
        <w:t xml:space="preserve"> </w:t>
      </w:r>
      <w:r>
        <w:t xml:space="preserve">Kouba et al. (2025)</w:t>
      </w:r>
      <w:r>
        <w:t xml:space="preserve"> </w:t>
      </w:r>
      <w:r>
        <w:t xml:space="preserve">for more details. It’s important to note that, in this dataset, only 40-60% of variation in fish outcome was explained in models based on flow data, and the HB function does not constitute a prediction of the number of fish outmigrating in a given year.</w:t>
      </w:r>
    </w:p>
    <w:p>
      <w:pPr>
        <w:pStyle w:val="BodyText"/>
      </w:pPr>
      <w:r>
        <w:t xml:space="preserve">Specifically, the results below are based on statistical models, using LASSO regression, of reproductive output for two species of salmon (coho and Chinook) in the Scott River stream system. Reproductive output is expressed in units of outmigrating juvenile abundance and normalized juveniles-per-adult spawner; two reproductive units for two species yields the four HB function formulations.</w:t>
      </w:r>
    </w:p>
    <w:p>
      <w:pPr>
        <w:pStyle w:val="BodyText"/>
      </w:pPr>
      <w:r>
        <w:t xml:space="preserve">While MARSS models were used as a tool for identifying important functional flows in</w:t>
      </w:r>
      <w:r>
        <w:t xml:space="preserve"> </w:t>
      </w:r>
      <w:r>
        <w:t xml:space="preserve">(Kouba et al. 2025)</w:t>
      </w:r>
      <w:r>
        <w:t xml:space="preserve">,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in an alternate reality under the different management scenarios, which is not possible. Similarly, LASSO models which included spawner abundance as a predictor were also not included in this exercise.</w:t>
      </w:r>
    </w:p>
    <w:p>
      <w:pPr>
        <w:pStyle w:val="BodyText"/>
      </w:pPr>
      <w:r>
        <w:t xml:space="preserve">Consequently, only LASSO models dependent on hydrologic variables were evaluated as potential tools to forecast the outcomes of flow change on fish reproduction.</w:t>
      </w:r>
    </w:p>
    <w:bookmarkEnd w:id="1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86" Target="media/rId86.jpg" /><Relationship Type="http://schemas.openxmlformats.org/officeDocument/2006/relationships/hyperlink" Id="rId102" Target="https://doi.org/10.1002/eap.3013" TargetMode="External" /><Relationship Type="http://schemas.openxmlformats.org/officeDocument/2006/relationships/hyperlink" Id="rId126" Target="https://doi.org/10.1002/eco.70098" TargetMode="External" /><Relationship Type="http://schemas.openxmlformats.org/officeDocument/2006/relationships/hyperlink" Id="rId134" Target="https://doi.org/10.1007/BF03161678" TargetMode="External" /><Relationship Type="http://schemas.openxmlformats.org/officeDocument/2006/relationships/hyperlink" Id="rId158" Target="https://doi.org/10.1007/s10040-005-0015-y" TargetMode="External" /><Relationship Type="http://schemas.openxmlformats.org/officeDocument/2006/relationships/hyperlink" Id="rId140" Target="https://doi.org/10.1016/j.envsci.2016.05.006" TargetMode="External" /><Relationship Type="http://schemas.openxmlformats.org/officeDocument/2006/relationships/hyperlink" Id="rId145" Target="https://doi.org/10.1016/j.jhydrol.2020.124787" TargetMode="External" /><Relationship Type="http://schemas.openxmlformats.org/officeDocument/2006/relationships/hyperlink" Id="rId123" Target="https://doi.org/10.1029/2004WR003787" TargetMode="External" /><Relationship Type="http://schemas.openxmlformats.org/officeDocument/2006/relationships/hyperlink" Id="rId156" Target="https://doi.org/10.1029/2018WR024209" TargetMode="External" /><Relationship Type="http://schemas.openxmlformats.org/officeDocument/2006/relationships/hyperlink" Id="rId116" Target="https://doi.org/10.1029/WR009i004p00826" TargetMode="External" /><Relationship Type="http://schemas.openxmlformats.org/officeDocument/2006/relationships/hyperlink" Id="rId137" Target="https://doi.org/10.1029/WR009i004p00837" TargetMode="External" /><Relationship Type="http://schemas.openxmlformats.org/officeDocument/2006/relationships/hyperlink" Id="rId162" Target="https://doi.org/10.1029/WR018i005p01326" TargetMode="External" /><Relationship Type="http://schemas.openxmlformats.org/officeDocument/2006/relationships/hyperlink" Id="rId160" Target="https://doi.org/10.1093/biosci/biv102" TargetMode="External" /><Relationship Type="http://schemas.openxmlformats.org/officeDocument/2006/relationships/hyperlink" Id="rId142" Target="https://doi.org/10.1111/fwb.13070" TargetMode="External" /><Relationship Type="http://schemas.openxmlformats.org/officeDocument/2006/relationships/hyperlink" Id="rId120" Target="https://doi.org/10.1111/j.1752-1688.2000.tb04280.x" TargetMode="External" /><Relationship Type="http://schemas.openxmlformats.org/officeDocument/2006/relationships/hyperlink" Id="rId106" Target="https://doi.org/10.1577/1548-8675(1994)014&lt;0237:HDACSO&gt;2.3.CO;2" TargetMode="External" /><Relationship Type="http://schemas.openxmlformats.org/officeDocument/2006/relationships/hyperlink" Id="rId114" Target="https://doi.org/10.2135/cropsci1983.0011183X002300040016x" TargetMode="External" /><Relationship Type="http://schemas.openxmlformats.org/officeDocument/2006/relationships/hyperlink" Id="rId154" Target="https://doi.org/10.2307/1243866" TargetMode="External" /><Relationship Type="http://schemas.openxmlformats.org/officeDocument/2006/relationships/hyperlink" Id="rId128" Target="https://doi.org/10.3133/wsp1462" TargetMode="External" /><Relationship Type="http://schemas.openxmlformats.org/officeDocument/2006/relationships/hyperlink" Id="rId104" Target="https://doi.org/10.3389/fclim.2021.719150"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2/eap.3013" TargetMode="External" /><Relationship Type="http://schemas.openxmlformats.org/officeDocument/2006/relationships/hyperlink" Id="rId126" Target="https://doi.org/10.1002/eco.70098" TargetMode="External" /><Relationship Type="http://schemas.openxmlformats.org/officeDocument/2006/relationships/hyperlink" Id="rId134" Target="https://doi.org/10.1007/BF03161678" TargetMode="External" /><Relationship Type="http://schemas.openxmlformats.org/officeDocument/2006/relationships/hyperlink" Id="rId158" Target="https://doi.org/10.1007/s10040-005-0015-y" TargetMode="External" /><Relationship Type="http://schemas.openxmlformats.org/officeDocument/2006/relationships/hyperlink" Id="rId140" Target="https://doi.org/10.1016/j.envsci.2016.05.006" TargetMode="External" /><Relationship Type="http://schemas.openxmlformats.org/officeDocument/2006/relationships/hyperlink" Id="rId145" Target="https://doi.org/10.1016/j.jhydrol.2020.124787" TargetMode="External" /><Relationship Type="http://schemas.openxmlformats.org/officeDocument/2006/relationships/hyperlink" Id="rId123" Target="https://doi.org/10.1029/2004WR003787" TargetMode="External" /><Relationship Type="http://schemas.openxmlformats.org/officeDocument/2006/relationships/hyperlink" Id="rId156" Target="https://doi.org/10.1029/2018WR024209" TargetMode="External" /><Relationship Type="http://schemas.openxmlformats.org/officeDocument/2006/relationships/hyperlink" Id="rId116" Target="https://doi.org/10.1029/WR009i004p00826" TargetMode="External" /><Relationship Type="http://schemas.openxmlformats.org/officeDocument/2006/relationships/hyperlink" Id="rId137" Target="https://doi.org/10.1029/WR009i004p00837" TargetMode="External" /><Relationship Type="http://schemas.openxmlformats.org/officeDocument/2006/relationships/hyperlink" Id="rId162" Target="https://doi.org/10.1029/WR018i005p01326" TargetMode="External" /><Relationship Type="http://schemas.openxmlformats.org/officeDocument/2006/relationships/hyperlink" Id="rId160" Target="https://doi.org/10.1093/biosci/biv102" TargetMode="External" /><Relationship Type="http://schemas.openxmlformats.org/officeDocument/2006/relationships/hyperlink" Id="rId142" Target="https://doi.org/10.1111/fwb.13070" TargetMode="External" /><Relationship Type="http://schemas.openxmlformats.org/officeDocument/2006/relationships/hyperlink" Id="rId120" Target="https://doi.org/10.1111/j.1752-1688.2000.tb04280.x" TargetMode="External" /><Relationship Type="http://schemas.openxmlformats.org/officeDocument/2006/relationships/hyperlink" Id="rId106" Target="https://doi.org/10.1577/1548-8675(1994)014&lt;0237:HDACSO&gt;2.3.CO;2" TargetMode="External" /><Relationship Type="http://schemas.openxmlformats.org/officeDocument/2006/relationships/hyperlink" Id="rId114" Target="https://doi.org/10.2135/cropsci1983.0011183X002300040016x" TargetMode="External" /><Relationship Type="http://schemas.openxmlformats.org/officeDocument/2006/relationships/hyperlink" Id="rId154" Target="https://doi.org/10.2307/1243866" TargetMode="External" /><Relationship Type="http://schemas.openxmlformats.org/officeDocument/2006/relationships/hyperlink" Id="rId128" Target="https://doi.org/10.3133/wsp1462" TargetMode="External" /><Relationship Type="http://schemas.openxmlformats.org/officeDocument/2006/relationships/hyperlink" Id="rId104" Target="https://doi.org/10.3389/fclim.2021.7191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Farms, fish, and cost: Locally-tailored objective functions expand utility of watershed model results and clarify trade-offs in an active local water planning process, northern California</dc:title>
  <dc:creator>Claire Kouba</dc:creator>
  <cp:keywords/>
  <dcterms:created xsi:type="dcterms:W3CDTF">2026-02-26T00:18:37Z</dcterms:created>
  <dcterms:modified xsi:type="dcterms:W3CDTF">2026-02-26T00:18:37Z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