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3F043E" w14:textId="77777777" w:rsidR="00C65401" w:rsidRDefault="00000000">
      <w:pPr>
        <w:pStyle w:val="Title"/>
      </w:pPr>
      <w:r>
        <w:t>Multi-objective assessment of a stakeholder-defined portfolio of groundwater and stream management actions in an agricultural basin</w:t>
      </w:r>
    </w:p>
    <w:p w14:paraId="0F92A0FC" w14:textId="77777777" w:rsidR="00C65401" w:rsidRDefault="00000000">
      <w:pPr>
        <w:pStyle w:val="Author"/>
      </w:pPr>
      <w:r>
        <w:t>Claire Kouba</w:t>
      </w:r>
    </w:p>
    <w:p w14:paraId="0736960D" w14:textId="77777777" w:rsidR="00C65401" w:rsidRDefault="00000000">
      <w:pPr>
        <w:pStyle w:val="Date"/>
      </w:pPr>
      <w:r>
        <w:t>2025-11-12</w:t>
      </w:r>
    </w:p>
    <w:p w14:paraId="54273488" w14:textId="77777777" w:rsidR="00C65401" w:rsidRDefault="00000000">
      <w:pPr>
        <w:pStyle w:val="Heading1"/>
      </w:pPr>
      <w:bookmarkStart w:id="0" w:name="X259363cb3bef7752798402bb6a66c834ff43f93"/>
      <w:r>
        <w:rPr>
          <w:rStyle w:val="SectionNumber"/>
        </w:rPr>
        <w:t>1</w:t>
      </w:r>
      <w:r>
        <w:tab/>
        <w:t>Fish-Farm Results of 4 HB function formulations</w:t>
      </w:r>
    </w:p>
    <w:p w14:paraId="7F172E01" w14:textId="77777777" w:rsidR="00C65401" w:rsidRDefault="00000000">
      <w:pPr>
        <w:pStyle w:val="FirstParagraph"/>
      </w:pPr>
      <w:r>
        <w:t>While MARSS models were used as a tool for identifying important functional flows in (</w:t>
      </w:r>
      <w:r>
        <w:rPr>
          <w:b/>
          <w:bCs/>
        </w:rPr>
        <w:t>KoubaEtAlWatershed2025?</w:t>
      </w:r>
      <w:r>
        <w:t>),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under the different management scenarios, which are not possible.</w:t>
      </w:r>
    </w:p>
    <w:p w14:paraId="374CCC15" w14:textId="77777777" w:rsidR="00C65401" w:rsidRDefault="00000000">
      <w:pPr>
        <w:pStyle w:val="BodyText"/>
      </w:pPr>
      <w:r>
        <w:t>Consequently, only LASSO models dependent on hydrologic variables (and not including spawner abundance as a predictor) were evaluated as potential tools to forecast the outcomes of flow change on fish reproduction.</w:t>
      </w:r>
    </w:p>
    <w:p w14:paraId="183E14E1" w14:textId="77777777" w:rsidR="00C65401" w:rsidRDefault="00000000">
      <w:pPr>
        <w:pStyle w:val="Heading2"/>
      </w:pPr>
      <w:bookmarkStart w:id="1" w:name="models-of-coho-reproductive-success"/>
      <w:r>
        <w:rPr>
          <w:rStyle w:val="SectionNumber"/>
        </w:rPr>
        <w:t>1.1</w:t>
      </w:r>
      <w:r>
        <w:tab/>
        <w:t>Models of coho reproductive success</w:t>
      </w:r>
    </w:p>
    <w:p w14:paraId="20B3A7A6" w14:textId="77777777" w:rsidR="00C65401" w:rsidRDefault="00000000">
      <w:pPr>
        <w:pStyle w:val="Heading3"/>
      </w:pPr>
      <w:bookmarkStart w:id="2" w:name="lasso-model-juvenile-abundance"/>
      <w:r>
        <w:rPr>
          <w:rStyle w:val="SectionNumber"/>
        </w:rPr>
        <w:t>1.1.1</w:t>
      </w:r>
      <w:r>
        <w:tab/>
        <w:t>LASSO model, juvenile abundance</w:t>
      </w:r>
    </w:p>
    <w:p w14:paraId="27334FB7" w14:textId="77777777" w:rsidR="00C65401" w:rsidRDefault="00000000">
      <w:pPr>
        <w:pStyle w:val="TableCaption"/>
      </w:pPr>
      <w:bookmarkStart w:id="3" w:name="tab:coefTab01"/>
      <w:bookmarkEnd w:id="3"/>
      <w:r>
        <w:t>Table 1: Coefficients for the Hydrologic Benefit function, an emperical estimate of ecological services provided to coho salmon by specific functional flows. The predicted value is in units of log10(juveniles per spawner)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C65401" w14:paraId="166E093F" w14:textId="77777777" w:rsidTr="00C65401">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85F319"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CBFB33"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708368"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C65401" w14:paraId="282F216C" w14:textId="77777777" w:rsidTr="00C65401">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56EE9"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C9CE3"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1.592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B8BCE"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C65401" w14:paraId="41CD8158" w14:textId="77777777" w:rsidTr="00C65401">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1FFEE"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w1_Wet_Tim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4232E"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-0.007</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66DC2"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Earlier wet season onset (as eggs and fry)</w:t>
            </w:r>
          </w:p>
        </w:tc>
      </w:tr>
      <w:tr w:rsidR="00C65401" w14:paraId="15152659" w14:textId="77777777" w:rsidTr="00C65401">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7ECF5"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A1A43"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-0.012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E8370"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r w:rsidR="00C65401" w14:paraId="5C563873" w14:textId="77777777" w:rsidTr="00C65401">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6CE2D2"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f1_recon_120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467EDC"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-0.155</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7D9F54" w14:textId="77777777" w:rsidR="00C65401"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 xml:space="preserve">Earlier fall reconnection (during parents' </w:t>
            </w:r>
            <w:r>
              <w:rPr>
                <w:rFonts w:ascii="Arial" w:eastAsia="Arial" w:hAnsi="Arial" w:cs="Arial"/>
                <w:color w:val="000000"/>
                <w:sz w:val="22"/>
                <w:szCs w:val="22"/>
              </w:rPr>
              <w:lastRenderedPageBreak/>
              <w:t>spawning)</w:t>
            </w:r>
          </w:p>
        </w:tc>
      </w:tr>
    </w:tbl>
    <w:p w14:paraId="72C072EF" w14:textId="77777777" w:rsidR="00C65401" w:rsidRDefault="00000000">
      <w:pPr>
        <w:pStyle w:val="SourceCode"/>
      </w:pPr>
      <w:r>
        <w:rPr>
          <w:rStyle w:val="VerbatimChar"/>
        </w:rPr>
        <w:lastRenderedPageBreak/>
        <w:t xml:space="preserve">## png </w:t>
      </w:r>
      <w:r>
        <w:br/>
      </w:r>
      <w:r>
        <w:rPr>
          <w:rStyle w:val="VerbatimChar"/>
        </w:rPr>
        <w:t>##   2</w:t>
      </w:r>
    </w:p>
    <w:p w14:paraId="5C062EE3" w14:textId="77777777" w:rsidR="00C65401" w:rsidRDefault="00000000">
      <w:pPr>
        <w:pStyle w:val="CaptionedFigure"/>
      </w:pPr>
      <w:r>
        <w:rPr>
          <w:noProof/>
        </w:rPr>
        <w:drawing>
          <wp:inline distT="0" distB="0" distL="0" distR="0" wp14:anchorId="5C4C25D0" wp14:editId="70538097">
            <wp:extent cx="5334000" cy="5334000"/>
            <wp:effectExtent l="0" t="0" r="0" b="0"/>
            <wp:docPr id="22" name="Picture" descr="Figure 1: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334000"/>
                    </a:xfrm>
                    <a:prstGeom prst="rect">
                      <a:avLst/>
                    </a:prstGeom>
                    <a:noFill/>
                    <a:ln w="9525">
                      <a:noFill/>
                      <a:headEnd/>
                      <a:tailEnd/>
                    </a:ln>
                  </pic:spPr>
                </pic:pic>
              </a:graphicData>
            </a:graphic>
          </wp:inline>
        </w:drawing>
      </w:r>
    </w:p>
    <w:p w14:paraId="7441A23D" w14:textId="77777777" w:rsidR="00C65401" w:rsidRDefault="00000000">
      <w:pPr>
        <w:pStyle w:val="ImageCaption"/>
      </w:pPr>
      <w:bookmarkStart w:id="4" w:name="fig:benefitByWY01"/>
      <w:bookmarkEnd w:id="4"/>
      <w:r>
        <w:t>Figure 1:  Comparison of annual performance in two objective functions (HB and ET, representing environmental and agricultural objectives, respectively), in the basecase (black circles) and management scenarios (diamond, cross or x symbols) for water years 1991-2025. Panels A and B show comparisons between basecase and one example scenario in each of three categories: Enhanced Recharge, Low Flow Diversion Limits, and Curtailment. Panels A and B show comparisons between basecase and different cutoff dates within the Alfalfa Irrigation category: July 15th, July 31st and August 15th. Dry-type water years (vertical bars) are 1991, ’92, ’94, 2001, ’09, ’13, ’14, ’18, and ’20-’22.</w:t>
      </w:r>
    </w:p>
    <w:p w14:paraId="14F9EDF5" w14:textId="77777777" w:rsidR="00C65401" w:rsidRDefault="00000000">
      <w:pPr>
        <w:pStyle w:val="SourceCode"/>
      </w:pPr>
      <w:r>
        <w:rPr>
          <w:rStyle w:val="VerbatimChar"/>
        </w:rPr>
        <w:lastRenderedPageBreak/>
        <w:t xml:space="preserve">## png </w:t>
      </w:r>
      <w:r>
        <w:br/>
      </w:r>
      <w:r>
        <w:rPr>
          <w:rStyle w:val="VerbatimChar"/>
        </w:rPr>
        <w:t>##   2</w:t>
      </w:r>
    </w:p>
    <w:p w14:paraId="532A83C7" w14:textId="77777777" w:rsidR="00C65401" w:rsidRDefault="00000000">
      <w:pPr>
        <w:pStyle w:val="CaptionedFigure"/>
      </w:pPr>
      <w:r>
        <w:rPr>
          <w:noProof/>
        </w:rPr>
        <w:drawing>
          <wp:inline distT="0" distB="0" distL="0" distR="0" wp14:anchorId="4E790D80" wp14:editId="1507D007">
            <wp:extent cx="5334000" cy="5334000"/>
            <wp:effectExtent l="0" t="0" r="0" b="0"/>
            <wp:docPr id="26" name="Picture" descr="Figure 2: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210E56D7" w14:textId="77777777" w:rsidR="00C65401" w:rsidRDefault="00000000">
      <w:pPr>
        <w:pStyle w:val="ImageCaption"/>
      </w:pPr>
      <w:bookmarkStart w:id="5" w:name="fig:farmerFishTradeoffFigure01"/>
      <w:bookmarkEnd w:id="5"/>
      <w:r>
        <w:t>Figure 2: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14:paraId="3E263F03" w14:textId="77777777" w:rsidR="00C65401" w:rsidRDefault="00000000">
      <w:pPr>
        <w:pStyle w:val="SourceCode"/>
      </w:pPr>
      <w:r>
        <w:rPr>
          <w:rStyle w:val="VerbatimChar"/>
        </w:rPr>
        <w:t xml:space="preserve">## png </w:t>
      </w:r>
      <w:r>
        <w:br/>
      </w:r>
      <w:r>
        <w:rPr>
          <w:rStyle w:val="VerbatimChar"/>
        </w:rPr>
        <w:t>##   2</w:t>
      </w:r>
      <w:bookmarkEnd w:id="0"/>
      <w:bookmarkEnd w:id="1"/>
      <w:bookmarkEnd w:id="2"/>
    </w:p>
    <w:sectPr w:rsidR="00C6540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22800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67198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C65401"/>
    <w:rsid w:val="002F5405"/>
    <w:rsid w:val="00C65401"/>
    <w:rsid w:val="00E126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620B"/>
  <w15:docId w15:val="{C08539FB-CE19-451E-8F88-46BBCF51A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431</Words>
  <Characters>2463</Characters>
  <Application>Microsoft Office Word</Application>
  <DocSecurity>0</DocSecurity>
  <Lines>20</Lines>
  <Paragraphs>5</Paragraphs>
  <ScaleCrop>false</ScaleCrop>
  <Company/>
  <LinksUpToDate>false</LinksUpToDate>
  <CharactersWithSpaces>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cp:lastModifiedBy>Kouba, Claire</cp:lastModifiedBy>
  <cp:revision>2</cp:revision>
  <dcterms:created xsi:type="dcterms:W3CDTF">2026-02-05T19:06:00Z</dcterms:created>
  <dcterms:modified xsi:type="dcterms:W3CDTF">2026-02-05T19:06:00Z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