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05B24" w14:textId="77777777" w:rsidR="00A34E4D" w:rsidRDefault="00000000">
      <w:pPr>
        <w:pStyle w:val="Title"/>
      </w:pPr>
      <w:r>
        <w:t>Multi-objective assessment of a stakeholder-defined portfolio of groundwater and stream management actions in an agricultural basin</w:t>
      </w:r>
    </w:p>
    <w:p w14:paraId="7D257075" w14:textId="77777777" w:rsidR="00A34E4D" w:rsidRDefault="00000000">
      <w:pPr>
        <w:pStyle w:val="Author"/>
      </w:pPr>
      <w:r>
        <w:t>Claire Kouba</w:t>
      </w:r>
    </w:p>
    <w:p w14:paraId="2058266D" w14:textId="77777777" w:rsidR="00A34E4D" w:rsidRDefault="00000000">
      <w:pPr>
        <w:pStyle w:val="Date"/>
      </w:pPr>
      <w:r>
        <w:t>2025-11-12</w:t>
      </w:r>
    </w:p>
    <w:p w14:paraId="70C6E90E" w14:textId="77777777" w:rsidR="00A34E4D" w:rsidRDefault="00000000">
      <w:pPr>
        <w:pStyle w:val="Heading1"/>
      </w:pPr>
      <w:bookmarkStart w:id="0" w:name="X259363cb3bef7752798402bb6a66c834ff43f93"/>
      <w:r>
        <w:rPr>
          <w:rStyle w:val="SectionNumber"/>
        </w:rPr>
        <w:t>1</w:t>
      </w:r>
      <w:r>
        <w:tab/>
        <w:t>Fish-Farm Results of 4 HB function formulations</w:t>
      </w:r>
    </w:p>
    <w:p w14:paraId="19E7A68A" w14:textId="77777777" w:rsidR="00A34E4D" w:rsidRDefault="00000000">
      <w:pPr>
        <w:pStyle w:val="FirstParagraph"/>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under the different management scenarios, which are not possible.</w:t>
      </w:r>
    </w:p>
    <w:p w14:paraId="66ECB7B3" w14:textId="77777777" w:rsidR="00A34E4D" w:rsidRDefault="00000000">
      <w:pPr>
        <w:pStyle w:val="BodyText"/>
      </w:pPr>
      <w:r>
        <w:t>Consequently, only LASSO models dependent on hydrologic variables (and not including spawner abundance as a predictor) were evaluated as potential tools to forecast the outcomes of flow change on fish reproduction.</w:t>
      </w:r>
    </w:p>
    <w:p w14:paraId="22503761" w14:textId="77777777" w:rsidR="00A34E4D" w:rsidRDefault="00000000">
      <w:pPr>
        <w:pStyle w:val="Heading2"/>
      </w:pPr>
      <w:bookmarkStart w:id="1" w:name="models-of-coho-reproductive-success"/>
      <w:r>
        <w:rPr>
          <w:rStyle w:val="SectionNumber"/>
        </w:rPr>
        <w:t>1.1</w:t>
      </w:r>
      <w:r>
        <w:tab/>
        <w:t>Models of coho reproductive success</w:t>
      </w:r>
    </w:p>
    <w:p w14:paraId="7A69468C" w14:textId="77777777" w:rsidR="00A34E4D" w:rsidRDefault="00000000">
      <w:pPr>
        <w:pStyle w:val="Heading3"/>
      </w:pPr>
      <w:bookmarkStart w:id="2" w:name="lasso-model-juvenile-abundance"/>
      <w:r>
        <w:rPr>
          <w:rStyle w:val="SectionNumber"/>
        </w:rPr>
        <w:t>1.1.1</w:t>
      </w:r>
      <w:r>
        <w:tab/>
        <w:t>LASSO model, juvenile abundance</w:t>
      </w:r>
    </w:p>
    <w:p w14:paraId="33C45F8C" w14:textId="77777777" w:rsidR="00A34E4D" w:rsidRDefault="00000000">
      <w:pPr>
        <w:pStyle w:val="TableCaption"/>
      </w:pPr>
      <w:bookmarkStart w:id="3" w:name="tab:coefTab01"/>
      <w:bookmarkEnd w:id="3"/>
      <w:r>
        <w:t>Table 1: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A34E4D" w14:paraId="4A28ACF9" w14:textId="77777777" w:rsidTr="00A34E4D">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24CE9"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9D5252"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BFF2A"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A34E4D" w14:paraId="046677CF" w14:textId="77777777" w:rsidTr="00A34E4D">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0A793"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96C8D"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60EE7"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A34E4D" w14:paraId="2E4098F7" w14:textId="77777777" w:rsidTr="00A34E4D">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EE30A"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8E23B"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C4FB"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A34E4D" w14:paraId="1E4498AC" w14:textId="77777777" w:rsidTr="00A34E4D">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1604"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E92EF"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7C1D9"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A34E4D" w14:paraId="54A50DFF" w14:textId="77777777" w:rsidTr="00A34E4D">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A1B51B"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DB69B"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3446E" w14:textId="77777777" w:rsidR="00A34E4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5B16C7E7" w14:textId="77777777" w:rsidR="00A34E4D" w:rsidRDefault="00000000">
      <w:pPr>
        <w:pStyle w:val="SourceCode"/>
      </w:pPr>
      <w:r>
        <w:rPr>
          <w:rStyle w:val="VerbatimChar"/>
        </w:rPr>
        <w:t xml:space="preserve">## png </w:t>
      </w:r>
      <w:r>
        <w:br/>
      </w:r>
      <w:r>
        <w:rPr>
          <w:rStyle w:val="VerbatimChar"/>
        </w:rPr>
        <w:t>##   2</w:t>
      </w:r>
    </w:p>
    <w:p w14:paraId="13FFC1B6" w14:textId="77777777" w:rsidR="00A34E4D" w:rsidRDefault="00000000">
      <w:pPr>
        <w:pStyle w:val="CaptionedFigure"/>
      </w:pPr>
      <w:r>
        <w:rPr>
          <w:noProof/>
        </w:rPr>
        <w:drawing>
          <wp:inline distT="0" distB="0" distL="0" distR="0" wp14:anchorId="38089AB2" wp14:editId="3D235E34">
            <wp:extent cx="5334000" cy="5334000"/>
            <wp:effectExtent l="0" t="0" r="0" b="0"/>
            <wp:docPr id="22" name="Picture" descr="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5334000"/>
                    </a:xfrm>
                    <a:prstGeom prst="rect">
                      <a:avLst/>
                    </a:prstGeom>
                    <a:noFill/>
                    <a:ln w="9525">
                      <a:noFill/>
                      <a:headEnd/>
                      <a:tailEnd/>
                    </a:ln>
                  </pic:spPr>
                </pic:pic>
              </a:graphicData>
            </a:graphic>
          </wp:inline>
        </w:drawing>
      </w:r>
    </w:p>
    <w:p w14:paraId="55B71FF5" w14:textId="77777777" w:rsidR="00A34E4D" w:rsidRDefault="00000000">
      <w:pPr>
        <w:pStyle w:val="ImageCaption"/>
      </w:pPr>
      <w:bookmarkStart w:id="4" w:name="fig:benefitByWY01"/>
      <w:bookmarkEnd w:id="4"/>
      <w:r>
        <w:t>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6D51E6B9" w14:textId="77777777" w:rsidR="00A34E4D" w:rsidRDefault="00000000">
      <w:pPr>
        <w:pStyle w:val="SourceCode"/>
      </w:pPr>
      <w:r>
        <w:rPr>
          <w:rStyle w:val="VerbatimChar"/>
        </w:rPr>
        <w:lastRenderedPageBreak/>
        <w:t xml:space="preserve">## png </w:t>
      </w:r>
      <w:r>
        <w:br/>
      </w:r>
      <w:r>
        <w:rPr>
          <w:rStyle w:val="VerbatimChar"/>
        </w:rPr>
        <w:t>##   2</w:t>
      </w:r>
    </w:p>
    <w:p w14:paraId="7A0D368C" w14:textId="77777777" w:rsidR="00A34E4D" w:rsidRDefault="00000000">
      <w:pPr>
        <w:pStyle w:val="CaptionedFigure"/>
      </w:pPr>
      <w:r>
        <w:rPr>
          <w:noProof/>
        </w:rPr>
        <w:drawing>
          <wp:inline distT="0" distB="0" distL="0" distR="0" wp14:anchorId="10E1CBEF" wp14:editId="41593789">
            <wp:extent cx="5334000" cy="5334000"/>
            <wp:effectExtent l="0" t="0" r="0" b="0"/>
            <wp:docPr id="26" name="Picture" descr="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67F29610" w14:textId="77777777" w:rsidR="00A34E4D" w:rsidRDefault="00000000">
      <w:pPr>
        <w:pStyle w:val="ImageCaption"/>
      </w:pPr>
      <w:bookmarkStart w:id="5" w:name="fig:farmerFishTradeoffFigure01"/>
      <w:bookmarkEnd w:id="5"/>
      <w:r>
        <w:t>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6073D1BB" w14:textId="77777777" w:rsidR="00A34E4D" w:rsidRDefault="00000000">
      <w:pPr>
        <w:pStyle w:val="SourceCode"/>
      </w:pPr>
      <w:r>
        <w:rPr>
          <w:rStyle w:val="VerbatimChar"/>
        </w:rPr>
        <w:t xml:space="preserve">## png </w:t>
      </w:r>
      <w:r>
        <w:br/>
      </w:r>
      <w:r>
        <w:rPr>
          <w:rStyle w:val="VerbatimChar"/>
        </w:rPr>
        <w:t>##   2</w:t>
      </w:r>
    </w:p>
    <w:p w14:paraId="5641DEAE" w14:textId="77777777" w:rsidR="00A34E4D" w:rsidRDefault="00000000">
      <w:pPr>
        <w:pStyle w:val="Bibliography"/>
      </w:pPr>
      <w:bookmarkStart w:id="6" w:name="ref-KoubaEtAlWatershedSpecific2025"/>
      <w:bookmarkStart w:id="7" w:name="refs"/>
      <w:r>
        <w:t xml:space="preserve">Kouba, Claire, Leland Scantlebury, Jason Wiener, Sarah Yarnell, and Thomas Harter. 2025. “A Watershed-Specific Approach to Identify Key Functional Flow Metrics Supporting </w:t>
      </w:r>
      <w:r>
        <w:lastRenderedPageBreak/>
        <w:t xml:space="preserve">Salmon Reproduction.” </w:t>
      </w:r>
      <w:r>
        <w:rPr>
          <w:i/>
          <w:iCs/>
        </w:rPr>
        <w:t>Ecohydrology : Ecosystems, Land and Water Process Interactions, Ecohydrogeomorphology</w:t>
      </w:r>
      <w:r>
        <w:t xml:space="preserve"> 18 (5): e70098. </w:t>
      </w:r>
      <w:hyperlink r:id="rId7">
        <w:r>
          <w:rPr>
            <w:rStyle w:val="Hyperlink"/>
          </w:rPr>
          <w:t>https://doi.org/10.1002/eco.70098</w:t>
        </w:r>
      </w:hyperlink>
      <w:r>
        <w:t>.</w:t>
      </w:r>
      <w:bookmarkEnd w:id="0"/>
      <w:bookmarkEnd w:id="1"/>
      <w:bookmarkEnd w:id="2"/>
      <w:bookmarkEnd w:id="6"/>
      <w:bookmarkEnd w:id="7"/>
    </w:p>
    <w:sectPr w:rsidR="00A34E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BBC11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084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4E4D"/>
    <w:rsid w:val="001A49D1"/>
    <w:rsid w:val="008A5F92"/>
    <w:rsid w:val="00A34E4D"/>
    <w:rsid w:val="00DB2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8445"/>
  <w15:docId w15:val="{352F1303-BBEB-417C-9041-EF1B0C9A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2/eco.700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cp:lastModifiedBy>Kouba, Claire</cp:lastModifiedBy>
  <cp:revision>2</cp:revision>
  <dcterms:created xsi:type="dcterms:W3CDTF">2026-02-05T21:44:00Z</dcterms:created>
  <dcterms:modified xsi:type="dcterms:W3CDTF">2026-02-05T21:44:00Z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