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54.png" ContentType="image/png"/>
  <Override PartName="/word/media/rId33.png" ContentType="image/png"/>
  <Override PartName="/word/media/rId37.png" ContentType="image/png"/>
  <Override PartName="/word/media/rId59.png" ContentType="image/png"/>
  <Override PartName="/word/media/rId63.png" ContentType="image/png"/>
  <Override PartName="/word/media/rId69.png" ContentType="image/png"/>
  <Override PartName="/word/media/rId145.png" ContentType="image/png"/>
  <Override PartName="/word/media/rId149.png" ContentType="image/png"/>
  <Override PartName="/word/media/rId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temporarily curtailed to preserve flows for aquatic species</w:t>
      </w:r>
      <w:r>
        <w:t xml:space="preserve"> </w:t>
      </w:r>
      <w:r>
        <w:t xml:space="preserve">(SWRCB 2021;</w:t>
      </w:r>
      <w:r>
        <w:t xml:space="preserve"> </w:t>
      </w: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STATE WATER RESOURCES CONTROL BOARD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8"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2"/>
        </w:numPr>
      </w:pPr>
      <w:r>
        <w:t xml:space="preserve">maximize specific environmental flows,</w:t>
      </w:r>
    </w:p>
    <w:p>
      <w:pPr>
        <w:pStyle w:val="Compact"/>
        <w:numPr>
          <w:ilvl w:val="0"/>
          <w:numId w:val="1002"/>
        </w:numPr>
      </w:pPr>
      <w:r>
        <w:t xml:space="preserve">maintain current levels of agricultural productivity (represented as minimizing reduction in agricultural water use), and</w:t>
      </w:r>
    </w:p>
    <w:p>
      <w:pPr>
        <w:pStyle w:val="Compact"/>
        <w:numPr>
          <w:ilvl w:val="0"/>
          <w:numId w:val="1002"/>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6"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relative degree to which a given water year provided ecological services needed by coho salmon can be empirically estimated using a Hydrologic Benefit (HB) function, which is represented as a linear combination of annual functional flow values. Functional flows are set of streamflow metrics related to the timing, amplitude, and duration of flow phenomena</w:t>
      </w:r>
      <w:r>
        <w:t xml:space="preserve"> </w:t>
      </w:r>
      <w:r>
        <w:t xml:space="preserve">(Yarnell et al. 2015; Patterson et al. 2020; Carpenter 2024)</w:t>
      </w:r>
      <w:r>
        <w:t xml:space="preserve"> </w:t>
      </w:r>
      <w:r>
        <w:t xml:space="preserve">were weighted according to their power to predict coho outcomes, such as smolt production or smolt production normalized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w:t>
      </w:r>
      <w:r>
        <w:t xml:space="preserve"> </w:t>
      </w:r>
      <w:r>
        <w:rPr>
          <w:b/>
          <w:bCs/>
        </w:rPr>
        <w:t xml:space="preserve">60%</w:t>
      </w:r>
      <w:r>
        <w:t xml:space="preserve"> </w:t>
      </w:r>
      <w:r>
        <w:t xml:space="preserve">of variation in observed smolt abundance, and the remaining 40% of variation is assumed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w:t>
      </w:r>
      <w:r>
        <w:t xml:space="preserve">).</w:t>
      </w:r>
    </w:p>
    <w:p>
      <w:pPr>
        <w:pStyle w:val="BodyText"/>
      </w:pPr>
      <w:r>
        <w:rPr>
          <w:b/>
          <w:bCs/>
        </w:rPr>
        <w:t xml:space="preserve">language on selecting smolt based on hydro only predictors, and only for coho</w:t>
      </w:r>
    </w:p>
    <w:bookmarkEnd w:id="46"/>
    <w:bookmarkStart w:id="48" w:name="ensemble-hb-function"/>
    <w:p>
      <w:pPr>
        <w:pStyle w:val="Heading3"/>
      </w:pPr>
      <w:r>
        <w:rPr>
          <w:rStyle w:val="SectionNumber"/>
        </w:rPr>
        <w:t xml:space="preserve">3.1.2</w:t>
      </w:r>
      <w:r>
        <w:tab/>
      </w:r>
      <w:r>
        <w:t xml:space="preserve">Ensemble HB function</w:t>
      </w:r>
    </w:p>
    <w:p>
      <w:pPr>
        <w:pStyle w:val="FirstParagraph"/>
      </w:pPr>
      <w:r>
        <w:t xml:space="preserve">For each species, across all statistical methods, the coefficients for any single predictor were consistently negative or positive; e.g.,</w:t>
      </w:r>
    </w:p>
    <w:p>
      <w:pPr>
        <w:pStyle w:val="TableCaption"/>
      </w:pPr>
      <w:bookmarkStart w:id="47" w:name="tab:coefTabMainText"/>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3.1.3</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w:t>
      </w:r>
      <w:r>
        <w:t xml:space="preserve"> </w:t>
      </w:r>
      <w:r>
        <w:rPr>
          <w:b/>
          <w:bCs/>
        </w:rPr>
        <w:t xml:space="preserve">and grain?</w:t>
      </w:r>
      <w:r>
        <w:t xml:space="preserv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3.1.4</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ParetoVilfredoCours1896?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3"/>
    <w:bookmarkEnd w:id="54"/>
    <w:bookmarkStart w:id="55"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w:t>
      </w:r>
      <w:r>
        <w:t xml:space="preserve"> </w:t>
      </w:r>
      <w:r>
        <w:rPr>
          <w:b/>
          <w:bCs/>
        </w:rPr>
        <w:t xml:space="preserve">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r>
        <w:t xml:space="preserve"> </w:t>
      </w:r>
      <w:r>
        <w:rPr>
          <w:b/>
          <w:bCs/>
        </w:rPr>
        <w:t xml:space="preserve">Add text re: Leland’s updates to SVIHM? Bah, should I rerun everything using the latest model version?</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4"/>
        </w:numPr>
      </w:pPr>
      <w:r>
        <w:t xml:space="preserve">A prediction of Scott River daily average flow at the Fort Jones Gauge, which is co-located with the surface water outlet of the model domain; and</w:t>
      </w:r>
    </w:p>
    <w:p>
      <w:pPr>
        <w:pStyle w:val="Compact"/>
        <w:numPr>
          <w:ilvl w:val="0"/>
          <w:numId w:val="1004"/>
        </w:numPr>
      </w:pPr>
      <w:r>
        <w:t xml:space="preserve">Simulated total ET of crops and native vegetation within the model domain.</w:t>
      </w:r>
    </w:p>
    <w:bookmarkEnd w:id="55"/>
    <w:bookmarkStart w:id="57"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End w:id="58"/>
    <w:bookmarkStart w:id="80"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A Hydrologic Benefit (HB) value (in units of</w:t>
      </w:r>
      <w:r>
        <w:t xml:space="preserve"> </w:t>
      </w:r>
      <w:r>
        <w:rPr>
          <w:b/>
          <w:bCs/>
        </w:rPr>
        <w:t xml:space="preserve">predicted coho smolt production per spawning female, or coho spf-equivalent</w:t>
      </w:r>
      <w:r>
        <w:t xml:space="preserve">) and a total crop ET volume was calculated for each water year in the 28-year simulation period, for each scenario. Each scenario has also been given an infrastructure feasibility proxy (Table</w:t>
      </w:r>
      <w:r>
        <w:t xml:space="preserve"> </w:t>
      </w:r>
      <w:r>
        <w:t xml:space="preserve">??</w:t>
      </w:r>
      <w:r>
        <w:t xml:space="preserve">).</w:t>
      </w:r>
    </w:p>
    <w:bookmarkStart w:id="68"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w:t>
      </w:r>
      <w:r>
        <w:t xml:space="preserve">) or using the 28-year mean values for each scenario (Figure</w:t>
      </w:r>
      <w:r>
        <w:t xml:space="preserve"> </w:t>
      </w:r>
      <w:r>
        <w:t xml:space="preserve">??</w:t>
      </w:r>
      <w:r>
        <w:t xml:space="preserve">; Table</w:t>
      </w:r>
      <w:r>
        <w:t xml:space="preserve"> </w:t>
      </w:r>
      <w:r>
        <w:t xml:space="preserve">??</w:t>
      </w:r>
      <w:r>
        <w:t xml:space="preserve">). In the basecase scenario, the 28-year mean annual ET volume is 118 million m</w:t>
      </w:r>
      <w:r>
        <w:rPr>
          <w:vertAlign w:val="superscript"/>
        </w:rPr>
        <w:t xml:space="preserve">3</w:t>
      </w:r>
      <w:r>
        <w:t xml:space="preserve"> </w:t>
      </w:r>
      <w:r>
        <w:t xml:space="preserve">of water, and the 28-year mean of annual HB values is 7812.2 coho spf-equivalent (Table</w:t>
      </w:r>
      <w:r>
        <w:t xml:space="preserve"> </w:t>
      </w:r>
      <w:r>
        <w:t xml:space="preserve">??</w:t>
      </w:r>
      <w:r>
        <w:t xml:space="preserve">). Annual ET volume is relatively stable over the model period of water years 1991-2018, while annual HB values are much more variable (Figure</w:t>
      </w:r>
      <w:r>
        <w:t xml:space="preserve"> </w:t>
      </w:r>
      <w:r>
        <w:t xml:space="preserve">??</w:t>
      </w:r>
      <w:r>
        <w:t xml:space="preserve">). Among the 39 management scenarios, mean ET values ranged from 0 to 118 million m</w:t>
      </w:r>
      <w:r>
        <w:rPr>
          <w:vertAlign w:val="superscript"/>
        </w:rPr>
        <w:t xml:space="preserve">3</w:t>
      </w:r>
      <w:r>
        <w:t xml:space="preserve"> </w:t>
      </w:r>
      <w:r>
        <w:t xml:space="preserve">of water, while HB values ranged from 7696.1 to 8446.4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7" w:name="tab:scenarioResultsTabMainText"/>
      <w:bookmarkEnd w:id="67"/>
      <w:r>
        <w:t xml:space="preserve">Table 5:</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8"/>
    <w:bookmarkStart w:id="73"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70" name="Picture"/>
            <a:graphic>
              <a:graphicData uri="http://schemas.openxmlformats.org/drawingml/2006/picture">
                <pic:pic>
                  <pic:nvPicPr>
                    <pic:cNvPr descr="Graphics%20and%20Supplements/Figure%207.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2" w:name="fig:efficiencyMainText"/>
      <w:bookmarkEnd w:id="72"/>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3"/>
    <w:bookmarkStart w:id="79"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5" name="Picture"/>
            <a:graphic>
              <a:graphicData uri="http://schemas.openxmlformats.org/drawingml/2006/picture">
                <pic:pic>
                  <pic:nvPicPr>
                    <pic:cNvPr descr="Graphics%20and%20Supplements/hbf%20et%20infra%20plot3d_2025.11.04.jpg" id="76" name="Picture"/>
                    <pic:cNvPicPr>
                      <a:picLocks noChangeArrowheads="1" noChangeAspect="1"/>
                    </pic:cNvPicPr>
                  </pic:nvPicPr>
                  <pic:blipFill>
                    <a:blip r:embed="rId74"/>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7" w:name="fig:farmerFishInfraFigure3D"/>
      <w:bookmarkEnd w:id="77"/>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8" w:name="tab:gspMgmtList"/>
      <w:bookmarkEnd w:id="78"/>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9"/>
    <w:bookmarkEnd w:id="80"/>
    <w:bookmarkStart w:id="86"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w:t>
      </w:r>
      <w:r>
        <w:t xml:space="preserve">).</w:t>
      </w:r>
    </w:p>
    <w:bookmarkEnd w:id="83"/>
    <w:bookmarkStart w:id="84"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(SWRCB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5"/>
    <w:bookmarkEnd w:id="86"/>
    <w:bookmarkStart w:id="87"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88" w:name="acknowledgments"/>
    <w:p>
      <w:pPr>
        <w:pStyle w:val="Heading1"/>
      </w:pPr>
      <w:r>
        <w:t xml:space="preserve">Acknowledgments</w:t>
      </w:r>
    </w:p>
    <w:bookmarkEnd w:id="88"/>
    <w:bookmarkStart w:id="143" w:name="references"/>
    <w:p>
      <w:pPr>
        <w:pStyle w:val="Heading1"/>
      </w:pPr>
      <w:r>
        <w:rPr>
          <w:rStyle w:val="SectionNumber"/>
        </w:rPr>
        <w:t xml:space="preserve">7</w:t>
      </w:r>
      <w:r>
        <w:tab/>
      </w:r>
      <w:r>
        <w:t xml:space="preserve">References</w:t>
      </w:r>
    </w:p>
    <w:bookmarkStart w:id="142" w:name="refs"/>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103"/>
    <w:bookmarkStart w:id="104"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104"/>
    <w:bookmarkStart w:id="105"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5"/>
    <w:bookmarkStart w:id="106"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6"/>
    <w:bookmarkStart w:id="108"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7">
        <w:r>
          <w:rPr>
            <w:rStyle w:val="Hyperlink"/>
          </w:rPr>
          <w:t xml:space="preserve">https://doi.org/10.1111/j.1752-1688.2000.tb04280.x</w:t>
        </w:r>
      </w:hyperlink>
      <w:r>
        <w:t xml:space="preserve">.</w:t>
      </w:r>
    </w:p>
    <w:bookmarkEnd w:id="108"/>
    <w:bookmarkStart w:id="109"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9"/>
    <w:bookmarkStart w:id="111"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0">
        <w:r>
          <w:rPr>
            <w:rStyle w:val="Hyperlink"/>
          </w:rPr>
          <w:t xml:space="preserve">https://doi.org/10.1029/2004WR003787</w:t>
        </w:r>
      </w:hyperlink>
      <w:r>
        <w:t xml:space="preserve">.</w:t>
      </w:r>
    </w:p>
    <w:bookmarkEnd w:id="111"/>
    <w:bookmarkStart w:id="113"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2">
        <w:r>
          <w:rPr>
            <w:rStyle w:val="Hyperlink"/>
          </w:rPr>
          <w:t xml:space="preserve">https://doi.org/10.1002/eco.70098</w:t>
        </w:r>
      </w:hyperlink>
      <w:r>
        <w:t xml:space="preserve">.</w:t>
      </w:r>
    </w:p>
    <w:bookmarkEnd w:id="113"/>
    <w:bookmarkStart w:id="115"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4">
        <w:r>
          <w:rPr>
            <w:rStyle w:val="Hyperlink"/>
          </w:rPr>
          <w:t xml:space="preserve">https://doi.org/10.3133/wsp1462</w:t>
        </w:r>
      </w:hyperlink>
      <w:r>
        <w:t xml:space="preserve">.</w:t>
      </w:r>
    </w:p>
    <w:bookmarkEnd w:id="115"/>
    <w:bookmarkStart w:id="11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6">
        <w:r>
          <w:rPr>
            <w:rStyle w:val="Hyperlink"/>
          </w:rPr>
          <w:t xml:space="preserve">https://doi.org/10.1007/BF03161678</w:t>
        </w:r>
      </w:hyperlink>
      <w:r>
        <w:t xml:space="preserve">.</w:t>
      </w:r>
    </w:p>
    <w:bookmarkEnd w:id="117"/>
    <w:bookmarkStart w:id="119"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18">
        <w:r>
          <w:rPr>
            <w:rStyle w:val="Hyperlink"/>
          </w:rPr>
          <w:t xml:space="preserve">https://doi.org/10.1029/WR009i004p00837</w:t>
        </w:r>
      </w:hyperlink>
      <w:r>
        <w:t xml:space="preserve">.</w:t>
      </w:r>
    </w:p>
    <w:bookmarkEnd w:id="119"/>
    <w:bookmarkStart w:id="121"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0">
        <w:r>
          <w:rPr>
            <w:rStyle w:val="Hyperlink"/>
          </w:rPr>
          <w:t xml:space="preserve">https://doi.org/10.1016/j.envsci.2016.05.006</w:t>
        </w:r>
      </w:hyperlink>
      <w:r>
        <w:t xml:space="preserve">.</w:t>
      </w:r>
    </w:p>
    <w:bookmarkEnd w:id="121"/>
    <w:bookmarkStart w:id="123"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2">
        <w:r>
          <w:rPr>
            <w:rStyle w:val="Hyperlink"/>
          </w:rPr>
          <w:t xml:space="preserve">https://doi.org/10.1111/fwb.13070</w:t>
        </w:r>
      </w:hyperlink>
      <w:r>
        <w:t xml:space="preserve">.</w:t>
      </w:r>
    </w:p>
    <w:bookmarkEnd w:id="123"/>
    <w:bookmarkStart w:id="12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24">
        <w:r>
          <w:rPr>
            <w:rStyle w:val="Hyperlink"/>
          </w:rPr>
          <w:t xml:space="preserve">https://doi.org/10.1016/j.jhydrol.2020.124787</w:t>
        </w:r>
      </w:hyperlink>
      <w:r>
        <w:t xml:space="preserve">.</w:t>
      </w:r>
    </w:p>
    <w:bookmarkEnd w:id="125"/>
    <w:bookmarkStart w:id="12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26"/>
    <w:bookmarkStart w:id="12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27"/>
    <w:bookmarkStart w:id="12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28"/>
    <w:bookmarkStart w:id="12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29"/>
    <w:bookmarkStart w:id="130"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0"/>
    <w:bookmarkStart w:id="132"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1">
        <w:r>
          <w:rPr>
            <w:rStyle w:val="Hyperlink"/>
          </w:rPr>
          <w:t xml:space="preserve">https://doi.org/10.2307/1243866</w:t>
        </w:r>
      </w:hyperlink>
      <w:r>
        <w:t xml:space="preserve">.</w:t>
      </w:r>
    </w:p>
    <w:bookmarkEnd w:id="132"/>
    <w:bookmarkStart w:id="13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33">
        <w:r>
          <w:rPr>
            <w:rStyle w:val="Hyperlink"/>
          </w:rPr>
          <w:t xml:space="preserve">https://doi.org/10.1029/2018WR024209</w:t>
        </w:r>
      </w:hyperlink>
      <w:r>
        <w:t xml:space="preserve">.</w:t>
      </w:r>
    </w:p>
    <w:bookmarkEnd w:id="134"/>
    <w:bookmarkStart w:id="136"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5">
        <w:r>
          <w:rPr>
            <w:rStyle w:val="Hyperlink"/>
          </w:rPr>
          <w:t xml:space="preserve">https://doi.org/10.1007/s10040-005-0015-y</w:t>
        </w:r>
      </w:hyperlink>
      <w:r>
        <w:t xml:space="preserve">.</w:t>
      </w:r>
    </w:p>
    <w:bookmarkEnd w:id="136"/>
    <w:bookmarkStart w:id="138"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37">
        <w:r>
          <w:rPr>
            <w:rStyle w:val="Hyperlink"/>
          </w:rPr>
          <w:t xml:space="preserve">https://doi.org/10.1093/biosci/biv102</w:t>
        </w:r>
      </w:hyperlink>
      <w:r>
        <w:t xml:space="preserve">.</w:t>
      </w:r>
    </w:p>
    <w:bookmarkEnd w:id="138"/>
    <w:bookmarkStart w:id="140"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39">
        <w:r>
          <w:rPr>
            <w:rStyle w:val="Hyperlink"/>
          </w:rPr>
          <w:t xml:space="preserve">https://doi.org/10.1029/WR018i005p01326</w:t>
        </w:r>
      </w:hyperlink>
      <w:r>
        <w:t xml:space="preserve">.</w:t>
      </w:r>
    </w:p>
    <w:bookmarkEnd w:id="140"/>
    <w:bookmarkStart w:id="141"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1"/>
    <w:bookmarkEnd w:id="142"/>
    <w:p>
      <w:r>
        <w:br w:type="page"/>
      </w:r>
    </w:p>
    <w:bookmarkEnd w:id="143"/>
    <w:bookmarkStart w:id="159" w:name="X9b855d9163b6cf718b2b2007e26d11ae6ed10ea"/>
    <w:p>
      <w:pPr>
        <w:pStyle w:val="Heading1"/>
      </w:pPr>
      <w:r>
        <w:rPr>
          <w:rStyle w:val="SectionNumber"/>
        </w:rPr>
        <w:t xml:space="preserve">8</w:t>
      </w:r>
      <w:r>
        <w:tab/>
      </w:r>
      <w:r>
        <w:t xml:space="preserve">Fish-Farm Results from all four Hydrologic Benefit function formulations</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Start w:id="158" w:name="coho-juvenile-abundance"/>
    <w:p>
      <w:pPr>
        <w:pStyle w:val="Heading2"/>
      </w:pPr>
      <w:r>
        <w:rPr>
          <w:rStyle w:val="SectionNumber"/>
        </w:rPr>
        <w:t xml:space="preserve">8.1</w:t>
      </w:r>
      <w:r>
        <w:tab/>
      </w:r>
      <w:r>
        <w:t xml:space="preserve">Coho, juvenile abundance</w:t>
      </w:r>
    </w:p>
    <w:p>
      <w:pPr>
        <w:pStyle w:val="TableCaption"/>
      </w:pPr>
      <w:bookmarkStart w:id="144" w:name="tab:coefTab01"/>
      <w:bookmarkEnd w:id="144"/>
      <w:r>
        <w:t xml:space="preserve">Table 7:</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9: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146" name="Picture"/>
            <a:graphic>
              <a:graphicData uri="http://schemas.openxmlformats.org/drawingml/2006/picture">
                <pic:pic>
                  <pic:nvPicPr>
                    <pic:cNvPr descr="Graphics%20and%20Supplements/Figure%208.png" id="147" name="Picture"/>
                    <pic:cNvPicPr>
                      <a:picLocks noChangeArrowheads="1" noChangeAspect="1"/>
                    </pic:cNvPicPr>
                  </pic:nvPicPr>
                  <pic:blipFill>
                    <a:blip r:embed="rId145"/>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148" w:name="fig:benefitByWY01"/>
      <w:bookmarkEnd w:id="148"/>
      <w:r>
        <w:t xml:space="preserve">Figure 9:</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10: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150" name="Picture"/>
            <a:graphic>
              <a:graphicData uri="http://schemas.openxmlformats.org/drawingml/2006/picture">
                <pic:pic>
                  <pic:nvPicPr>
                    <pic:cNvPr descr="Graphics%20and%20Supplements/Figure%209.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152" w:name="fig:farmerFishTradeoffFigure01"/>
      <w:bookmarkEnd w:id="152"/>
      <w:r>
        <w:t xml:space="preserve">Figure 10:</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r>
        <w:br w:type="page"/>
      </w:r>
    </w:p>
    <w:p>
      <w:pPr>
        <w:pStyle w:val="TableCaption"/>
      </w:pPr>
      <w:bookmarkStart w:id="153" w:name="tab:scenarioResultsTab01"/>
      <w:bookmarkEnd w:id="153"/>
      <w:r>
        <w:t xml:space="preserve">Table 8:</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11: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155" name="Picture"/>
            <a:graphic>
              <a:graphicData uri="http://schemas.openxmlformats.org/drawingml/2006/picture">
                <pic:pic>
                  <pic:nvPicPr>
                    <pic:cNvPr descr="Graphics%20and%20Supplements/Figure%2011.png" id="156" name="Picture"/>
                    <pic:cNvPicPr>
                      <a:picLocks noChangeArrowheads="1" noChangeAspect="1"/>
                    </pic:cNvPicPr>
                  </pic:nvPicPr>
                  <pic:blipFill>
                    <a:blip r:embed="rId15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157" w:name="fig:efficiency01"/>
      <w:bookmarkEnd w:id="157"/>
      <w:r>
        <w:t xml:space="preserve">Figure 11:</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r>
        <w:br w:type="page"/>
      </w:r>
    </w:p>
    <w:bookmarkEnd w:id="158"/>
    <w:bookmarkEnd w:id="159"/>
    <w:bookmarkStart w:id="160" w:name="references-1"/>
    <w:p>
      <w:pPr>
        <w:pStyle w:val="Heading1"/>
      </w:pPr>
      <w:r>
        <w:rPr>
          <w:rStyle w:val="SectionNumber"/>
        </w:rPr>
        <w:t xml:space="preserve">9</w:t>
      </w:r>
      <w:r>
        <w:tab/>
      </w:r>
      <w:r>
        <w:t xml:space="preserve">References</w:t>
      </w:r>
    </w:p>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54" Target="media/rId15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74" Target="media/rId74.jpg" /><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2026-02-13T19:40:35Z</dcterms:created>
  <dcterms:modified xsi:type="dcterms:W3CDTF">2026-02-13T19:40:35Z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