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3.png" ContentType="image/png"/>
  <Override PartName="/word/media/rId37.png" ContentType="image/png"/>
  <Override PartName="/word/media/rId57.png" ContentType="image/png"/>
  <Override PartName="/word/media/rId61.png" ContentType="image/png"/>
  <Override PartName="/word/media/rId67.png" ContentType="image/pn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Multi-objective assessment of stakeholder-defined portfolio of management options clarifies trade-offs in an active local water planning process</w:t>
      </w:r>
    </w:p>
    <w:p>
      <w:pPr>
        <w:pStyle w:val="Author"/>
      </w:pPr>
      <w:r>
        <w:t xml:space="preserve">Claire Kouba</w:t>
      </w:r>
    </w:p>
    <w:p>
      <w:pPr>
        <w:pStyle w:val="Date"/>
      </w:pPr>
      <w:r>
        <w:t xml:space="preserve">2025-11-12</w:t>
      </w:r>
    </w:p>
    <w:bookmarkStart w:id="20" w:name="abstract"/>
    <w:p>
      <w:pPr>
        <w:pStyle w:val="Heading1"/>
      </w:pPr>
      <w:r>
        <w:t xml:space="preserve">Abstract</w:t>
      </w:r>
    </w:p>
    <w:p>
      <w:pPr>
        <w:pStyle w:val="FirstParagraph"/>
      </w:pPr>
      <w:r>
        <w:t xml:space="preserve">In rural areas of western North America, agricultural and environmental water needs often come into conflict, and robust management of water resources may require predicting the hydrologic response of complex interconnected surface and groundwater systems to various management actions. Increasingly, to support policy choices, managers in California rely on analyses using hydrologic models, but in many cases these models can provide confusing or overwhelming amounts of information. In this study, we address these challenges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w:t>
      </w:r>
      <w:r>
        <w:t xml:space="preserve"> </w:t>
      </w:r>
      <w:r>
        <w:rPr>
          <w:b/>
          <w:bCs/>
        </w:rPr>
        <w:t xml:space="preserve">40</w:t>
      </w:r>
      <w:r>
        <w:t xml:space="preserve"> </w:t>
      </w:r>
      <w:r>
        <w:t xml:space="preserve">management scenarios developed for the GSP in Scott Valley in Northern California, which were simulated using an existing integrated surface- and groundwater model.</w:t>
      </w:r>
    </w:p>
    <w:p>
      <w:pPr>
        <w:pStyle w:val="BodyText"/>
      </w:pPr>
      <w: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 Finally, regarding regulatory actions, management interventions targeted at low-flow periods produced a more efficient gain in environmental flow value per cost in agricultural productivity. This work demonstrates that developing basin-specific, stakeholder-informed objective functions, especially ones using output from existing hydrologic models, can help clarify trade-offs in ongoing local water planning efforts</w:t>
      </w:r>
      <w:r>
        <w:t xml:space="preserve"> </w:t>
      </w:r>
      <w:r>
        <w:rPr>
          <w:b/>
          <w:bCs/>
        </w:rPr>
        <w:t xml:space="preserve">and summarize a rich landscape of many choices.</w:t>
      </w:r>
      <w:r>
        <w:t xml:space="preserve"> </w:t>
      </w:r>
      <w:r>
        <w:rPr>
          <w:i/>
          <w:iCs/>
        </w:rPr>
        <w:t xml:space="preserve">fix last sentence</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Climate adaptation in the water sector, in its many facets - such as securing our water and food supply, updating infrastructure to reduce flood and drought risk, and preserving ecosystem function - is best implemented at the local level</w:t>
      </w:r>
      <w:r>
        <w:t xml:space="preserve"> </w:t>
      </w:r>
      <w:r>
        <w:t xml:space="preserve">(e.g., Van Steenbergen 2006)</w:t>
      </w:r>
      <w:r>
        <w:t xml:space="preserve">. However, local water managers face a complex regulatory landscape and serve diverse stakeholders, and typically have unmet knowledge needs</w:t>
      </w:r>
      <w:r>
        <w:t xml:space="preserve"> </w:t>
      </w:r>
      <w:r>
        <w:t xml:space="preserve">(Bork and Hirokawa 2021; Nordgren, Stults, and Meerow 2016)</w:t>
      </w:r>
      <w:r>
        <w:t xml:space="preserve">. While academic hydrologists have the tools to fill such knowledge gaps, in many cases they avoid engaging with specific local water organizations, which can reduce the utility of the resulting research</w:t>
      </w:r>
      <w:r>
        <w:t xml:space="preserve"> </w:t>
      </w:r>
      <w:r>
        <w:t xml:space="preserve">(Freeman 2000)</w:t>
      </w:r>
      <w:r>
        <w:t xml:space="preserve">. In this study, we take advantage of the authors’ involvement with an existing water resource planning process, and a previously-developed integrated surface- and groundwater model, to test the utility of introducing quantitative objective functions into the prioritization of groundwater management alternatives.</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commonly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In this study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Our hypothesis was that an explicit objective function framework would yield different prioritization of management actions than the set agreed upon in public meetings, as recorded in the 2021 GSP. This work could help frame ongoing water planning efforts in Scott Valley, and constitutes an approach for supporting locally-driven water planning efforts in California and elsewhere.</w:t>
      </w:r>
      <w:r>
        <w:t xml:space="preserve"> </w:t>
      </w:r>
      <w:r>
        <w:rPr>
          <w:b/>
          <w:bCs/>
        </w:rPr>
        <w:t xml:space="preserve">possibly remove final sentence</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5" w:name="X525b2f83bcefbf206e3ace342b868d96bb1ee57"/>
    <w:p>
      <w:pPr>
        <w:pStyle w:val="Heading1"/>
      </w:pPr>
      <w:r>
        <w:rPr>
          <w:rStyle w:val="SectionNumber"/>
        </w:rPr>
        <w:t xml:space="preserve">2</w:t>
      </w:r>
      <w:r>
        <w:tab/>
      </w:r>
      <w:r>
        <w:t xml:space="preserve">Case study and summary of GSP development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The valley floor overlies unconsolidated alluvial sediments of up to 79 m (260 ft) thickness</w:t>
      </w:r>
      <w:r>
        <w:t xml:space="preserve"> </w:t>
      </w:r>
      <w:r>
        <w:t xml:space="preserve">(SWRCB 1975)</w:t>
      </w:r>
      <w:r>
        <w:t xml:space="preserve">. The sediments form a mostly unconfined aquifer system bordered by low permeable, fractured underlying and adjacent bedrock composed of mostly Paleozoic metasedimentary formations</w:t>
      </w:r>
      <w:r>
        <w:t xml:space="preserve"> </w:t>
      </w:r>
      <w:r>
        <w:t xml:space="preserve">(Mack 1958)</w:t>
      </w:r>
      <w:r>
        <w:t xml:space="preserve">. A key stream gauge (USGS Station ID 11519500, or the Fort Jones Gauge or FJ Gauge) is used to assess hydrologic conditions and inform water management decisions in the populated areas of the valley</w:t>
      </w:r>
      <w:r>
        <w:t xml:space="preserve"> </w:t>
      </w:r>
      <w:r>
        <w:t xml:space="preserve">(e.g., Siskiyou County 2021)</w:t>
      </w:r>
      <w:r>
        <w:t xml:space="preserve"> </w:t>
      </w:r>
      <w:r>
        <w:t xml:space="preserve">(Figure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Melting snowpack in the surrounding mountains generates streamflow from April through July, though onset and duration of snowmelt varies based on the snowpack volume and timing of warm air temperatures. This seasonality in water input creates seasonal flow in the Scott River and tributary streams, which experience a pronounced wet season and dry season with high and low flows, respectively (Figure</w:t>
      </w:r>
      <w:r>
        <w:t xml:space="preserve"> </w:t>
      </w:r>
      <w:r>
        <w:t xml:space="preserve">2</w:t>
      </w:r>
      <w:r>
        <w:t xml:space="preserve">, panel C).</w:t>
      </w:r>
    </w:p>
    <w:p>
      <w:pPr>
        <w:pStyle w:val="BodyText"/>
      </w:pPr>
      <w:r>
        <w:t xml:space="preserve">Streams and groundwater are highly interconnected in the Scott River watershed. Tributary streams and the Scott River are a source of recharge to the aquifer, and groundwater discharge sustains streamflow in some areas, especially during the dry season of August-October or November. In the past two decades, in most dry-to-average type water years, the water table elevation has fallen below the stream bed and reaches of the Scott River have gone dry</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Much of the upper mountainous area of the watershed is part of the Klamath National Forest. On the valley floor, according to land use surveys conducted by DWR</w:t>
      </w:r>
      <w:r>
        <w:t xml:space="preserve"> </w:t>
      </w:r>
      <w:r>
        <w:t xml:space="preserve">(DWR 2017)</w:t>
      </w:r>
      <w:r>
        <w:t xml:space="preserve">, half of the area overlying the alluvial aquifer is covered by agriculture, with most of that split approximately evenly between pasture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(Scott Valley Area Plan Committee 1980)</w:t>
      </w:r>
      <w:r>
        <w:t xml:space="preserve">. Regulating land use to improve ecological outcomes entails significant economic, political and social risks, because much of the economic activity in this area is related to agriculture. In addition, Scott River conditions influence fish population dynamics both within the watershed and in the broader Klamath system.</w:t>
      </w:r>
      <w:r>
        <w:t xml:space="preserve"> </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at certain times of year are necessary to the survival of vulnerable species in the Scott River watershed.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1"/>
        </w:numPr>
      </w:pPr>
      <w:r>
        <w:t xml:space="preserve">Fall flows, increasing after the dry season in response to early wet season storms, that occur early enough to provide adult fall-run spawners access to preferred spawning reaches;</w:t>
      </w:r>
    </w:p>
    <w:p>
      <w:pPr>
        <w:pStyle w:val="Compact"/>
        <w:numPr>
          <w:ilvl w:val="0"/>
          <w:numId w:val="1001"/>
        </w:numPr>
      </w:pPr>
      <w:r>
        <w:t xml:space="preserve">Flows providing habitat for rearing juvenile salmon for their ~12-15 months of freshwater residence; and</w:t>
      </w:r>
    </w:p>
    <w:p>
      <w:pPr>
        <w:pStyle w:val="Compact"/>
        <w:numPr>
          <w:ilvl w:val="0"/>
          <w:numId w:val="1001"/>
        </w:numPr>
      </w:pPr>
      <w:r>
        <w:t xml:space="preserve">Sufficient flow in the spring for yearling smolts to migrate to the ocean.</w:t>
      </w:r>
    </w:p>
    <w:p>
      <w:pPr>
        <w:pStyle w:val="FirstParagraph"/>
      </w:pPr>
      <w:r>
        <w:t xml:space="preserve">Different functional flows are needed by other fish, such as Chinook</w:t>
      </w:r>
      <w:r>
        <w:t xml:space="preserve"> </w:t>
      </w:r>
      <w:r>
        <w:t xml:space="preserve">(Kouba et al. 2025)</w:t>
      </w:r>
      <w:r>
        <w:t xml:space="preserve">; as well other species, such as cottonwood trees, which require flood-stage flows to disperse their seeds</w:t>
      </w:r>
      <w:r>
        <w:t xml:space="preserve"> </w:t>
      </w:r>
      <w:r>
        <w:t xml:space="preserve">(Mahoney and Rood 1998)</w:t>
      </w:r>
      <w:r>
        <w:t xml:space="preserve">; but in this work we focus on coho salmon as a straightforward examlple in developing an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 simulated for a historical model period of water years 1991-2018 (Oct. 1 of 1990 to Sept. 30 of 2025), using the calibrated Scott Valley Integrated Hydrologic Model [SVIHM;</w:t>
      </w:r>
      <w:r>
        <w:t xml:space="preserve"> </w:t>
      </w:r>
      <w:r>
        <w:t xml:space="preserve">Harter and Hines (2008)</w:t>
      </w:r>
      <w:r>
        <w:t xml:space="preserve">;</w:t>
      </w:r>
      <w:r>
        <w:t xml:space="preserve"> </w:t>
      </w:r>
      <w:r>
        <w:t xml:space="preserve">Foglia et al. (2013)</w:t>
      </w:r>
      <w:r>
        <w:t xml:space="preserve">;</w:t>
      </w:r>
      <w:r>
        <w:t xml:space="preserve"> </w:t>
      </w:r>
      <w:r>
        <w:t xml:space="preserve">Tolley, Foglia, and Harter (2019)</w:t>
      </w:r>
      <w:r>
        <w:t xml:space="preserve">]. Water demand for crops and native vegetation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In dry water years, initial soil moisture levels may be lower, and irrigation demand may be somewhat higher, though annual crop ET and irrigation demand is relatively stable year to year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defining a reasonable amount of streamflow depletion reversal, accounting for environmental water demand and what degree of agricultural water security was necessary to sustain the local economy.</w:t>
      </w:r>
    </w:p>
    <w:p>
      <w:pPr>
        <w:pStyle w:val="BodyText"/>
      </w:pPr>
      <w:r>
        <w:t xml:space="preserve">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w:t>
      </w:r>
    </w:p>
    <w:bookmarkEnd w:id="43"/>
    <w:bookmarkStart w:id="44" w:name="hydrologic-model-summary"/>
    <w:p>
      <w:pPr>
        <w:pStyle w:val="Heading2"/>
      </w:pPr>
      <w:r>
        <w:rPr>
          <w:rStyle w:val="SectionNumber"/>
        </w:rPr>
        <w:t xml:space="preserve">2.4</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inputs, and reference evapotranspiration (ET</w:t>
      </w:r>
      <w:r>
        <w:rPr>
          <w:vertAlign w:val="subscript"/>
        </w:rPr>
        <w:t xml:space="preserve">0</w:t>
      </w:r>
      <w:r>
        <w:t xml:space="preserve">). Like all models, it does not perfectly reproduce observed historical measurements,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forcing period, 1991-2018. (For purposes of this study, the model period has been extended through Sept. 30, 2025.) Scenario simulations repeat the calibrated historical basecase simulation of SVIHM using specified sets of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2"/>
        </w:numPr>
      </w:pPr>
      <w:r>
        <w:t xml:space="preserve">A prediction of Scott River daily average flow at the Fort Jones Gauge, which is co-located with the surface water outlet of the model domain; and</w:t>
      </w:r>
    </w:p>
    <w:p>
      <w:pPr>
        <w:pStyle w:val="Compact"/>
        <w:numPr>
          <w:ilvl w:val="0"/>
          <w:numId w:val="1002"/>
        </w:numPr>
      </w:pPr>
      <w:r>
        <w:t xml:space="preserve">Simulated total ET of crops and native vegetation within the model domain.</w:t>
      </w:r>
    </w:p>
    <w:bookmarkEnd w:id="44"/>
    <w:bookmarkEnd w:id="45"/>
    <w:bookmarkStart w:id="79" w:name="methods"/>
    <w:p>
      <w:pPr>
        <w:pStyle w:val="Heading1"/>
      </w:pPr>
      <w:r>
        <w:rPr>
          <w:rStyle w:val="SectionNumber"/>
        </w:rPr>
        <w:t xml:space="preserve">3</w:t>
      </w:r>
      <w:r>
        <w:tab/>
      </w:r>
      <w:r>
        <w:t xml:space="preserve">Methods</w:t>
      </w:r>
    </w:p>
    <w:p>
      <w:pPr>
        <w:pStyle w:val="FirstParagraph"/>
      </w:pPr>
      <w:r>
        <w:t xml:space="preserve">We developed two objective functions and one categorical objective proxy to evaluate the management scenarios developed for the GSP. The three objectives were:</w:t>
      </w:r>
    </w:p>
    <w:p>
      <w:pPr>
        <w:pStyle w:val="Compact"/>
        <w:numPr>
          <w:ilvl w:val="0"/>
          <w:numId w:val="1003"/>
        </w:numPr>
      </w:pPr>
      <w:r>
        <w:t xml:space="preserve">maximize specific environmental flows,</w:t>
      </w:r>
    </w:p>
    <w:p>
      <w:pPr>
        <w:pStyle w:val="Compact"/>
        <w:numPr>
          <w:ilvl w:val="0"/>
          <w:numId w:val="1003"/>
        </w:numPr>
      </w:pPr>
      <w:r>
        <w:t xml:space="preserve">maintain current levels of agricultural productivity (represented as minimizing reduction in agricultural water use), and</w:t>
      </w:r>
    </w:p>
    <w:p>
      <w:pPr>
        <w:pStyle w:val="Compact"/>
        <w:numPr>
          <w:ilvl w:val="0"/>
          <w:numId w:val="1003"/>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6" w:name="tab:objFunctionTable"/>
      <w:bookmarkEnd w:id="46"/>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1" w:name="objective-functions"/>
    <w:p>
      <w:pPr>
        <w:pStyle w:val="Heading2"/>
      </w:pPr>
      <w:r>
        <w:rPr>
          <w:rStyle w:val="SectionNumber"/>
        </w:rPr>
        <w:t xml:space="preserve">3.1</w:t>
      </w:r>
      <w:r>
        <w:tab/>
      </w:r>
      <w:r>
        <w:t xml:space="preserve">Objective functions</w:t>
      </w:r>
    </w:p>
    <w:bookmarkStart w:id="48" w:name="hydrologic-benefit-function"/>
    <w:p>
      <w:pPr>
        <w:pStyle w:val="Heading3"/>
      </w:pPr>
      <w:r>
        <w:rPr>
          <w:rStyle w:val="SectionNumber"/>
        </w:rPr>
        <w:t xml:space="preserve">3.1.1</w:t>
      </w:r>
      <w:r>
        <w:tab/>
      </w:r>
      <w:r>
        <w:t xml:space="preserve">Hydrologic Benefit function</w:t>
      </w:r>
    </w:p>
    <w:p>
      <w:pPr>
        <w:pStyle w:val="FirstParagraph"/>
      </w:pPr>
      <w:r>
        <w:t xml:space="preserve">In previous work</w:t>
      </w:r>
      <w:r>
        <w:t xml:space="preserve"> </w:t>
      </w:r>
      <w:r>
        <w:t xml:space="preserve">(Kouba et al. 2025)</w:t>
      </w:r>
      <w:r>
        <w:t xml:space="preserve">, we showed that the degree to which the water year provided ecological services needed by coho salmon can be empirically estimated using a Hydrologic Benefit (HB) function, which is represented as a linear combination of annual functional flow values. A set of streamflow metrics related to the timing, amplitude, and duration of flow phenomena were weighted according to their power to predict coho smolt production per female spawner. The combination of these weighted metrics can be interpreted as a prediction of coho salmon reproduction</w:t>
      </w:r>
      <w:r>
        <w:t xml:space="preserve"> </w:t>
      </w:r>
      <w:r>
        <w:rPr>
          <w:i/>
          <w:iCs/>
        </w:rPr>
        <w:t xml:space="preserve">due to hydrologic factors</w:t>
      </w:r>
      <w:r>
        <w:t xml:space="preserve">. Importantly, the HB function selected for this exercise only explains about 60% of variation in observed smolt abundance, and the remaining 40% of variation is related to other life conditions, e.g., number of returning spawners, water quality, food resources, and internal fishery population dynamics.</w:t>
      </w:r>
    </w:p>
    <w:p>
      <w:pPr>
        <w:pStyle w:val="BodyText"/>
      </w:pPr>
      <w:r>
        <w:t xml:space="preserve">Specifically, the HB function predicts a higher number of coho smolt produced (coho smolt-equivalent) is related to higher fall flows during a cohort’s parents’ spawning, lower fall flows during a cohort’s time as overwintering yearlings, and a slower spring recession (see intercept and coefficient values in Table</w:t>
      </w:r>
      <w:r>
        <w:t xml:space="preserve"> </w:t>
      </w:r>
      <w:r>
        <w:t xml:space="preserve">3</w:t>
      </w:r>
      <w:r>
        <w:t xml:space="preserve">).</w:t>
      </w:r>
    </w:p>
    <w:p>
      <w:pPr>
        <w:pStyle w:val="BodyText"/>
      </w:pPr>
      <w:r>
        <w:rPr>
          <w:b/>
          <w:bCs/>
        </w:rPr>
        <w:t xml:space="preserve">language on selecting smolt based on hydro only predictors, and only for coho</w:t>
      </w:r>
    </w:p>
    <w:p>
      <w:pPr>
        <w:pStyle w:val="TableCaption"/>
      </w:pPr>
      <w:bookmarkStart w:id="47" w:name="tab:coefTab"/>
      <w:bookmarkEnd w:id="47"/>
      <w:r>
        <w:t xml:space="preserve">Table 3:</w:t>
      </w:r>
      <w:r>
        <w:t xml:space="preserve"> </w:t>
      </w:r>
      <w:r>
        <w:t xml:space="preserve">Coefficients for the Hydrologic Benefit function, an emperical estimate of ecological services provided to coho salmon by specific functional flows. The predicted value is in units of log10(coho smolt) produced due to hydrologic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flow increase (as juvenile fish)</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bl>
    <w:p>
      <w:pPr>
        <w:pStyle w:val="BodyText"/>
      </w:pPr>
      <w:r>
        <w:t xml:space="preserve">The HB function was formulated based on functional flow metrics of the observed daily average flow record of the FJ gauge (</w:t>
      </w:r>
      <m:oMath>
        <m:r>
          <m:t>F</m:t>
        </m:r>
        <m:sSub>
          <m:e>
            <m:r>
              <m:t>J</m:t>
            </m:r>
          </m:e>
          <m:sub>
            <m:r>
              <m:t>o</m:t>
            </m:r>
            <m:r>
              <m:t>b</m:t>
            </m:r>
            <m:r>
              <m:t>s</m:t>
            </m:r>
          </m:sub>
        </m:sSub>
      </m:oMath>
      <w:r>
        <w:t xml:space="preserve">). One key result of the historical basecase scenario is a simulated 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As a result of these differences, HB values calculated from flow metrics of</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tend to be higher than HB values derived from</w:t>
      </w:r>
      <w:r>
        <w:t xml:space="preserve"> </w:t>
      </w:r>
      <m:oMath>
        <m:r>
          <m:t>F</m:t>
        </m:r>
        <m:sSub>
          <m:e>
            <m:r>
              <m:t>J</m:t>
            </m:r>
          </m:e>
          <m:sub>
            <m:r>
              <m:t>o</m:t>
            </m:r>
            <m:r>
              <m:t>b</m:t>
            </m:r>
            <m:r>
              <m:t>s</m:t>
            </m:r>
          </m:sub>
        </m:sSub>
      </m:oMath>
      <w:r>
        <w:t xml:space="preserve"> </w:t>
      </w:r>
      <w:r>
        <w:t xml:space="preserve">by a mean of</w:t>
      </w:r>
      <w:r>
        <w:t xml:space="preserve"> </w:t>
      </w:r>
      <w:r>
        <w:rPr>
          <w:b/>
          <w:bCs/>
        </w:rPr>
        <w:t xml:space="preserve">4.5</w:t>
      </w:r>
      <w:r>
        <w:t xml:space="preserve"> </w:t>
      </w:r>
      <w:r>
        <w:t xml:space="preserve">coho spf-equiv.</w:t>
      </w:r>
    </w:p>
    <w:p>
      <w:pPr>
        <w:pStyle w:val="BodyText"/>
      </w:pPr>
      <w:r>
        <w:t xml:space="preserve">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p>
    <w:bookmarkEnd w:id="48"/>
    <w:bookmarkStart w:id="49"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bookmarkEnd w:id="49"/>
    <w:bookmarkStart w:id="50"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4"/>
        </w:numPr>
      </w:pPr>
      <w:r>
        <w:t xml:space="preserve">No feasibility barriers (basecase; maintain current practices)</w:t>
      </w:r>
    </w:p>
    <w:p>
      <w:pPr>
        <w:pStyle w:val="Compact"/>
        <w:numPr>
          <w:ilvl w:val="0"/>
          <w:numId w:val="1004"/>
        </w:numPr>
      </w:pPr>
      <w:r>
        <w:t xml:space="preserve">Implementable with current infrastructure</w:t>
      </w:r>
    </w:p>
    <w:p>
      <w:pPr>
        <w:pStyle w:val="Compact"/>
        <w:numPr>
          <w:ilvl w:val="0"/>
          <w:numId w:val="1004"/>
        </w:numPr>
      </w:pPr>
      <w:r>
        <w:t xml:space="preserve">Requires new infrastructure that would take 1-2 years to build</w:t>
      </w:r>
    </w:p>
    <w:p>
      <w:pPr>
        <w:pStyle w:val="Compact"/>
        <w:numPr>
          <w:ilvl w:val="0"/>
          <w:numId w:val="1004"/>
        </w:numPr>
      </w:pPr>
      <w:r>
        <w:t xml:space="preserve">Requires new infrastructure that would take 3-5 years to build</w:t>
      </w:r>
    </w:p>
    <w:p>
      <w:pPr>
        <w:pStyle w:val="Compact"/>
        <w:numPr>
          <w:ilvl w:val="0"/>
          <w:numId w:val="1004"/>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highly efficient irrigation systems (assigned to category 2). See Table</w:t>
      </w:r>
      <w:r>
        <w:t xml:space="preserve"> </w:t>
      </w:r>
      <w:r>
        <w:t xml:space="preserve">5</w:t>
      </w:r>
      <w:r>
        <w:t xml:space="preserve"> </w:t>
      </w:r>
      <w:r>
        <w:t xml:space="preserve">for full list of assigned categories.</w:t>
      </w:r>
    </w:p>
    <w:bookmarkEnd w:id="50"/>
    <w:bookmarkEnd w:id="51"/>
    <w:bookmarkStart w:id="54" w:name="analyses-of-objective-function-values"/>
    <w:p>
      <w:pPr>
        <w:pStyle w:val="Heading2"/>
      </w:pPr>
      <w:r>
        <w:rPr>
          <w:rStyle w:val="SectionNumber"/>
        </w:rPr>
        <w:t xml:space="preserve">3.2</w:t>
      </w:r>
      <w:r>
        <w:tab/>
      </w:r>
      <w:r>
        <w:t xml:space="preserve">Analyses of objective function values</w:t>
      </w:r>
    </w:p>
    <w:bookmarkStart w:id="52" w:name="trade-off-efficiency"/>
    <w:p>
      <w:pPr>
        <w:pStyle w:val="Heading3"/>
      </w:pPr>
      <w:r>
        <w:rPr>
          <w:rStyle w:val="SectionNumber"/>
        </w:rPr>
        <w:t xml:space="preserve">3.2.1</w:t>
      </w:r>
      <w:r>
        <w:tab/>
      </w:r>
      <w:r>
        <w:t xml:space="preserve">Trade-off efficiency</w:t>
      </w:r>
    </w:p>
    <w:p>
      <w:pPr>
        <w:pStyle w:val="FirstParagraph"/>
      </w:pPr>
      <w:r>
        <w:t xml:space="preserve">As discussed previously, balancing agricultural and environmental water demands in this watershed typically takes the form of seeking management actions that can improve flow conditions while minimizing the resulting reduction in agricultural water availability; in simple terms, to help fish while not harming farms. These objectives are non-commensurable (i.e., an estimated level of fish reproduction cannot be converted into units of agricultural productivity), making an explicit quantification and consideration of benefit trade-offs a critical feature of this decision-support analysis</w:t>
      </w:r>
      <w:r>
        <w:t xml:space="preserve"> </w:t>
      </w:r>
      <w:r>
        <w:t xml:space="preserve">(Cohon and Marks 1975)</w:t>
      </w:r>
      <w:r>
        <w:t xml:space="preserve">. Environmental benefits are less commonly quantified than agricultural costs</w:t>
      </w:r>
      <w:r>
        <w:t xml:space="preserve"> </w:t>
      </w:r>
      <w:r>
        <w:t xml:space="preserve">(e.g., Sunding 1996, which assessed numerical costs of a management action and assumed qualitative environmental/human health benefits)</w:t>
      </w:r>
      <w:r>
        <w:t xml:space="preserve">, but the HB function makes this trade-off quantification possible in the Scott Valley case.</w:t>
      </w:r>
    </w:p>
    <w:p>
      <w:pPr>
        <w:pStyle w:val="BodyText"/>
      </w:pPr>
      <w:r>
        <w:t xml:space="preserve">For this analysis, which is not intended to identify one</w:t>
      </w:r>
      <w:r>
        <w:t xml:space="preserve"> </w:t>
      </w:r>
      <w:r>
        <w:t xml:space="preserve">“best”</w:t>
      </w:r>
      <w:r>
        <w:t xml:space="preserve"> </w:t>
      </w:r>
      <w:r>
        <w:t xml:space="preserve">or optimal solution, these trade-offs can be considered using scenario objective value differences relative to their basecase (historical simulated) values. We will call this quantity the</w:t>
      </w:r>
      <w:r>
        <w:t xml:space="preserve"> </w:t>
      </w:r>
      <w:r>
        <w:t xml:space="preserve">“trade-off efficiency”</w:t>
      </w:r>
      <w:r>
        <w:t xml:space="preserve"> </w:t>
      </w:r>
      <w:r>
        <w:t xml:space="preserve">of a management scenario. For a given scenario, the trade-off efficiency, or</w:t>
      </w:r>
      <w:r>
        <w:t xml:space="preserve"> </w:t>
      </w:r>
      <m:oMath>
        <m:r>
          <m:t>E</m:t>
        </m:r>
        <m:r>
          <m:t>f</m:t>
        </m:r>
        <m:r>
          <m:t>f</m:t>
        </m:r>
        <m:r>
          <m:t> </m:t>
        </m:r>
        <m:r>
          <m:t>s</m:t>
        </m:r>
        <m:r>
          <m:t>c</m:t>
        </m:r>
        <m:r>
          <m:t>e</m:t>
        </m:r>
        <m:r>
          <m:t>n</m:t>
        </m:r>
        <m:r>
          <m:t> </m:t>
        </m:r>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(Equation (</w:t>
      </w:r>
      <w:r>
        <w:t xml:space="preserve">??</w:t>
      </w:r>
      <w:r>
        <w:t xml:space="preserve">)).</w:t>
      </w:r>
    </w:p>
    <w:p>
      <w:pPr>
        <w:pStyle w:val="BodyText"/>
      </w:pPr>
      <w:r>
        <w:t xml:space="preserve">An efficiency for a subset of years can be calculated by averaging the efficiency values over that set of water years only. The set of years with low basecase HB values (operationally defined as values lower than 45 coho spf-equivalent, composed of 1993, 1995, 2002, and 2014-16) is relevant to water managers (see Discussion), and is henceforth referred to as the set of</w:t>
      </w:r>
      <w:r>
        <w:t xml:space="preserve"> </w:t>
      </w:r>
      <w:r>
        <w:t xml:space="preserve">“low-coho”</w:t>
      </w:r>
      <w:r>
        <w:t xml:space="preserve"> </w:t>
      </w:r>
      <w:r>
        <w:t xml:space="preserve">years. A low-coho year efficiency was calculated in addition to the efficiencies averaged over all water years.</w:t>
      </w:r>
    </w:p>
    <w:p>
      <w:pPr>
        <w:pStyle w:val="BodyText"/>
      </w:pPr>
      <w:r>
        <w:t xml:space="preserve">$$</w:t>
      </w:r>
    </w:p>
    <w:p>
      <w:pPr>
        <w:pStyle w:val="BodyText"/>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2"/>
    <w:bookmarkStart w:id="53"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p>
      <w:pPr>
        <w:pStyle w:val="BodyText"/>
      </w:pPr>
      <w:r>
        <w:t xml:space="preserve">For example, the objective function values for the scenario simulating managed aquifer recharge and in-lieu recharge (MAR and ILR, or scenario identifier</w:t>
      </w:r>
      <w:r>
        <w:t xml:space="preserve"> </w:t>
      </w:r>
      <w:r>
        <w:rPr>
          <w:rStyle w:val="VerbatimChar"/>
        </w:rPr>
        <w:t xml:space="preserve">mar_ilr</w:t>
      </w:r>
      <w:r>
        <w:t xml:space="preserve">) are 76.1 predicted coho smolts per female equivalent (HB value), 111.0 million m</w:t>
      </w:r>
      <w:r>
        <w:rPr>
          <w:vertAlign w:val="superscript"/>
        </w:rPr>
        <w:t xml:space="preserve">3</w:t>
      </w:r>
      <w:r>
        <w:t xml:space="preserve"> </w:t>
      </w:r>
      <w:r>
        <w:t xml:space="preserve">of crop ET, and infrastructure category 3. Most scenarios (33) have a higher HB value than</w:t>
      </w:r>
      <w:r>
        <w:t xml:space="preserve"> </w:t>
      </w:r>
      <w:r>
        <w:rPr>
          <w:rStyle w:val="VerbatimChar"/>
        </w:rPr>
        <w:t xml:space="preserve">mar_ilr</w:t>
      </w:r>
      <w:r>
        <w:t xml:space="preserve">, but only eight have a higher ET value. Only the reservoir scenarios show up in both sets, with higher ET and higher HB value than</w:t>
      </w:r>
      <w:r>
        <w:t xml:space="preserve"> </w:t>
      </w:r>
      <w:r>
        <w:rPr>
          <w:rStyle w:val="VerbatimChar"/>
        </w:rPr>
        <w:t xml:space="preserve">mar_ilr</w:t>
      </w:r>
      <w:r>
        <w:t xml:space="preserve">. However, the reservoir scenarios are more difficult to implement, so any of those scenarios would have less desirable performance on the infrastructure objective. Consequently, since no scenarios perform better than</w:t>
      </w:r>
      <w:r>
        <w:t xml:space="preserve"> </w:t>
      </w:r>
      <w:r>
        <w:rPr>
          <w:rStyle w:val="VerbatimChar"/>
        </w:rPr>
        <w:t xml:space="preserve">mar_ilr</w:t>
      </w:r>
      <w:r>
        <w:t xml:space="preserve"> </w:t>
      </w:r>
      <w:r>
        <w:t xml:space="preserve">in more than one objective, it must be included in the Pareto-optimal set.</w:t>
      </w:r>
    </w:p>
    <w:bookmarkEnd w:id="53"/>
    <w:bookmarkEnd w:id="54"/>
    <w:bookmarkStart w:id="56" w:name="scenario-descriptions"/>
    <w:p>
      <w:pPr>
        <w:pStyle w:val="Heading2"/>
      </w:pPr>
      <w:r>
        <w:rPr>
          <w:rStyle w:val="SectionNumber"/>
        </w:rPr>
        <w:t xml:space="preserve">3.3</w:t>
      </w:r>
      <w:r>
        <w:tab/>
      </w:r>
      <w:r>
        <w:t xml:space="preserve">Scenario descriptions</w:t>
      </w:r>
    </w:p>
    <w:p>
      <w:pPr>
        <w:pStyle w:val="FirstParagraph"/>
      </w:pPr>
      <w:r>
        <w:t xml:space="preserve">For the Scott Valley GSP, this study simulated 64 management action scenarios, compared to between one and five scenarios modeled in most other California GSPs</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40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40 considered here.</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or an assumed crop water consumption of 80% versus 90% of historical). See</w:t>
      </w:r>
      <w:r>
        <w:t xml:space="preserve"> </w:t>
      </w:r>
      <w:r>
        <w:rPr>
          <w:i/>
          <w:iCs/>
        </w:rPr>
        <w:t xml:space="preserve">Chapter 2 Supplement</w:t>
      </w:r>
      <w:r>
        <w:t xml:space="preserve"> </w:t>
      </w:r>
      <w:r>
        <w:t xml:space="preserve">for more detailed scenario descriptions.</w:t>
      </w:r>
    </w:p>
    <w:p>
      <w:pPr>
        <w:pStyle w:val="TableCaption"/>
      </w:pPr>
      <w:bookmarkStart w:id="55" w:name="tab:scenCategoryTab"/>
      <w:bookmarkEnd w:id="55"/>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6"/>
    <w:bookmarkStart w:id="78" w:name="results"/>
    <w:p>
      <w:pPr>
        <w:pStyle w:val="Heading2"/>
      </w:pPr>
      <w:r>
        <w:rPr>
          <w:rStyle w:val="SectionNumber"/>
        </w:rPr>
        <w:t xml:space="preserve">3.4</w:t>
      </w:r>
      <w:r>
        <w:tab/>
      </w:r>
      <w:r>
        <w:t xml:space="preserve">Results</w:t>
      </w:r>
    </w:p>
    <w:p>
      <w:pPr>
        <w:pStyle w:val="FirstParagraph"/>
      </w:pPr>
      <w:r>
        <w:t xml:space="preserve">As described above, objective functions were used to quantitatively summarize the achievement of environmental and agricultural goals for the basecase and 27 management scenarios. A Hydrologic Benefit (HB) value (in units of predicted coho smolt production per spawning female, or coho spf-equivalent) and a total crop ET volume was calculated for each water year in the 28-year simulation period, for each scenario. Each scenario has also been given an infrastructure feasibility proxy (Table</w:t>
      </w:r>
      <w:r>
        <w:t xml:space="preserve"> </w:t>
      </w:r>
      <w:r>
        <w:t xml:space="preserve">5</w:t>
      </w:r>
      <w:r>
        <w:t xml:space="preserve">).</w:t>
      </w:r>
    </w:p>
    <w:bookmarkStart w:id="66" w:name="X7919b09686293416b4bcb59483f48ae87a57064"/>
    <w:p>
      <w:pPr>
        <w:pStyle w:val="Heading3"/>
      </w:pPr>
      <w:r>
        <w:rPr>
          <w:rStyle w:val="SectionNumber"/>
        </w:rPr>
        <w:t xml:space="preserve">3.4.1</w:t>
      </w:r>
      <w:r>
        <w:tab/>
      </w:r>
      <w:r>
        <w:t xml:space="preserve">Environmental and agricultural objective function values</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5:  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 title="" id="58" name="Picture"/>
            <a:graphic>
              <a:graphicData uri="http://schemas.openxmlformats.org/drawingml/2006/picture">
                <pic:pic>
                  <pic:nvPicPr>
                    <pic:cNvPr descr="Graphics%20and%20Supplements/Figure%204.pn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0" w:name="fig:benefitByWY"/>
      <w:bookmarkEnd w:id="60"/>
      <w:r>
        <w:t xml:space="preserve">Figure 5:</w:t>
      </w:r>
      <w:r>
        <w:t xml:space="preserve"> </w:t>
      </w:r>
      <w:r>
        <w:t xml:space="preserve"> </w:t>
      </w:r>
      <w:r>
        <w:t xml:space="preserve">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 title="" id="62" name="Picture"/>
            <a:graphic>
              <a:graphicData uri="http://schemas.openxmlformats.org/drawingml/2006/picture">
                <pic:pic>
                  <pic:nvPicPr>
                    <pic:cNvPr descr="Graphics%20and%20Supplements/Figure%205.pn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4" w:name="fig:farmerFishTradeoffFigure"/>
      <w:bookmarkEnd w:id="64"/>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w:t>
      </w:r>
    </w:p>
    <w:p>
      <w:pPr>
        <w:pStyle w:val="SourceCode"/>
      </w:pPr>
      <w:r>
        <w:rPr>
          <w:rStyle w:val="VerbatimChar"/>
        </w:rPr>
        <w:t xml:space="preserve">## png </w:t>
      </w:r>
      <w:r>
        <w:br/>
      </w:r>
      <w:r>
        <w:rPr>
          <w:rStyle w:val="VerbatimChar"/>
        </w:rPr>
        <w:t xml:space="preserve">##   2</w:t>
      </w:r>
    </w:p>
    <w:p>
      <w:pPr>
        <w:pStyle w:val="FirstParagraph"/>
      </w:pPr>
      <w:r>
        <w:t xml:space="preserve">The aggregate hydrologic impact of each management scenario can be compared against the historical basecase using the annual objective function values over the full 28-year record (e.g., Figure</w:t>
      </w:r>
      <w:r>
        <w:t xml:space="preserve"> </w:t>
      </w:r>
      <w:r>
        <w:t xml:space="preserve">5</w:t>
      </w:r>
      <w:r>
        <w:t xml:space="preserve">) or using the 28-year mean values for each scenario (Figure</w:t>
      </w:r>
      <w:r>
        <w:t xml:space="preserve"> </w:t>
      </w:r>
      <w:r>
        <w:t xml:space="preserve">6</w:t>
      </w:r>
      <w:r>
        <w:t xml:space="preserve">; Table</w:t>
      </w:r>
      <w:r>
        <w:t xml:space="preserve"> </w:t>
      </w:r>
      <w:r>
        <w:t xml:space="preserve">5</w:t>
      </w:r>
      <w:r>
        <w:t xml:space="preserve">). In the basecase scenario, the 28-year mean annual ET volume is 118 million m</w:t>
      </w:r>
      <w:r>
        <w:rPr>
          <w:vertAlign w:val="superscript"/>
        </w:rPr>
        <w:t xml:space="preserve">3</w:t>
      </w:r>
      <w:r>
        <w:t xml:space="preserve"> </w:t>
      </w:r>
      <w:r>
        <w:t xml:space="preserve">of water, and the 28-year mean of annual HB values is 8913.9 coho spf-equivalent (Table</w:t>
      </w:r>
      <w:r>
        <w:t xml:space="preserve"> </w:t>
      </w:r>
      <w:r>
        <w:t xml:space="preserve">5</w:t>
      </w:r>
      <w:r>
        <w:t xml:space="preserve">). Annual ET volume is relatively stable over the model period of water years 1991-2018, while annual HB values are much more variable (Figure</w:t>
      </w:r>
      <w:r>
        <w:t xml:space="preserve"> </w:t>
      </w:r>
      <w:r>
        <w:t xml:space="preserve">5</w:t>
      </w:r>
      <w:r>
        <w:t xml:space="preserve">). Among the 39 management scenarios, mean ET values ranged from 0 to 118 million m</w:t>
      </w:r>
      <w:r>
        <w:rPr>
          <w:vertAlign w:val="superscript"/>
        </w:rPr>
        <w:t xml:space="preserve">3</w:t>
      </w:r>
      <w:r>
        <w:t xml:space="preserve"> </w:t>
      </w:r>
      <w:r>
        <w:t xml:space="preserve">of water, while HB values ranged from 8834.4 to 9107.4 coho spf-equivalent.</w:t>
      </w:r>
    </w:p>
    <w:p>
      <w:pPr>
        <w:pStyle w:val="BodyText"/>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(Figure</w:t>
      </w:r>
      <w:r>
        <w:t xml:space="preserve"> </w:t>
      </w:r>
      <w:r>
        <w:t xml:space="preserve">6</w:t>
      </w:r>
      <w:r>
        <w:t xml:space="preserve">). The scenarios in this group all require some degree of infrastructure investment, and they have a minimal impact on crop ET: the mean ET values of scenarios in this cluster are 118 to 118 million m</w:t>
      </w:r>
      <w:r>
        <w:rPr>
          <w:vertAlign w:val="superscript"/>
        </w:rPr>
        <w:t xml:space="preserve">3</w:t>
      </w:r>
      <w:r>
        <w:t xml:space="preserve">, or 0 percent less to 0.2 percent more than basecase. Their mean improvement in HB values over the basecase ranges from -80 to 89 coho spf-equivalent.</w:t>
      </w:r>
    </w:p>
    <w:p>
      <w:pPr>
        <w:pStyle w:val="BodyText"/>
      </w:pPr>
      <w:r>
        <w:t xml:space="preserve">The mean ET volumes of the two Crop Change scenarios fall below those in the aforementioned cluster, with and million m</w:t>
      </w:r>
      <w:r>
        <w:rPr>
          <w:vertAlign w:val="superscript"/>
        </w:rPr>
        <w:t xml:space="preserve">3</w:t>
      </w:r>
      <w:r>
        <w:t xml:space="preserve">, while HB values are and respectively (Figure</w:t>
      </w:r>
      <w:r>
        <w:t xml:space="preserve"> </w:t>
      </w:r>
      <w:r>
        <w:t xml:space="preserve">6</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“farmer benefit”</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(Figure</w:t>
      </w:r>
      <w:r>
        <w:t xml:space="preserve"> </w:t>
      </w:r>
      <w:r>
        <w:t xml:space="preserve">6</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(Figure</w:t>
      </w:r>
      <w:r>
        <w:t xml:space="preserve"> </w:t>
      </w:r>
      <w:r>
        <w:t xml:space="preserve">1</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(CDFW 2021)</w:t>
      </w:r>
      <w:r>
        <w:t xml:space="preserve">. The mean ET values of scenarios in these two categories are 103 to 117 million m</w:t>
      </w:r>
      <w:r>
        <w:rPr>
          <w:vertAlign w:val="superscript"/>
        </w:rPr>
        <w:t xml:space="preserve">3</w:t>
      </w:r>
      <w:r>
        <w:t xml:space="preserve">, or 13 to 1 percent less than basecase; HB gains over basecase are 45 to 184 coho spf-equivalent.</w:t>
      </w:r>
    </w:p>
    <w:p>
      <w:pPr>
        <w:pStyle w:val="BodyText"/>
      </w:pPr>
      <w:r>
        <w:t xml:space="preserve">The third regulatory category, Low Flow Diversion Limits, regulates surface water diversion for irrigation, and contains only one scenario (Figure</w:t>
      </w:r>
      <w:r>
        <w:t xml:space="preserve"> </w:t>
      </w:r>
      <w:r>
        <w:t xml:space="preserve">6</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4 million m</w:t>
      </w:r>
      <w:r>
        <w:rPr>
          <w:vertAlign w:val="superscript"/>
        </w:rPr>
        <w:t xml:space="preserve">3</w:t>
      </w:r>
      <w:r>
        <w:t xml:space="preserve"> </w:t>
      </w:r>
      <w:r>
        <w:t xml:space="preserve">(~3%) less than basecase, while the mean HB value is 55 coho spf-equivalent greater than basecase.</w:t>
      </w:r>
    </w:p>
    <w:p>
      <w:pPr>
        <w:pStyle w:val="BodyText"/>
      </w:pPr>
      <w:r>
        <w:t xml:space="preserve">The remaining two categories, abbreviated as</w:t>
      </w:r>
      <w:r>
        <w:t xml:space="preserve"> </w:t>
      </w:r>
      <w:r>
        <w:t xml:space="preserve">“NatVeg”</w:t>
      </w:r>
      <w:r>
        <w:t xml:space="preserve"> </w:t>
      </w:r>
      <w:r>
        <w:t xml:space="preserve">and</w:t>
      </w:r>
      <w:r>
        <w:t xml:space="preserve"> </w:t>
      </w:r>
      <w:r>
        <w:t xml:space="preserve">“NatVegET”</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“pre-historic”</w:t>
      </w:r>
      <w:r>
        <w:t xml:space="preserve">,</w:t>
      </w:r>
      <w:r>
        <w:t xml:space="preserve"> </w:t>
      </w:r>
      <w:r>
        <w:t xml:space="preserve">“unimpaired”</w:t>
      </w:r>
      <w:r>
        <w:t xml:space="preserve">, or</w:t>
      </w:r>
      <w:r>
        <w:t xml:space="preserve"> </w:t>
      </w:r>
      <w:r>
        <w:t xml:space="preserve">“conservation”</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(Figure</w:t>
      </w:r>
      <w:r>
        <w:t xml:space="preserve"> </w:t>
      </w:r>
      <w:r>
        <w:t xml:space="preserve">6</w:t>
      </w:r>
      <w:r>
        <w:t xml:space="preserve">).</w:t>
      </w:r>
    </w:p>
    <w:p>
      <w:pPr>
        <w:pStyle w:val="BodyText"/>
      </w:pPr>
      <w:r>
        <w:t xml:space="preserve">The key geographic feature in the NatVeg and NatVegET scenarios is the</w:t>
      </w:r>
      <w:r>
        <w:t xml:space="preserve"> </w:t>
      </w:r>
      <w:r>
        <w:t xml:space="preserve">“Interconnected Zone”</w:t>
      </w:r>
      <w:r>
        <w:t xml:space="preserve"> </w:t>
      </w:r>
      <w:r>
        <w:t xml:space="preserve">in the 1980 Scott Valley surface water adjudication</w:t>
      </w:r>
      <w:r>
        <w:t xml:space="preserve"> </w:t>
      </w:r>
      <w:r>
        <w:t xml:space="preserve">(Superior Court of Siskiyou County 1980)</w:t>
      </w:r>
      <w:r>
        <w:t xml:space="preserve">, referred to here as the</w:t>
      </w:r>
      <w:r>
        <w:t xml:space="preserve"> </w:t>
      </w:r>
      <w:r>
        <w:t xml:space="preserve">“adjudicated zone”</w:t>
      </w:r>
      <w:r>
        <w:t xml:space="preserve"> </w:t>
      </w:r>
      <w:r>
        <w:t xml:space="preserve">of groundwater pumping (Figure</w:t>
      </w:r>
      <w:r>
        <w:t xml:space="preserve"> </w:t>
      </w:r>
      <w:r>
        <w:t xml:space="preserve">1</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
          <w:iCs/>
        </w:rPr>
        <w:t xml:space="preserve">Supplemental Material</w:t>
      </w:r>
      <w:r>
        <w:t xml:space="preserve"> </w:t>
      </w:r>
      <w:r>
        <w:t xml:space="preserve">for more details on this scenario design.)</w:t>
      </w:r>
    </w:p>
    <w:p>
      <w:pPr>
        <w:pStyle w:val="TableCaption"/>
      </w:pPr>
      <w:bookmarkStart w:id="65" w:name="tab:scenarioResultsTab"/>
      <w:bookmarkEnd w:id="65"/>
      <w:r>
        <w:t xml:space="preserve">Table 5:</w:t>
      </w:r>
      <w:r>
        <w:t xml:space="preserve"> </w:t>
      </w:r>
      <w:r>
        <w:t xml:space="preserve">Scenario attributes for 40 scenarios. Units for Hydrologic Benefit (HB) value are coho smolt per female-equivalent; for ET are million cubic meters; both are averages of 35 annual values.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0.17</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basecase_0_mar_0_curt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basecase_0_mar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bookmarkEnd w:id="66"/>
    <w:bookmarkStart w:id="71" w:name="X5717be130d28923be971a1bdea556d769a5487a"/>
    <w:p>
      <w:pPr>
        <w:pStyle w:val="Heading3"/>
      </w:pPr>
      <w:r>
        <w:rPr>
          <w:rStyle w:val="SectionNumber"/>
        </w:rPr>
        <w:t xml:space="preserve">3.4.2</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-0.42 to 0.9 when averaged over all years(Table</w:t>
      </w:r>
      <w:r>
        <w:t xml:space="preserve"> </w:t>
      </w:r>
      <w:r>
        <w:t xml:space="preserve">5</w:t>
      </w:r>
      <w:r>
        <w:t xml:space="preserve">). The range covers two orders of magnitude because the denominator of the ratio, lost ET, ranges from 0% to 100%, while the HB gains fall more narrowly between 0% to 2.2%.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“low-efficiency”</w:t>
      </w:r>
      <w:r>
        <w:t xml:space="preserve"> </w:t>
      </w:r>
      <w:r>
        <w:t xml:space="preserve">cluster, with all-years efficiencies of less than 1: Crop Change, Curtailment, and the two Natural Vegetation categories (Figure</w:t>
      </w:r>
      <w:r>
        <w:t xml:space="preserve"> </w:t>
      </w:r>
      <w:r>
        <w:t xml:space="preserve">7</w:t>
      </w:r>
      <w:r>
        <w:t xml:space="preserve">). These scenarios can produce substantial HB gains (ranging from 5 to 193) coho spf-equiv., but result in severe agricultural productivity reductions (0.9% to 100%). The</w:t>
      </w:r>
      <w:r>
        <w:t xml:space="preserve"> </w:t>
      </w:r>
      <w:r>
        <w:t xml:space="preserve">“high-efficiency”</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(-0.2 to -0.2 million m</w:t>
      </w:r>
      <w:r>
        <w:rPr>
          <w:vertAlign w:val="superscript"/>
        </w:rPr>
        <w:t xml:space="preserve">3</w:t>
      </w:r>
      <w:r>
        <w:t xml:space="preserve">, or -0.2 to -0.2 percent of basecase crop ET).</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7:  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 title="" id="68" name="Picture"/>
            <a:graphic>
              <a:graphicData uri="http://schemas.openxmlformats.org/drawingml/2006/picture">
                <pic:pic>
                  <pic:nvPicPr>
                    <pic:cNvPr descr="Graphics%20and%20Supplements/Figure%207.png" id="69" name="Picture"/>
                    <pic:cNvPicPr>
                      <a:picLocks noChangeArrowheads="1" noChangeAspect="1"/>
                    </pic:cNvPicPr>
                  </pic:nvPicPr>
                  <pic:blipFill>
                    <a:blip r:embed="rId6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70" w:name="fig:efficiency"/>
      <w:bookmarkEnd w:id="70"/>
      <w:r>
        <w:t xml:space="preserve">Figure 7:</w:t>
      </w:r>
      <w:r>
        <w:t xml:space="preserve"> </w:t>
      </w:r>
      <w:r>
        <w:t xml:space="preserve"> </w:t>
      </w:r>
      <w:r>
        <w:t xml:space="preserve">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w:t>
      </w:r>
    </w:p>
    <w:bookmarkEnd w:id="71"/>
    <w:bookmarkStart w:id="77" w:name="Xfbc83626841bb94e70b2ed42e58f7fe62bf81a6"/>
    <w:p>
      <w:pPr>
        <w:pStyle w:val="Heading3"/>
      </w:pPr>
      <w:r>
        <w:rPr>
          <w:rStyle w:val="SectionNumber"/>
        </w:rPr>
        <w:t xml:space="preserve">3.4.3</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8</w:t>
      </w:r>
      <w:r>
        <w:t xml:space="preserve">).</w:t>
      </w:r>
    </w:p>
    <w:p>
      <w:pPr>
        <w:pStyle w:val="BodyText"/>
      </w:pPr>
      <w:r>
        <w:t xml:space="preserve">The Pareto-optimal set of management actions include more than half (25) of the simulated scenarios (Table</w:t>
      </w:r>
      <w:r>
        <w:t xml:space="preserve"> </w:t>
      </w:r>
      <w:r>
        <w:t xml:space="preserve">5</w:t>
      </w:r>
      <w:r>
        <w:t xml:space="preserve">; Figure</w:t>
      </w:r>
      <w:r>
        <w:t xml:space="preserve"> </w:t>
      </w:r>
      <w:r>
        <w:t xml:space="preserve">8</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 Figure</w:t>
      </w:r>
      <w:r>
        <w:t xml:space="preserve"> </w:t>
      </w:r>
      <w:r>
        <w:t xml:space="preserve">6</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40 simulated scenarios.</w:t>
      </w:r>
    </w:p>
    <w:p>
      <w:pPr>
        <w:pStyle w:val="BodyText"/>
      </w:pPr>
      <w:r>
        <w:t xml:space="preserve">High-priority scenarios tend to be associated with higher average crop ET values and modest HB gains relative to basecase (Table</w:t>
      </w:r>
      <w:r>
        <w:t xml:space="preserve"> </w:t>
      </w:r>
      <w:r>
        <w:t xml:space="preserve">6</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 Table</w:t>
      </w:r>
      <w:r>
        <w:t xml:space="preserve"> </w:t>
      </w:r>
      <w:r>
        <w:t xml:space="preserve">6</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“Voluntary Managed Land Repurposing”</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4038600" cy="4019550"/>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73" name="Picture"/>
            <a:graphic>
              <a:graphicData uri="http://schemas.openxmlformats.org/drawingml/2006/picture">
                <pic:pic>
                  <pic:nvPicPr>
                    <pic:cNvPr descr="Graphics%20and%20Supplements/hbf%20et%20infra%20plot3d_2025.11.04.jpg" id="74" name="Picture"/>
                    <pic:cNvPicPr>
                      <a:picLocks noChangeArrowheads="1" noChangeAspect="1"/>
                    </pic:cNvPicPr>
                  </pic:nvPicPr>
                  <pic:blipFill>
                    <a:blip r:embed="rId72"/>
                    <a:stretch>
                      <a:fillRect/>
                    </a:stretch>
                  </pic:blipFill>
                  <pic:spPr bwMode="auto">
                    <a:xfrm>
                      <a:off x="0" y="0"/>
                      <a:ext cx="4038600" cy="4019550"/>
                    </a:xfrm>
                    <a:prstGeom prst="rect">
                      <a:avLst/>
                    </a:prstGeom>
                    <a:noFill/>
                    <a:ln w="9525">
                      <a:noFill/>
                      <a:headEnd/>
                      <a:tailEnd/>
                    </a:ln>
                  </pic:spPr>
                </pic:pic>
              </a:graphicData>
            </a:graphic>
          </wp:inline>
        </w:drawing>
      </w:r>
    </w:p>
    <w:p>
      <w:pPr>
        <w:pStyle w:val="ImageCaption"/>
      </w:pPr>
      <w:bookmarkStart w:id="75" w:name="fig:farmerFishInfraFigure3D"/>
      <w:bookmarkEnd w:id="75"/>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p>
      <w:pPr>
        <w:pStyle w:val="TableCaption"/>
      </w:pPr>
      <w:bookmarkStart w:id="76" w:name="tab:gspMgmtList"/>
      <w:bookmarkEnd w:id="76"/>
      <w:r>
        <w:t xml:space="preserve">Table 6:</w:t>
      </w:r>
      <w:r>
        <w:t xml:space="preserve"> </w:t>
      </w:r>
      <w:r>
        <w:t xml:space="preserve">List of management actions in Chapter 4 of the GSP and analogues in the set of 40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8918.99-8980.85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8918.99-8980.85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8927.44-9107.38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8936.9-8997.56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8834.44-9002.95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8958.62-9097.57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77"/>
    <w:bookmarkEnd w:id="78"/>
    <w:bookmarkEnd w:id="79"/>
    <w:bookmarkStart w:id="85" w:name="discussion"/>
    <w:p>
      <w:pPr>
        <w:pStyle w:val="Heading1"/>
      </w:pPr>
      <w:r>
        <w:rPr>
          <w:rStyle w:val="SectionNumber"/>
        </w:rPr>
        <w:t xml:space="preserve">4</w:t>
      </w:r>
      <w:r>
        <w:tab/>
      </w:r>
      <w:r>
        <w:t xml:space="preserve">Discussion</w:t>
      </w:r>
    </w:p>
    <w:p>
      <w:pPr>
        <w:pStyle w:val="FirstParagraph"/>
      </w:pPr>
      <w:r>
        <w:rPr>
          <w:b/>
          <w:bCs/>
        </w:rPr>
        <w:t xml:space="preserve">add discussion of alternative env obj functions: Chinook salmon, indices of alteration</w:t>
      </w:r>
    </w:p>
    <w:p>
      <w:pPr>
        <w:pStyle w:val="BodyText"/>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Though the ultimate future effect of these management actions would depend on climate variability and implementation details that have not been explicitly simulated (e.g., the precise location of pumps needed to divert surface water for the expanded enhanced recharge scenarios), it is possible to use objective functions and historical climate records to draw some high-level findings regarding their relative merits.</w:t>
      </w:r>
    </w:p>
    <w:bookmarkStart w:id="80" w:name="Xa151cb59b4ad5c02348e31b83bab4d8169de230"/>
    <w:p>
      <w:pPr>
        <w:pStyle w:val="Heading2"/>
      </w:pPr>
      <w:r>
        <w:rPr>
          <w:rStyle w:val="SectionNumber"/>
        </w:rPr>
        <w:t xml:space="preserve">4.1</w:t>
      </w:r>
      <w:r>
        <w:tab/>
      </w:r>
      <w:r>
        <w:t xml:space="preserve">Contextualizing low objective function values</w:t>
      </w:r>
    </w:p>
    <w:p>
      <w:pPr>
        <w:pStyle w:val="FirstParagraph"/>
      </w:pPr>
      <w:r>
        <w:t xml:space="preserve">The HB function incorporates several hydrologic metrics, but years with low HB values (i.e., low predicted coho-spf equivalent) usually share several characteristics.</w:t>
      </w:r>
    </w:p>
    <w:p>
      <w:pPr>
        <w:pStyle w:val="BodyText"/>
      </w:pPr>
      <w:r>
        <w:t xml:space="preserve">A water year with a low HB value (e.g., &lt; XX coho spf-equiv.) commonly occurs after a dry season with multiple dried-out mainstem Scott River reaches, culminating in a prolonged fall period (e.g., 4 to 8 weeks after September 1st) of FJ Gauge flows lower than 10 cfs. In a low-HB water year, high winter baseflows (e.g., &gt; 200 cfs) may not arrive until December or January, and the rainy season may be short (e.g., &lt; 100 days). These hydrologic features have implications for fishery stability. In water year 2014, for example, salmon access flows were significantly delayed, and coho salmon laid their eggs in the mainstem of the Scott River rather than in their preferred tributary stream habitat, which put them at higher risk of getting scoured away in a winter storm</w:t>
      </w:r>
      <w:r>
        <w:t xml:space="preserve"> </w:t>
      </w:r>
      <w:r>
        <w:t xml:space="preserve">(CDFW 2015)</w:t>
      </w:r>
      <w:r>
        <w:t xml:space="preserve">.</w:t>
      </w:r>
    </w:p>
    <w:p>
      <w:pPr>
        <w:pStyle w:val="BodyText"/>
      </w:pPr>
      <w:r>
        <w:t xml:space="preserve">Because no recent precedent exists for a low-crop-ET year, interpreting the numerical values of the ET objective function requires more speculation, and the specific impact of ET loss on the agricultural community depends on the specific management action and its enforcement. One method to address uncertainty related to impact of management actions on agricultural objectives is to survey regional agricultural practitioners and experts about the likely costs of a proposed management action</w:t>
      </w:r>
      <w:r>
        <w:t xml:space="preserve"> </w:t>
      </w:r>
      <w:r>
        <w:t xml:space="preserve">(Sunding 1996)</w:t>
      </w:r>
      <w:r>
        <w:t xml:space="preserve">. In the public meetings during GSP development, some informal (i.e., non-quantitative) surveying of stakeholder expectations of the costs of management actions took place. In terms of operational impacts, Scott Valley agricultural stakeholders stated that short-term interventions (such as fallowing an alfalfa field for one year, or curtailing pasture irrigation for a growing season) could have long-term impacts (such as affecting alfalfa yield the following year, or forcing a rancher to sell a herd</w:t>
      </w:r>
      <w:r>
        <w:t xml:space="preserve"> </w:t>
      </w:r>
      <w:r>
        <w:t xml:space="preserve">(SVGAC 2021)</w:t>
      </w:r>
      <w:r>
        <w:t xml:space="preserve">. The current agricultural benefit proxy, annual crop ET, does not capture these multi-year costs to the local agricultural sector, or the regional impact that reduced agricultural productivity will have on economically disadvantaged local communities.</w:t>
      </w:r>
    </w:p>
    <w:p>
      <w:pPr>
        <w:pStyle w:val="BodyText"/>
      </w:pPr>
      <w:r>
        <w:t xml:space="preserve">These predicted on-the-ground consequences can facilitate interpretation of scenario results.</w:t>
      </w:r>
    </w:p>
    <w:bookmarkEnd w:id="80"/>
    <w:bookmarkStart w:id="81" w:name="Xeb4407dfc59ea709d91a13199c8e469abf09cea"/>
    <w:p>
      <w:pPr>
        <w:pStyle w:val="Heading2"/>
      </w:pPr>
      <w:r>
        <w:rPr>
          <w:rStyle w:val="SectionNumber"/>
        </w:rPr>
        <w:t xml:space="preserve">4.2</w:t>
      </w:r>
      <w:r>
        <w:tab/>
      </w:r>
      <w:r>
        <w:t xml:space="preserve">Environmental objective performance in historically low-coho years</w:t>
      </w:r>
    </w:p>
    <w:p>
      <w:pPr>
        <w:pStyle w:val="FirstParagraph"/>
      </w:pPr>
      <w:r>
        <w:t xml:space="preserve">Management scenario performance in dry years, rather than over the whole model period, is another informative metric for resource managers. For example, in potentially unstable fish populations, conditions during critical dry years can be more significant than long-term average conditions</w:t>
      </w:r>
      <w:r>
        <w:t xml:space="preserve"> </w:t>
      </w:r>
      <w:r>
        <w:t xml:space="preserve">(e.g., Ohlberger et al. 2018)</w:t>
      </w:r>
      <w:r>
        <w:t xml:space="preserve">. Eight dry years occurred during the 1991-2018 model period: 1991, ’92, ’94, 2001, ’09, ’13, ’14, and ’18 (Figure</w:t>
      </w:r>
      <w:r>
        <w:t xml:space="preserve"> </w:t>
      </w:r>
      <w:r>
        <w:t xml:space="preserve">5</w:t>
      </w:r>
      <w:r>
        <w:t xml:space="preserve">). Dry years were classified using quartiles of the distribution of total annual FJ Gauge flow over the full record of water years 1942-2021. The lowest to highest quartiles of total annual flow are classified as Dry, Below Average, Above Average, and Wet water year types, respectively.</w:t>
      </w:r>
    </w:p>
    <w:p>
      <w:pPr>
        <w:pStyle w:val="BodyText"/>
      </w:pPr>
      <w:r>
        <w:t xml:space="preserve">However, in this system, the years following dry periods may be more informative. As mentioned in Methods, the lowest basecase HB values, operationally defined here as years with basecase HB values of less than XX predicted coho spf-equivalent, tend to occur in years following one or more dry years (i.e., 1993, 1995, 2002, and 2014-16 in Figure</w:t>
      </w:r>
      <w:r>
        <w:t xml:space="preserve"> </w:t>
      </w:r>
      <w:r>
        <w:t xml:space="preserve">5</w:t>
      </w:r>
      <w:r>
        <w:t xml:space="preserve">;</w:t>
      </w:r>
      <w:r>
        <w:t xml:space="preserve"> </w:t>
      </w:r>
      <w:r>
        <w:t xml:space="preserve">“low-coho years”</w:t>
      </w:r>
      <w:r>
        <w:t xml:space="preserve">). In the Scott River watershed, one mechanism producing this pattern is delayed onset of winter storms, which cannot be managed through policy. Another mechanism is the depletion of stored groundwater in dry years, which can reduce dry-season baseflow and delay stream system reconnection during the onset of the following wet season</w:t>
      </w:r>
      <w:r>
        <w:t xml:space="preserve"> </w:t>
      </w:r>
      <w:r>
        <w:t xml:space="preserve">(Tolley, Foglia, and Harter 2019)</w:t>
      </w:r>
      <w:r>
        <w:t xml:space="preserve">. Regardless of the primary cause of the low fall flows in a particular year, the HB value for each water year is sensitive to long periods in the fall with flow below 10 and 100 cfs (see Chapter 1 of this dissertation for more details on coho salmon sensitivity to low fall flows).</w:t>
      </w:r>
    </w:p>
    <w:p>
      <w:pPr>
        <w:pStyle w:val="BodyText"/>
      </w:pPr>
      <w:r>
        <w:t xml:space="preserve">Because many aspects of scenario performance are relatively consistent (i.e., for any given scenario, ET costs are relatively static year to year, and most scenarios demonstrate consistently small HB gains over basecase in high-coho spf years; Figure</w:t>
      </w:r>
      <w:r>
        <w:t xml:space="preserve"> </w:t>
      </w:r>
      <w:r>
        <w:t xml:space="preserve">5</w:t>
      </w:r>
      <w:r>
        <w:t xml:space="preserve">), the low-coho year HB performance of various model scenarios is a key scenario differentiator.</w:t>
      </w:r>
    </w:p>
    <w:bookmarkEnd w:id="81"/>
    <w:bookmarkStart w:id="82" w:name="environmental-agricultural-trade-offs"/>
    <w:p>
      <w:pPr>
        <w:pStyle w:val="Heading2"/>
      </w:pPr>
      <w:r>
        <w:rPr>
          <w:rStyle w:val="SectionNumber"/>
        </w:rPr>
        <w:t xml:space="preserve">4.3</w:t>
      </w:r>
      <w:r>
        <w:tab/>
      </w:r>
      <w:r>
        <w:t xml:space="preserve">Environmental-agricultural trade-offs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Expanded Enhanced Recharge, Irrigation Efficiency, and Reservoirs) (Figure</w:t>
      </w:r>
      <w:r>
        <w:t xml:space="preserve"> </w:t>
      </w:r>
      <w:r>
        <w:t xml:space="preserve">6</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 especially in HB performance in low-coho years.</w:t>
      </w:r>
    </w:p>
    <w:p>
      <w:pPr>
        <w:pStyle w:val="BodyText"/>
      </w:pPr>
      <w:r>
        <w:t xml:space="preserve">Among Alfalfa Irrigation scenarios, and ET costs are small (averaging 1 and 3 million m</w:t>
      </w:r>
      <w:r>
        <w:rPr>
          <w:vertAlign w:val="superscript"/>
        </w:rPr>
        <w:t xml:space="preserve">3</w:t>
      </w:r>
      <w:r>
        <w:t xml:space="preserve">, respectively, in all years); conversely, the more extreme July 10th cutoff date produces an average of 8 million m</w:t>
      </w:r>
      <w:r>
        <w:rPr>
          <w:vertAlign w:val="superscript"/>
        </w:rPr>
        <w:t xml:space="preserve">3</w:t>
      </w:r>
      <w:r>
        <w:t xml:space="preserve">, or 7%, reduction in ET in all years (panels A and B of Figure</w:t>
      </w:r>
      <w:r>
        <w:t xml:space="preserve"> </w:t>
      </w:r>
      <w:r>
        <w:t xml:space="preserve">5</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 million m</w:t>
      </w:r>
      <w:r>
        <w:rPr>
          <w:vertAlign w:val="superscript"/>
        </w:rPr>
        <w:t xml:space="preserve">3</w:t>
      </w:r>
      <w:r>
        <w:t xml:space="preserve"> </w:t>
      </w:r>
      <w:r>
        <w:t xml:space="preserve">less than basecase in all years). At the other extreme, the Curtailment scenario in which all irrigation is cut off on August 1st (</w:t>
      </w:r>
      <w:r>
        <w:rPr>
          <w:rStyle w:val="VerbatimChar"/>
        </w:rPr>
        <w:t xml:space="preserve">curtail_start_07.31</w:t>
      </w:r>
      <w:r>
        <w:t xml:space="preserve">), but reduces ET by an average of 9 million m</w:t>
      </w:r>
      <w:r>
        <w:rPr>
          <w:vertAlign w:val="superscript"/>
        </w:rPr>
        <w:t xml:space="preserve">3</w:t>
      </w:r>
      <w:r>
        <w:t xml:space="preserve"> </w:t>
      </w:r>
      <w:r>
        <w:t xml:space="preserve">or 7% (panels C and D of Figure</w:t>
      </w:r>
      <w:r>
        <w:t xml:space="preserve"> </w:t>
      </w:r>
      <w:r>
        <w:t xml:space="preserve">5</w:t>
      </w:r>
      <w:r>
        <w:t xml:space="preserve">). Compared to</w:t>
      </w:r>
      <w:r>
        <w:t xml:space="preserve"> </w:t>
      </w:r>
      <w:r>
        <w:rPr>
          <w:rStyle w:val="VerbatimChar"/>
        </w:rPr>
        <w:t xml:space="preserve">curtail_start_07.31</w:t>
      </w:r>
      <w:r>
        <w:t xml:space="preserve">, the Low Flow Diversion Limits (</w:t>
      </w:r>
      <w:r>
        <w:rPr>
          <w:rStyle w:val="VerbatimChar"/>
        </w:rPr>
        <w:t xml:space="preserve">flowlims</w:t>
      </w:r>
      <w:r>
        <w:t xml:space="preserve">) scenario reduces ET by an average of 3%.</w:t>
      </w:r>
    </w:p>
    <w:p>
      <w:pPr>
        <w:pStyle w:val="BodyText"/>
      </w:pPr>
      <w:r>
        <w:t xml:space="preserve">The 33 scenarios with ET lower than basecase sort clearly into one high- and one low-efficiency cluster (Figure</w:t>
      </w:r>
      <w:r>
        <w:t xml:space="preserve"> </w:t>
      </w:r>
      <w:r>
        <w:t xml:space="preserve">7</w:t>
      </w:r>
      <w:r>
        <w:t xml:space="preserve">). The high-efficiency scenarios are composed of three infrastructure-type management actions (Enhanced Recharge, Expanded Enhanced Recharge and Irrigation Efficiency) and two regulatory-type management actions (Alfalfa Irrigation and Low Flow Diversion Limits), while the low-efficiency group contains one infrastructure-type (Crop Change), one regulatory-type (Curtailment), and the two native vegetation-type scenarios. The previously-stated caveat regarding the Crop Change scenario’s true agricultural benefit potentially being higher or lower than the values in Table</w:t>
      </w:r>
      <w:r>
        <w:t xml:space="preserve"> </w:t>
      </w:r>
      <w:r>
        <w:t xml:space="preserve">5</w:t>
      </w:r>
      <w:r>
        <w:t xml:space="preserve"> </w:t>
      </w:r>
      <w:r>
        <w:t xml:space="preserve">apply to these efficiency calculations as well. The trade-off efficiencies provide an informal cost-benefit assessment, though interpretation is somewhat limited, as the unitless quantity tends to group together scenarios with widely varying absolute values of HB and ET (e.g., Crop Change and some Curtailment scenarios).</w:t>
      </w:r>
    </w:p>
    <w:p>
      <w:pPr>
        <w:pStyle w:val="BodyText"/>
      </w:pPr>
      <w:r>
        <w:t xml:space="preserve">There is a clear positive relationship between efficiency in all years and in low-coho years, but in nearly all scenarios the low-coho year efficiency average is higher than over the 28-year model period (Figure</w:t>
      </w:r>
      <w:r>
        <w:t xml:space="preserve"> </w:t>
      </w:r>
      <w:r>
        <w:t xml:space="preserve">7</w:t>
      </w:r>
      <w:r>
        <w:t xml:space="preserve">). In other words, in low-coho years, a given amount of crop ET reduction produces a greater environmental flow enhancement than on average over all years. This is corroborated by annual scenario HB values: in high-coho years, HB gains are small or minimal, while substantial improvements are seen for some scenarios in low-coho years (panels A and C in Figure</w:t>
      </w:r>
      <w:r>
        <w:t xml:space="preserve"> </w:t>
      </w:r>
      <w:r>
        <w:t xml:space="preserve">5</w:t>
      </w:r>
      <w:r>
        <w:t xml:space="preserve">). One possible explanation is that, in high-coho years, environmental flows tend to already be sufficient, and most management scenarios can generate only marginal improvements in hydrologic conditions. This suggests that targeting management actions to dry years (which tend to precede the low-coho water years) may produce the highest efficiency management actions. This possibility was supported by the two cases where this comparison was explicitly simulated: the efficiencies for the Alfalfa Irrigation scenarios for dry years only (</w:t>
      </w:r>
      <w:r>
        <w:rPr>
          <w:rStyle w:val="VerbatimChar"/>
        </w:rPr>
        <w:t xml:space="preserve">alf_irr_stop_07.31_dry_yrs_only</w:t>
      </w:r>
      <w:r>
        <w:t xml:space="preserve"> </w:t>
      </w:r>
      <w:r>
        <w:t xml:space="preserve">and</w:t>
      </w:r>
      <w:r>
        <w:t xml:space="preserve"> </w:t>
      </w:r>
      <w:r>
        <w:rPr>
          <w:rStyle w:val="VerbatimChar"/>
        </w:rPr>
        <w:t xml:space="preserve">alf_irr_stop_08.15_dry_yrs_only</w:t>
      </w:r>
      <w:r>
        <w:t xml:space="preserve">) are higher than for their corresponding scenarios with an intervention in all years (</w:t>
      </w:r>
      <w:r>
        <w:rPr>
          <w:rStyle w:val="VerbatimChar"/>
        </w:rPr>
        <w:t xml:space="preserve">alf_irr_stop_07.31</w:t>
      </w:r>
      <w:r>
        <w:t xml:space="preserve"> </w:t>
      </w:r>
      <w:r>
        <w:t xml:space="preserve">and</w:t>
      </w:r>
      <w:r>
        <w:t xml:space="preserve"> </w:t>
      </w:r>
      <w:r>
        <w:rPr>
          <w:rStyle w:val="VerbatimChar"/>
        </w:rPr>
        <w:t xml:space="preserve">alf_irr_stop_08.15</w:t>
      </w:r>
      <w:r>
        <w:t xml:space="preserve">; Table</w:t>
      </w:r>
      <w:r>
        <w:t xml:space="preserve"> </w:t>
      </w:r>
      <w:r>
        <w:t xml:space="preserve">5</w:t>
      </w:r>
      <w:r>
        <w:t xml:space="preserve">).</w:t>
      </w:r>
    </w:p>
    <w:bookmarkEnd w:id="82"/>
    <w:bookmarkStart w:id="83" w:name="Xb48c0b1c357814727cacf50afe35e98b0bf92dd"/>
    <w:p>
      <w:pPr>
        <w:pStyle w:val="Heading2"/>
      </w:pPr>
      <w:r>
        <w:rPr>
          <w:rStyle w:val="SectionNumber"/>
        </w:rPr>
        <w:t xml:space="preserve">4.4</w:t>
      </w:r>
      <w:r>
        <w:tab/>
      </w:r>
      <w:r>
        <w:t xml:space="preserve">Pareto-optimal solution set and GSP priority management actions</w:t>
      </w:r>
    </w:p>
    <w:p>
      <w:pPr>
        <w:pStyle w:val="FirstParagraph"/>
      </w:pPr>
      <w:r>
        <w:t xml:space="preserve">Within the proposed suite of management actions, more than half (25 of 40, including the basecase) fall within the Pareto-optimal set based on the infrastructure category and the 28-year average values of objective functions. This same set remains Pareto-optimal when the objective functions are averaged only over the six low-coho water years, with one exception (the French Creek reservoir scenario is Pareto-optimal when averaged in all years, but not in low-coho years).</w:t>
      </w:r>
    </w:p>
    <w:p>
      <w:pPr>
        <w:pStyle w:val="BodyText"/>
      </w:pPr>
      <w:r>
        <w:t xml:space="preserve">The non-Pareto-optimal scenarios (i.e. the scenarios outperformed in multiple objectives) are in the Irrigation Efficiency, Crop Change and Native Vegetation categories. (The 20% improved Irrigation Efficiency scenario is outperformed in both HB and ET objectives by both of the alfalfa irrigation scenarios with a cutoff date of August 15; Table</w:t>
      </w:r>
      <w:r>
        <w:t xml:space="preserve"> </w:t>
      </w:r>
      <w:r>
        <w:t xml:space="preserve">5</w:t>
      </w:r>
      <w:r>
        <w:t xml:space="preserve">). Native Vegetation scenarios, under two different assumptions about vegetation type/ET demand of the vegetation replacing cultivated agriculture, can produce significant HB improvements, but at a relatively high cost in regional agricultural productivity; these two scenario categories have the lowest trade-off efficiency (Figure</w:t>
      </w:r>
      <w:r>
        <w:t xml:space="preserve"> </w:t>
      </w:r>
      <w:r>
        <w:t xml:space="preserve">7</w:t>
      </w:r>
      <w:r>
        <w:t xml:space="preserve">; Table</w:t>
      </w:r>
      <w:r>
        <w:t xml:space="preserve"> </w:t>
      </w:r>
      <w:r>
        <w:t xml:space="preserve">5</w:t>
      </w:r>
      <w:r>
        <w:t xml:space="preserve">).</w:t>
      </w:r>
    </w:p>
    <w:p>
      <w:pPr>
        <w:pStyle w:val="BodyText"/>
      </w:pPr>
      <w:r>
        <w:t xml:space="preserve">Pareto-suboptimal status is less certain in the case of the Crop Change scenario, since the ET volume proxy for agricultural revenue/benefit may not be valid for alternative crops. (Crops that have been mentioned during stakeholder meetings as possibly suited to the climate of Scott Valley or have been cultivated in a trial setting are high(er) value annuals in lieu of the current perennial crops, e.g., potatoes, sunflowers, and carrots for seed, though notably, to the authors’ knowledge no local grower has cultivated any of these commercially.)</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6</w:t>
      </w:r>
      <w:r>
        <w:t xml:space="preserve">). Although the GSP management priorities emphasized infrastructure, in a strict application of these objective functions, both infrastructure-based and regulatory approaches fell within the Pareto-optimal set of management options.</w:t>
      </w:r>
    </w:p>
    <w:bookmarkEnd w:id="83"/>
    <w:bookmarkStart w:id="84" w:name="policy-implications"/>
    <w:p>
      <w:pPr>
        <w:pStyle w:val="Heading2"/>
      </w:pPr>
      <w:r>
        <w:rPr>
          <w:rStyle w:val="SectionNumber"/>
        </w:rPr>
        <w:t xml:space="preserve">4.5</w:t>
      </w:r>
      <w:r>
        <w:tab/>
      </w:r>
      <w:r>
        <w:t xml:space="preserve">Policy implications</w:t>
      </w:r>
    </w:p>
    <w:p>
      <w:pPr>
        <w:pStyle w:val="FirstParagraph"/>
      </w:pPr>
      <w:r>
        <w:t xml:space="preserve">Although the HB values are based on well-studied hydro-biological relationships (late spawning flows leads to lower fishery reproduction rates), the actual predicted values of coho smolt production per female spawner (coho spf) remain uncertain, because when the HB function was developed only 11 full years of coho spf data were available. If monitoring continues in future years and this sample size increases, the predictive power and weights of various hydrologic metrics may be reexamined. The ET values are estimated based on climate data, crop coefficients, and assumptions regarding grower decisions, and thus are subject to uncertainty in those data sources.</w:t>
      </w:r>
    </w:p>
    <w:p>
      <w:pPr>
        <w:pStyle w:val="BodyText"/>
      </w:pPr>
      <w:r>
        <w:t xml:space="preserve">Due to this uncertainty, the results of this study should not be considered direct policy recommendations. However, some of the insights below could be used to support future management decisions, simply by summarizing the wealth of information provided in each model simulation using the proposed objective functions.</w:t>
      </w:r>
    </w:p>
    <w:p>
      <w:pPr>
        <w:pStyle w:val="Compact"/>
        <w:numPr>
          <w:ilvl w:val="0"/>
          <w:numId w:val="1005"/>
        </w:numPr>
      </w:pPr>
      <w:r>
        <w:t xml:space="preserve">Targeted interventions that only regulate water use in dry periods produce higher trade-off efficiencies than continuous interventions, as illustrated by the Alfalfa Irrigation scenarios (i.e., dry years only versus all years; Table</w:t>
      </w:r>
      <w:r>
        <w:t xml:space="preserve"> </w:t>
      </w:r>
      <w:r>
        <w:t xml:space="preserve">5</w:t>
      </w:r>
      <w:r>
        <w:t xml:space="preserve">).</w:t>
      </w:r>
    </w:p>
    <w:p>
      <w:pPr>
        <w:pStyle w:val="Compact"/>
        <w:numPr>
          <w:ilvl w:val="0"/>
          <w:numId w:val="1005"/>
        </w:numPr>
      </w:pPr>
      <w:r>
        <w:t xml:space="preserve">The Low Flow Diversion Limits scenario takes this concept to its logical extreme, by limiting intervention only to low-flow days in the hydrologic record, rather than low-flow years or seasons in the Alfalfa Irrigation category. As a result it produces considerable low-coho year HB gains with a trade-off efficiency of greater than 1.</w:t>
      </w:r>
    </w:p>
    <w:p>
      <w:pPr>
        <w:pStyle w:val="Compact"/>
        <w:numPr>
          <w:ilvl w:val="0"/>
          <w:numId w:val="1005"/>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6</w:t>
      </w:r>
      <w:r>
        <w:t xml:space="preserve">.</w:t>
      </w:r>
    </w:p>
    <w:p>
      <w:pPr>
        <w:pStyle w:val="Compact"/>
        <w:numPr>
          <w:ilvl w:val="0"/>
          <w:numId w:val="1005"/>
        </w:numPr>
      </w:pPr>
      <w:r>
        <w:t xml:space="preserve">In recent years, drought conditions have prompted state regulatory agencies to consider and then impose significant irrigation curtailments</w:t>
      </w:r>
      <w:r>
        <w:t xml:space="preserve"> </w:t>
      </w:r>
      <w:r>
        <w:t xml:space="preserve">(CDFW 2021)</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5</w:t>
      </w:r>
      <w:r>
        <w:t xml:space="preserve">).</w:t>
      </w:r>
    </w:p>
    <w:bookmarkEnd w:id="84"/>
    <w:bookmarkEnd w:id="85"/>
    <w:bookmarkStart w:id="86" w:name="conclusion"/>
    <w:p>
      <w:pPr>
        <w:pStyle w:val="Heading1"/>
      </w:pPr>
      <w:r>
        <w:rPr>
          <w:rStyle w:val="SectionNumber"/>
        </w:rPr>
        <w:t xml:space="preserve">5</w:t>
      </w:r>
      <w:r>
        <w:tab/>
      </w:r>
      <w:r>
        <w:t xml:space="preserve">Conclusion</w:t>
      </w:r>
    </w:p>
    <w:p>
      <w:pPr>
        <w:pStyle w:val="FirstParagraph"/>
      </w:pPr>
      <w:r>
        <w:t xml:space="preserve">In this study, functions quantifying the achievement of the two management objectives (environmental and agricultural) were applied to 40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7</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86"/>
    <w:bookmarkStart w:id="146" w:name="references"/>
    <w:p>
      <w:pPr>
        <w:pStyle w:val="Heading1"/>
      </w:pPr>
      <w:r>
        <w:t xml:space="preserve">References</w:t>
      </w:r>
    </w:p>
    <w:bookmarkStart w:id="145" w:name="refs"/>
    <w:bookmarkStart w:id="88"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87">
        <w:r>
          <w:rPr>
            <w:rStyle w:val="Hyperlink"/>
          </w:rPr>
          <w:t xml:space="preserve">https://doi.org/10.3389/fclim.2021.719150</w:t>
        </w:r>
      </w:hyperlink>
      <w:r>
        <w:t xml:space="preserve">.</w:t>
      </w:r>
    </w:p>
    <w:bookmarkEnd w:id="88"/>
    <w:bookmarkStart w:id="90" w:name="ref-Brown1994"/>
    <w:p>
      <w:pPr>
        <w:pStyle w:val="Bibliography"/>
      </w:pPr>
      <w:r>
        <w:t xml:space="preserve">Brown, Larry R., Peter B. Moyle, and Ronald M. Yoshiyama. 1994.</w:t>
      </w:r>
      <w:r>
        <w:t xml:space="preserve"> </w:t>
      </w:r>
      <w:r>
        <w:t xml:space="preserve">“</w:t>
      </w:r>
      <w:r>
        <w:t xml:space="preserve">Historical Decline and Current Status of Coho Salmon in California</w:t>
      </w:r>
      <w:r>
        <w:t xml:space="preserve">.”</w:t>
      </w:r>
      <w:r>
        <w:t xml:space="preserve"> </w:t>
      </w:r>
      <w:r>
        <w:rPr>
          <w:i/>
          <w:iCs/>
        </w:rPr>
        <w:t xml:space="preserve">North American Journal of Fisheries Management</w:t>
      </w:r>
      <w:r>
        <w:t xml:space="preserve"> </w:t>
      </w:r>
      <w:r>
        <w:t xml:space="preserve">14 (2): 237–61.</w:t>
      </w:r>
      <w:r>
        <w:t xml:space="preserve"> </w:t>
      </w:r>
      <w:hyperlink r:id="rId89">
        <w:r>
          <w:rPr>
            <w:rStyle w:val="Hyperlink"/>
          </w:rPr>
          <w:t xml:space="preserve">https://doi.org/10.1577/1548-8675(1994)014&lt;0237:hdacso&gt;2.3.co;2</w:t>
        </w:r>
      </w:hyperlink>
      <w:r>
        <w:t xml:space="preserve">.</w:t>
      </w:r>
    </w:p>
    <w:bookmarkEnd w:id="90"/>
    <w:bookmarkStart w:id="92" w:name="ref-CDFW2015a"/>
    <w:p>
      <w:pPr>
        <w:pStyle w:val="Bibliography"/>
      </w:pPr>
      <w:r>
        <w:t xml:space="preserve">California Department of Fish and Wildlife (CDFW). 2015.</w:t>
      </w:r>
      <w:r>
        <w:t xml:space="preserve"> </w:t>
      </w:r>
      <w:r>
        <w:t xml:space="preserve">“</w:t>
      </w:r>
      <w:r>
        <w:t xml:space="preserve">Cooperative Report of the Scott River Coho Salmon Rescue and Relocation Effort: 2014 Drought Emergency</w:t>
      </w:r>
      <w:r>
        <w:t xml:space="preserve">.”</w:t>
      </w:r>
      <w:r>
        <w:t xml:space="preserve"> </w:t>
      </w:r>
      <w:r>
        <w:t xml:space="preserve">August. California Department of Fish; Wildlife (CDFW).</w:t>
      </w:r>
      <w:r>
        <w:t xml:space="preserve"> </w:t>
      </w:r>
      <w:hyperlink r:id="rId91">
        <w:r>
          <w:rPr>
            <w:rStyle w:val="Hyperlink"/>
          </w:rPr>
          <w:t xml:space="preserve">https://www.fs.usda.gov/Internet/FSE{\_}DOCUMENTS/stelprd3850544.pdf</w:t>
        </w:r>
      </w:hyperlink>
      <w:r>
        <w:t xml:space="preserve">.</w:t>
      </w:r>
    </w:p>
    <w:bookmarkEnd w:id="92"/>
    <w:bookmarkStart w:id="94" w:name="ref-CDFW2017"/>
    <w:p>
      <w:pPr>
        <w:pStyle w:val="Bibliography"/>
      </w:pPr>
      <w:r>
        <w:t xml:space="preserve">———. 2017.</w:t>
      </w:r>
      <w:r>
        <w:t xml:space="preserve"> </w:t>
      </w:r>
      <w:r>
        <w:t xml:space="preserve">“</w:t>
      </w:r>
      <w:r>
        <w:t xml:space="preserve">Interim Instream Flow Criteria for the Protection of Fishery</w:t>
      </w:r>
      <w:r>
        <w:t xml:space="preserve">.”</w:t>
      </w:r>
      <w:r>
        <w:t xml:space="preserve"> </w:t>
      </w:r>
      <w:hyperlink r:id="rId93">
        <w:r>
          <w:rPr>
            <w:rStyle w:val="Hyperlink"/>
          </w:rPr>
          <w:t xml:space="preserve">file:///Users/kelseymcneill/Downloads/Scott River{\_}FINAL 02-10-17.pdf</w:t>
        </w:r>
      </w:hyperlink>
      <w:r>
        <w:t xml:space="preserve">.</w:t>
      </w:r>
    </w:p>
    <w:bookmarkEnd w:id="94"/>
    <w:bookmarkStart w:id="96" w:name="ref-DWR2017"/>
    <w:p>
      <w:pPr>
        <w:pStyle w:val="Bibliography"/>
      </w:pPr>
      <w:r>
        <w:t xml:space="preserve">California Department of Water Resources (DWR). 2017.</w:t>
      </w:r>
      <w:r>
        <w:t xml:space="preserve"> </w:t>
      </w:r>
      <w:r>
        <w:t xml:space="preserve">“</w:t>
      </w:r>
      <w:r>
        <w:t xml:space="preserve">Crop Mapping 2016</w:t>
      </w:r>
      <w:r>
        <w:t xml:space="preserve">.”</w:t>
      </w:r>
      <w:r>
        <w:t xml:space="preserve"> </w:t>
      </w:r>
      <w:hyperlink r:id="rId95">
        <w:r>
          <w:rPr>
            <w:rStyle w:val="Hyperlink"/>
          </w:rPr>
          <w:t xml:space="preserve">https://data.cnra.ca.gov/dataset/crop-mapping-2016</w:t>
        </w:r>
      </w:hyperlink>
      <w:r>
        <w:t xml:space="preserve">.</w:t>
      </w:r>
    </w:p>
    <w:bookmarkEnd w:id="96"/>
    <w:bookmarkStart w:id="97" w:name="ref-SWRCB1975"/>
    <w:p>
      <w:pPr>
        <w:pStyle w:val="Bibliography"/>
      </w:pPr>
      <w:r>
        <w:t xml:space="preserve">California State Water Resources Control Board (SWRCB). 1975.</w:t>
      </w:r>
      <w:r>
        <w:t xml:space="preserve"> </w:t>
      </w:r>
      <w:r>
        <w:t xml:space="preserve">“</w:t>
      </w:r>
      <w:r>
        <w:t xml:space="preserve">Report on Hydrogeologic Conditions, Scott River Valley, Scott River Valley</w:t>
      </w:r>
      <w:r>
        <w:t xml:space="preserve">.”</w:t>
      </w:r>
    </w:p>
    <w:bookmarkEnd w:id="97"/>
    <w:bookmarkStart w:id="99" w:name="ref-Carter1983"/>
    <w:p>
      <w:pPr>
        <w:pStyle w:val="Bibliography"/>
      </w:pPr>
      <w:r>
        <w:t xml:space="preserve">Carter, P. R., and C. C. Sheaffer. 1983.</w:t>
      </w:r>
      <w:r>
        <w:t xml:space="preserve">“</w:t>
      </w:r>
      <w:r>
        <w:t xml:space="preserve">Alfalfa Response to Soil Water Deficits. I. Growth, Forage Quality, Yield, Water Use, and Water‐Use Efficiency 1</w:t>
      </w:r>
      <w:r>
        <w:t xml:space="preserve"> </w:t>
      </w:r>
      <w:r>
        <w:t xml:space="preserve">.”</w:t>
      </w:r>
      <w:r>
        <w:t xml:space="preserve"> </w:t>
      </w:r>
      <w:r>
        <w:rPr>
          <w:i/>
          <w:iCs/>
        </w:rPr>
        <w:t xml:space="preserve">Crop Science</w:t>
      </w:r>
      <w:r>
        <w:t xml:space="preserve"> </w:t>
      </w:r>
      <w:r>
        <w:t xml:space="preserve">23 (4): 669–75.</w:t>
      </w:r>
      <w:r>
        <w:t xml:space="preserve"> </w:t>
      </w:r>
      <w:hyperlink r:id="rId98">
        <w:r>
          <w:rPr>
            <w:rStyle w:val="Hyperlink"/>
          </w:rPr>
          <w:t xml:space="preserve">https://doi.org/10.2135/cropsci1983.0011183x002300040016x</w:t>
        </w:r>
      </w:hyperlink>
      <w:r>
        <w:t xml:space="preserve">.</w:t>
      </w:r>
    </w:p>
    <w:bookmarkEnd w:id="99"/>
    <w:bookmarkStart w:id="101" w:name="ref-CDFW2021c"/>
    <w:p>
      <w:pPr>
        <w:pStyle w:val="Bibliography"/>
      </w:pPr>
      <w:r>
        <w:t xml:space="preserve">CDFW. 2021.</w:t>
      </w:r>
      <w:r>
        <w:t xml:space="preserve"> </w:t>
      </w:r>
      <w:r>
        <w:t xml:space="preserve">“</w:t>
      </w:r>
      <w:r>
        <w:t xml:space="preserve">Minimum Flow Recommendations for the Shasta and Scott Rivers to Inform the 2021 Drought Emergency Regulations</w:t>
      </w:r>
      <w:r>
        <w:t xml:space="preserve">.”</w:t>
      </w:r>
      <w:r>
        <w:t xml:space="preserve"> </w:t>
      </w:r>
      <w:r>
        <w:t xml:space="preserve">Redding, CA: CDFW to the SWB.</w:t>
      </w:r>
      <w:r>
        <w:t xml:space="preserve"> </w:t>
      </w:r>
      <w:hyperlink r:id="rId100">
        <w:r>
          <w:rPr>
            <w:rStyle w:val="Hyperlink"/>
          </w:rPr>
          <w:t xml:space="preserve">https://www.waterboards.ca.gov/drought/scott{\_}shasta{\_}rivers/docs/swb{\_}2021{\_}shasta{\_}scott{\_}drought{\_}emergency{\_}final.pdf</w:t>
        </w:r>
      </w:hyperlink>
      <w:r>
        <w:t xml:space="preserve">.</w:t>
      </w:r>
    </w:p>
    <w:bookmarkEnd w:id="101"/>
    <w:bookmarkStart w:id="103" w:name="ref-Cohon1973"/>
    <w:p>
      <w:pPr>
        <w:pStyle w:val="Bibliography"/>
      </w:pPr>
      <w:r>
        <w:t xml:space="preserve">Cohon, Jared L., and David H. Marks. 1973.</w:t>
      </w:r>
      <w:r>
        <w:t xml:space="preserve"> </w:t>
      </w:r>
      <w:r>
        <w:t xml:space="preserve">“</w:t>
      </w:r>
      <w:r>
        <w:t xml:space="preserve">Multiobjective screening models and water resource investment</w:t>
      </w:r>
      <w:r>
        <w:t xml:space="preserve">.”</w:t>
      </w:r>
      <w:r>
        <w:t xml:space="preserve"> </w:t>
      </w:r>
      <w:r>
        <w:rPr>
          <w:i/>
          <w:iCs/>
        </w:rPr>
        <w:t xml:space="preserve">Water Resources Research</w:t>
      </w:r>
      <w:r>
        <w:t xml:space="preserve"> </w:t>
      </w:r>
      <w:r>
        <w:t xml:space="preserve">9 (4): 826–36.</w:t>
      </w:r>
      <w:r>
        <w:t xml:space="preserve"> </w:t>
      </w:r>
      <w:hyperlink r:id="rId102">
        <w:r>
          <w:rPr>
            <w:rStyle w:val="Hyperlink"/>
          </w:rPr>
          <w:t xml:space="preserve">https://doi.org/10.1029/WR009i004p00826</w:t>
        </w:r>
      </w:hyperlink>
      <w:r>
        <w:t xml:space="preserve">.</w:t>
      </w:r>
    </w:p>
    <w:bookmarkEnd w:id="103"/>
    <w:bookmarkStart w:id="105" w:name="ref-Cohon1975"/>
    <w:p>
      <w:pPr>
        <w:pStyle w:val="Bibliography"/>
      </w:pPr>
      <w:r>
        <w:t xml:space="preserve">———. 1975.</w:t>
      </w:r>
      <w:r>
        <w:t xml:space="preserve"> </w:t>
      </w:r>
      <w:r>
        <w:t xml:space="preserve">“</w:t>
      </w:r>
      <w:r>
        <w:t xml:space="preserve">A review and evaluation of multiobjective programing techniques</w:t>
      </w:r>
      <w:r>
        <w:t xml:space="preserve">.”</w:t>
      </w:r>
      <w:r>
        <w:t xml:space="preserve"> </w:t>
      </w:r>
      <w:r>
        <w:rPr>
          <w:i/>
          <w:iCs/>
        </w:rPr>
        <w:t xml:space="preserve">Water Resources Research</w:t>
      </w:r>
      <w:r>
        <w:t xml:space="preserve"> </w:t>
      </w:r>
      <w:r>
        <w:t xml:space="preserve">11 (2): 208–20.</w:t>
      </w:r>
      <w:r>
        <w:t xml:space="preserve"> </w:t>
      </w:r>
      <w:hyperlink r:id="rId104">
        <w:r>
          <w:rPr>
            <w:rStyle w:val="Hyperlink"/>
          </w:rPr>
          <w:t xml:space="preserve">https://doi.org/10.1029/WR011i002p00208</w:t>
        </w:r>
      </w:hyperlink>
      <w:r>
        <w:t xml:space="preserve">.</w:t>
      </w:r>
    </w:p>
    <w:bookmarkEnd w:id="105"/>
    <w:bookmarkStart w:id="107" w:name="ref-Foglia2013a"/>
    <w:p>
      <w:pPr>
        <w:pStyle w:val="Bibliography"/>
      </w:pPr>
      <w:r>
        <w:t xml:space="preserve">Foglia, Laura, Alison McNally, Courtney Hall, Lauren Ledesma, Ryan Hines, and Thomas Harter. 2013.</w:t>
      </w:r>
      <w:r>
        <w:t xml:space="preserve"> </w:t>
      </w:r>
      <w:r>
        <w:t xml:space="preserve">“</w:t>
      </w:r>
      <w:r>
        <w:t xml:space="preserve">Scott Valley Integrated Hydrologic Model : Data Collection , Analysis , and Water Budget</w:t>
      </w:r>
      <w:r>
        <w:t xml:space="preserve">.”</w:t>
      </w:r>
      <w:r>
        <w:t xml:space="preserve"> </w:t>
      </w:r>
      <w:r>
        <w:t xml:space="preserve">April. University of California, Davis.</w:t>
      </w:r>
      <w:r>
        <w:t xml:space="preserve"> </w:t>
      </w:r>
      <w:hyperlink r:id="rId106">
        <w:r>
          <w:rPr>
            <w:rStyle w:val="Hyperlink"/>
          </w:rPr>
          <w:t xml:space="preserve">http://groundwater.ucdavis.edu/files/165395.pdf</w:t>
        </w:r>
      </w:hyperlink>
      <w:r>
        <w:t xml:space="preserve">.</w:t>
      </w:r>
    </w:p>
    <w:bookmarkEnd w:id="107"/>
    <w:bookmarkStart w:id="109" w:name="ref-FCGMA2019"/>
    <w:p>
      <w:pPr>
        <w:pStyle w:val="Bibliography"/>
      </w:pPr>
      <w:r>
        <w:t xml:space="preserve">Fox Canyon Groundwater Management Agency. 2019.</w:t>
      </w:r>
      <w:r>
        <w:t xml:space="preserve"> </w:t>
      </w:r>
      <w:r>
        <w:t xml:space="preserve">“</w:t>
      </w:r>
      <w:r>
        <w:t xml:space="preserve">Groundwater Sustainability Plan for the Oxnard Subbasin</w:t>
      </w:r>
      <w:r>
        <w:t xml:space="preserve">.”</w:t>
      </w:r>
      <w:r>
        <w:t xml:space="preserve"> </w:t>
      </w:r>
      <w:r>
        <w:t xml:space="preserve">December. Ventura, CA.</w:t>
      </w:r>
      <w:r>
        <w:t xml:space="preserve"> </w:t>
      </w:r>
      <w:hyperlink r:id="rId108">
        <w:r>
          <w:rPr>
            <w:rStyle w:val="Hyperlink"/>
          </w:rPr>
          <w:t xml:space="preserve">https://fcgma.org/groundwater-sustainability-plan</w:t>
        </w:r>
      </w:hyperlink>
      <w:r>
        <w:t xml:space="preserve">.</w:t>
      </w:r>
    </w:p>
    <w:bookmarkEnd w:id="109"/>
    <w:bookmarkStart w:id="111"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rPr>
          <w:vertAlign w:val="superscript"/>
        </w:rPr>
        <w:t xml:space="preserve">1</w:t>
      </w:r>
      <w:r>
        <w:t xml:space="preserve">.”</w:t>
      </w:r>
      <w:r>
        <w:t xml:space="preserve"> </w:t>
      </w:r>
      <w:r>
        <w:rPr>
          <w:i/>
          <w:iCs/>
        </w:rPr>
        <w:t xml:space="preserve">JAWRA Journal of the American Water Resources Association</w:t>
      </w:r>
      <w:r>
        <w:t xml:space="preserve"> </w:t>
      </w:r>
      <w:r>
        <w:t xml:space="preserve">36 (3): 483–91.</w:t>
      </w:r>
      <w:r>
        <w:t xml:space="preserve"> </w:t>
      </w:r>
      <w:hyperlink r:id="rId110">
        <w:r>
          <w:rPr>
            <w:rStyle w:val="Hyperlink"/>
          </w:rPr>
          <w:t xml:space="preserve">https://doi.org/10.1111/j.1752-1688.2000.tb04280.x</w:t>
        </w:r>
      </w:hyperlink>
      <w:r>
        <w:t xml:space="preserve">.</w:t>
      </w:r>
    </w:p>
    <w:bookmarkEnd w:id="111"/>
    <w:bookmarkStart w:id="113" w:name="ref-Harter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Davis. CA: Groundwater Cooperative Extension Program University of California, Davis.</w:t>
      </w:r>
      <w:r>
        <w:t xml:space="preserve"> </w:t>
      </w:r>
      <w:hyperlink r:id="rId112">
        <w:r>
          <w:rPr>
            <w:rStyle w:val="Hyperlink"/>
          </w:rPr>
          <w:t xml:space="preserve">http://groundwater.ucdavis.edu/files/136426.pdf</w:t>
        </w:r>
      </w:hyperlink>
      <w:r>
        <w:t xml:space="preserve">.</w:t>
      </w:r>
    </w:p>
    <w:bookmarkEnd w:id="113"/>
    <w:bookmarkStart w:id="115" w:name="ref-Kapelan2005"/>
    <w:p>
      <w:pPr>
        <w:pStyle w:val="Bibliography"/>
      </w:pPr>
      <w:r>
        <w:t xml:space="preserve">Kapelan, Zoran S., Dragan A. Savic, and Godfrey A. Walters. 2005.</w:t>
      </w:r>
      <w:r>
        <w:t xml:space="preserve"> </w:t>
      </w:r>
      <w:r>
        <w:t xml:space="preserve">“</w:t>
      </w:r>
      <w:r>
        <w:t xml:space="preserve">Multiobjective design of water distribution systems under uncertainty</w:t>
      </w:r>
      <w:r>
        <w:t xml:space="preserve">.”</w:t>
      </w:r>
      <w:r>
        <w:t xml:space="preserve"> </w:t>
      </w:r>
      <w:r>
        <w:rPr>
          <w:i/>
          <w:iCs/>
        </w:rPr>
        <w:t xml:space="preserve">Water Resources Research</w:t>
      </w:r>
      <w:r>
        <w:t xml:space="preserve"> </w:t>
      </w:r>
      <w:r>
        <w:t xml:space="preserve">41 (11): 1–15.</w:t>
      </w:r>
      <w:r>
        <w:t xml:space="preserve"> </w:t>
      </w:r>
      <w:hyperlink r:id="rId114">
        <w:r>
          <w:rPr>
            <w:rStyle w:val="Hyperlink"/>
          </w:rPr>
          <w:t xml:space="preserve">https://doi.org/10.1029/2004WR003787</w:t>
        </w:r>
      </w:hyperlink>
      <w:r>
        <w:t xml:space="preserve">.</w:t>
      </w:r>
    </w:p>
    <w:bookmarkEnd w:id="115"/>
    <w:bookmarkStart w:id="117"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16">
        <w:r>
          <w:rPr>
            <w:rStyle w:val="Hyperlink"/>
          </w:rPr>
          <w:t xml:space="preserve">https://doi.org/10.1002/eco.70098</w:t>
        </w:r>
      </w:hyperlink>
      <w:r>
        <w:t xml:space="preserve">.</w:t>
      </w:r>
    </w:p>
    <w:bookmarkEnd w:id="117"/>
    <w:bookmarkStart w:id="119" w:name="ref-Mack1958"/>
    <w:p>
      <w:pPr>
        <w:pStyle w:val="Bibliography"/>
      </w:pPr>
      <w:r>
        <w:t xml:space="preserve">Mack, Seymour. 1958.</w:t>
      </w:r>
      <w:r>
        <w:t xml:space="preserve"> </w:t>
      </w:r>
      <w:r>
        <w:t xml:space="preserve">“</w:t>
      </w:r>
      <w:r>
        <w:t xml:space="preserve">Geology and Ground-Water Features of Scott Valley Siskiyou County, California.</w:t>
      </w:r>
      <w:r>
        <w:t xml:space="preserve">”</w:t>
      </w:r>
      <w:r>
        <w:t xml:space="preserve"> Geological Survey Water-Supply Paper 1462.</w:t>
      </w:r>
      <w:r>
        <w:t xml:space="preserve"> </w:t>
      </w:r>
      <w:hyperlink r:id="rId118">
        <w:r>
          <w:rPr>
            <w:rStyle w:val="Hyperlink"/>
          </w:rPr>
          <w:t xml:space="preserve">https://pubs.usgs.gov/wsp/1462/report.pdf</w:t>
        </w:r>
      </w:hyperlink>
      <w:r>
        <w:t xml:space="preserve">.</w:t>
      </w:r>
    </w:p>
    <w:bookmarkEnd w:id="119"/>
    <w:bookmarkStart w:id="121" w:name="ref-Mahoney1998"/>
    <w:p>
      <w:pPr>
        <w:pStyle w:val="Bibliography"/>
      </w:pPr>
      <w:r>
        <w:t xml:space="preserve">Mahoney, John M., and Stewart B. Rood. 1998.</w:t>
      </w:r>
      <w:r>
        <w:t xml:space="preserve"> </w:t>
      </w:r>
      <w:r>
        <w:t xml:space="preserve">“</w:t>
      </w:r>
      <w:r>
        <w:t xml:space="preserve">Streamflow requirements for cottonwood seedling recruitment-An integrative model</w:t>
      </w:r>
      <w:r>
        <w:t xml:space="preserve">.”</w:t>
      </w:r>
      <w:r>
        <w:t xml:space="preserve"> </w:t>
      </w:r>
      <w:r>
        <w:rPr>
          <w:i/>
          <w:iCs/>
        </w:rPr>
        <w:t xml:space="preserve">Wetlands</w:t>
      </w:r>
      <w:r>
        <w:t xml:space="preserve"> </w:t>
      </w:r>
      <w:r>
        <w:t xml:space="preserve">18 (4): 634–45.</w:t>
      </w:r>
      <w:r>
        <w:t xml:space="preserve"> </w:t>
      </w:r>
      <w:hyperlink r:id="rId120">
        <w:r>
          <w:rPr>
            <w:rStyle w:val="Hyperlink"/>
          </w:rPr>
          <w:t xml:space="preserve">https://doi.org/10.1007/BF03161678</w:t>
        </w:r>
      </w:hyperlink>
      <w:r>
        <w:t xml:space="preserve">.</w:t>
      </w:r>
    </w:p>
    <w:bookmarkEnd w:id="121"/>
    <w:bookmarkStart w:id="123" w:name="ref-Monarchi1973"/>
    <w:p>
      <w:pPr>
        <w:pStyle w:val="Bibliography"/>
      </w:pPr>
      <w:r>
        <w:t xml:space="preserve">Monarchi, David E., Chester C. Kisiel, and Lucien Duckstein. 1973.</w:t>
      </w:r>
      <w:r>
        <w:t xml:space="preserve"> </w:t>
      </w:r>
      <w:r>
        <w:t xml:space="preserve">“</w:t>
      </w:r>
      <w:r>
        <w:t xml:space="preserve">Interactive multiobjective programing in water resources: A case study</w:t>
      </w:r>
      <w:r>
        <w:t xml:space="preserve">.”</w:t>
      </w:r>
      <w:r>
        <w:t xml:space="preserve"> </w:t>
      </w:r>
      <w:r>
        <w:rPr>
          <w:i/>
          <w:iCs/>
        </w:rPr>
        <w:t xml:space="preserve">Water Resources Research</w:t>
      </w:r>
      <w:r>
        <w:t xml:space="preserve"> </w:t>
      </w:r>
      <w:r>
        <w:t xml:space="preserve">9 (4): 837–50.</w:t>
      </w:r>
      <w:r>
        <w:t xml:space="preserve"> </w:t>
      </w:r>
      <w:hyperlink r:id="rId122">
        <w:r>
          <w:rPr>
            <w:rStyle w:val="Hyperlink"/>
          </w:rPr>
          <w:t xml:space="preserve">https://doi.org/10.1029/WR009i004p00837</w:t>
        </w:r>
      </w:hyperlink>
      <w:r>
        <w:t xml:space="preserve">.</w:t>
      </w:r>
    </w:p>
    <w:bookmarkEnd w:id="123"/>
    <w:bookmarkStart w:id="125"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24">
        <w:r>
          <w:rPr>
            <w:rStyle w:val="Hyperlink"/>
          </w:rPr>
          <w:t xml:space="preserve">https://doi.org/10.1016/j.envsci.2016.05.006</w:t>
        </w:r>
      </w:hyperlink>
      <w:r>
        <w:t xml:space="preserve">.</w:t>
      </w:r>
    </w:p>
    <w:bookmarkEnd w:id="125"/>
    <w:bookmarkStart w:id="127" w:name="ref-Ohlberger2018"/>
    <w:p>
      <w:pPr>
        <w:pStyle w:val="Bibliography"/>
      </w:pPr>
      <w:r>
        <w:t xml:space="preserve">Ohlberger, Jan, Thomas W. Buehrens, Samuel J. Brenkman, Patrick Crain, Thomas P. Quinn, and Ray Hilborn. 2018.</w:t>
      </w:r>
      <w:r>
        <w:t xml:space="preserve"> </w:t>
      </w:r>
      <w:r>
        <w:t xml:space="preserve">“</w:t>
      </w:r>
      <w:r>
        <w:t xml:space="preserve">Effects of past and projected river discharge variability on freshwater production in an anadromous fish</w:t>
      </w:r>
      <w:r>
        <w:t xml:space="preserve">.”</w:t>
      </w:r>
      <w:r>
        <w:t xml:space="preserve"> </w:t>
      </w:r>
      <w:r>
        <w:rPr>
          <w:i/>
          <w:iCs/>
        </w:rPr>
        <w:t xml:space="preserve">Freshwater Biology</w:t>
      </w:r>
      <w:r>
        <w:t xml:space="preserve"> </w:t>
      </w:r>
      <w:r>
        <w:t xml:space="preserve">63 (4): 331–40.</w:t>
      </w:r>
      <w:r>
        <w:t xml:space="preserve"> </w:t>
      </w:r>
      <w:hyperlink r:id="rId126">
        <w:r>
          <w:rPr>
            <w:rStyle w:val="Hyperlink"/>
          </w:rPr>
          <w:t xml:space="preserve">https://doi.org/10.1111/fwb.13070</w:t>
        </w:r>
      </w:hyperlink>
      <w:r>
        <w:t xml:space="preserve">.</w:t>
      </w:r>
    </w:p>
    <w:bookmarkEnd w:id="127"/>
    <w:bookmarkStart w:id="128" w:name="ref-Pareto1896"/>
    <w:p>
      <w:pPr>
        <w:pStyle w:val="Bibliography"/>
      </w:pPr>
      <w:r>
        <w:t xml:space="preserve">Pareto, Vilfredo. 1896.</w:t>
      </w:r>
      <w:r>
        <w:t xml:space="preserve"> </w:t>
      </w:r>
      <w:r>
        <w:rPr>
          <w:i/>
          <w:iCs/>
        </w:rPr>
        <w:t xml:space="preserve">Cours D’Economie Politique</w:t>
      </w:r>
      <w:r>
        <w:t xml:space="preserve">. Lausanne.</w:t>
      </w:r>
    </w:p>
    <w:bookmarkEnd w:id="128"/>
    <w:bookmarkStart w:id="129" w:name="ref-SVAP1980"/>
    <w:p>
      <w:pPr>
        <w:pStyle w:val="Bibliography"/>
      </w:pPr>
      <w:r>
        <w:t xml:space="preserve">Scott Valley Area Plan Committee. 1980.</w:t>
      </w:r>
      <w:r>
        <w:t xml:space="preserve"> </w:t>
      </w:r>
      <w:r>
        <w:t xml:space="preserve">“</w:t>
      </w:r>
      <w:r>
        <w:t xml:space="preserve">Scott Valley Area Plan (SVAP)</w:t>
      </w:r>
      <w:r>
        <w:t xml:space="preserve">.”</w:t>
      </w:r>
    </w:p>
    <w:bookmarkEnd w:id="129"/>
    <w:bookmarkStart w:id="131" w:name="ref-SiskiyouCounty2021"/>
    <w:p>
      <w:pPr>
        <w:pStyle w:val="Bibliography"/>
      </w:pPr>
      <w:r>
        <w:t xml:space="preserve">Siskiyou County Flood Control and Water Conservation District. 2021.</w:t>
      </w:r>
      <w:r>
        <w:t xml:space="preserve"> </w:t>
      </w:r>
      <w:r>
        <w:t xml:space="preserve">“</w:t>
      </w:r>
      <w:r>
        <w:t xml:space="preserve">Scott Valley Groundwater Sustainability Plan</w:t>
      </w:r>
      <w:r>
        <w:t xml:space="preserve">.”</w:t>
      </w:r>
      <w:r>
        <w:t xml:space="preserve"> </w:t>
      </w:r>
      <w:r>
        <w:t xml:space="preserve">Siskiyou County Flood Control; Water Conservation District.</w:t>
      </w:r>
      <w:r>
        <w:t xml:space="preserve"> </w:t>
      </w:r>
      <w:hyperlink r:id="rId130">
        <w:r>
          <w:rPr>
            <w:rStyle w:val="Hyperlink"/>
          </w:rPr>
          <w:t xml:space="preserve">https://www.co.siskiyou.ca.us/naturalresources/page/scott-valley-gsp-chapters</w:t>
        </w:r>
      </w:hyperlink>
      <w:r>
        <w:t xml:space="preserve">.</w:t>
      </w:r>
    </w:p>
    <w:bookmarkEnd w:id="131"/>
    <w:bookmarkStart w:id="133" w:name="ref-SVGAC2021_June"/>
    <w:p>
      <w:pPr>
        <w:pStyle w:val="Bibliography"/>
      </w:pPr>
      <w:r>
        <w:t xml:space="preserve">Siskiyou County GSA - Scott Valley Groundwater Advisory Committee. 2021.</w:t>
      </w:r>
      <w:r>
        <w:t xml:space="preserve"> </w:t>
      </w:r>
      <w:r>
        <w:t xml:space="preserve">“</w:t>
      </w:r>
      <w:r>
        <w:t xml:space="preserve">Siskiyou County Groundwater Sustainability Agency: Scott Valley Advisory Committee Meeting</w:t>
      </w:r>
      <w:r>
        <w:t xml:space="preserve">.”</w:t>
      </w:r>
      <w:r>
        <w:t xml:space="preserve"> </w:t>
      </w:r>
      <w:r>
        <w:t xml:space="preserve">Fort Jones, CA: Siskiyou County.</w:t>
      </w:r>
      <w:r>
        <w:t xml:space="preserve"> </w:t>
      </w:r>
      <w:hyperlink r:id="rId132">
        <w:r>
          <w:rPr>
            <w:rStyle w:val="Hyperlink"/>
          </w:rPr>
          <w:t xml:space="preserve">https://www.co.siskiyou.ca.us/scottvga/page/scott-valley-groundwater-advisory-committee-meeting-15</w:t>
        </w:r>
      </w:hyperlink>
      <w:r>
        <w:t xml:space="preserve">.</w:t>
      </w:r>
    </w:p>
    <w:bookmarkEnd w:id="133"/>
    <w:bookmarkStart w:id="135" w:name="ref-Sunding1996"/>
    <w:p>
      <w:pPr>
        <w:pStyle w:val="Bibliography"/>
      </w:pPr>
      <w:r>
        <w:t xml:space="preserve">Sunding, David L. 1996.</w:t>
      </w:r>
      <w:r>
        <w:t xml:space="preserve"> </w:t>
      </w:r>
      <w:r>
        <w:t xml:space="preserve">“</w:t>
      </w:r>
      <w:r>
        <w:t xml:space="preserve">Measuring the Marginal Cost of Nonuniform Environmental Regulations</w:t>
      </w:r>
      <w:r>
        <w:t xml:space="preserve">.”</w:t>
      </w:r>
      <w:r>
        <w:t xml:space="preserve"> </w:t>
      </w:r>
      <w:r>
        <w:rPr>
          <w:i/>
          <w:iCs/>
        </w:rPr>
        <w:t xml:space="preserve">American Journal of Agricultural Economics</w:t>
      </w:r>
      <w:r>
        <w:t xml:space="preserve"> </w:t>
      </w:r>
      <w:r>
        <w:t xml:space="preserve">78 (4): 1098–1107.</w:t>
      </w:r>
      <w:r>
        <w:t xml:space="preserve"> </w:t>
      </w:r>
      <w:hyperlink r:id="rId134">
        <w:r>
          <w:rPr>
            <w:rStyle w:val="Hyperlink"/>
          </w:rPr>
          <w:t xml:space="preserve">https://doi.org/10.2307/1243866</w:t>
        </w:r>
      </w:hyperlink>
      <w:r>
        <w:t xml:space="preserve">.</w:t>
      </w:r>
    </w:p>
    <w:bookmarkEnd w:id="135"/>
    <w:bookmarkStart w:id="137" w:name="ref-SuperiorCourtofSiskiyouCounty1980"/>
    <w:p>
      <w:pPr>
        <w:pStyle w:val="Bibliography"/>
      </w:pPr>
      <w:r>
        <w:t xml:space="preserve">Superior Court of Siskiyou County. 1980.</w:t>
      </w:r>
      <w:r>
        <w:t xml:space="preserve"> </w:t>
      </w:r>
      <w:r>
        <w:t xml:space="preserve">“</w:t>
      </w:r>
      <w:r>
        <w:t xml:space="preserve">Scott River Adjudication, Decree No. 30662. Scott River stream system, Siskiyou County. California State Water Resources Conrol Board.</w:t>
      </w:r>
      <w:r>
        <w:t xml:space="preserve">”</w:t>
      </w:r>
      <w:r>
        <w:t xml:space="preserve"> Sacramento.</w:t>
      </w:r>
      <w:r>
        <w:t xml:space="preserve"> </w:t>
      </w:r>
      <w:hyperlink r:id="rId136">
        <w:r>
          <w:rPr>
            <w:rStyle w:val="Hyperlink"/>
          </w:rPr>
          <w:t xml:space="preserve">https://www.waterboards.ca.gov/waterrights/board{\_}decisions/adopted{\_}orders/judgments/docs/scottriver{\_}jd.pdf</w:t>
        </w:r>
      </w:hyperlink>
      <w:r>
        <w:t xml:space="preserve">.</w:t>
      </w:r>
    </w:p>
    <w:bookmarkEnd w:id="137"/>
    <w:bookmarkStart w:id="139" w:name="ref-Tolley2019"/>
    <w:p>
      <w:pPr>
        <w:pStyle w:val="Bibliography"/>
      </w:pPr>
      <w:r>
        <w:t xml:space="preserve">Tolley, Douglas G., Laura Foglia, and Thomas Harter. 2019.</w:t>
      </w:r>
      <w:r>
        <w:t xml:space="preserve"> </w:t>
      </w:r>
      <w:r>
        <w:t xml:space="preserve">“</w:t>
      </w:r>
      <w:r>
        <w:t xml:space="preserve">Sensitivity Analysis and Calibration of an Integrated Hydrologic Model in an Irrigated Agricultural Basin with a Groundwater-Dependent Ecosystem</w:t>
      </w:r>
      <w:r>
        <w:t xml:space="preserve">.”</w:t>
      </w:r>
      <w:r>
        <w:t xml:space="preserve"> </w:t>
      </w:r>
      <w:r>
        <w:rPr>
          <w:i/>
          <w:iCs/>
        </w:rPr>
        <w:t xml:space="preserve">Water Resources Research</w:t>
      </w:r>
      <w:r>
        <w:t xml:space="preserve"> </w:t>
      </w:r>
      <w:r>
        <w:t xml:space="preserve">55 (8).</w:t>
      </w:r>
      <w:r>
        <w:t xml:space="preserve"> </w:t>
      </w:r>
      <w:hyperlink r:id="rId138">
        <w:r>
          <w:rPr>
            <w:rStyle w:val="Hyperlink"/>
          </w:rPr>
          <w:t xml:space="preserve">https://doi.org/10.1029/2018WR024209</w:t>
        </w:r>
      </w:hyperlink>
      <w:r>
        <w:t xml:space="preserve">.</w:t>
      </w:r>
    </w:p>
    <w:bookmarkEnd w:id="139"/>
    <w:bookmarkStart w:id="141" w:name="ref-VanSteenbergenPromoting2006"/>
    <w:p>
      <w:pPr>
        <w:pStyle w:val="Bibliography"/>
      </w:pPr>
      <w:r>
        <w:t xml:space="preserve">Van Steenbergen, Frank. 2006.</w:t>
      </w:r>
      <w:r>
        <w:t xml:space="preserve"> </w:t>
      </w:r>
      <w:r>
        <w:t xml:space="preserve">“Promoting Local Management in Groundwater.”</w:t>
      </w:r>
      <w:r>
        <w:t xml:space="preserve"> </w:t>
      </w:r>
      <w:r>
        <w:rPr>
          <w:i/>
          <w:iCs/>
        </w:rPr>
        <w:t xml:space="preserve">Hydrogeology Journal</w:t>
      </w:r>
      <w:r>
        <w:t xml:space="preserve"> </w:t>
      </w:r>
      <w:r>
        <w:t xml:space="preserve">14 (3): 380–91.</w:t>
      </w:r>
      <w:r>
        <w:t xml:space="preserve"> </w:t>
      </w:r>
      <w:hyperlink r:id="rId140">
        <w:r>
          <w:rPr>
            <w:rStyle w:val="Hyperlink"/>
          </w:rPr>
          <w:t xml:space="preserve">https://doi.org/10.1007/s10040-005-0015-y</w:t>
        </w:r>
      </w:hyperlink>
      <w:r>
        <w:t xml:space="preserve">.</w:t>
      </w:r>
    </w:p>
    <w:bookmarkEnd w:id="141"/>
    <w:bookmarkStart w:id="143" w:name="ref-Yeh1982"/>
    <w:p>
      <w:pPr>
        <w:pStyle w:val="Bibliography"/>
      </w:pPr>
      <w:r>
        <w:t xml:space="preserve">Yeh, William W‐G, and Leonard Becker. 1982.</w:t>
      </w:r>
      <w:r>
        <w:t xml:space="preserve"> </w:t>
      </w:r>
      <w:r>
        <w:t xml:space="preserve">“</w:t>
      </w:r>
      <w:r>
        <w:t xml:space="preserve">Multiobjective analysis of multireservoir operations</w:t>
      </w:r>
      <w:r>
        <w:t xml:space="preserve">.”</w:t>
      </w:r>
      <w:r>
        <w:t xml:space="preserve"> </w:t>
      </w:r>
      <w:r>
        <w:rPr>
          <w:i/>
          <w:iCs/>
        </w:rPr>
        <w:t xml:space="preserve">Water Resources Research</w:t>
      </w:r>
      <w:r>
        <w:t xml:space="preserve"> </w:t>
      </w:r>
      <w:r>
        <w:t xml:space="preserve">18 (5): 1326–36.</w:t>
      </w:r>
      <w:r>
        <w:t xml:space="preserve"> </w:t>
      </w:r>
      <w:hyperlink r:id="rId142">
        <w:r>
          <w:rPr>
            <w:rStyle w:val="Hyperlink"/>
          </w:rPr>
          <w:t xml:space="preserve">https://doi.org/10.1029/WR018i005p01326</w:t>
        </w:r>
      </w:hyperlink>
      <w:r>
        <w:t xml:space="preserve">.</w:t>
      </w:r>
    </w:p>
    <w:bookmarkEnd w:id="143"/>
    <w:bookmarkStart w:id="144" w:name="ref-YSGA2022"/>
    <w:p>
      <w:pPr>
        <w:pStyle w:val="Bibliography"/>
      </w:pPr>
      <w:r>
        <w:t xml:space="preserve">Yolo Subbasin Groundwater Agency. 2022.</w:t>
      </w:r>
      <w:r>
        <w:t xml:space="preserve"> </w:t>
      </w:r>
      <w:r>
        <w:t xml:space="preserve">“</w:t>
      </w:r>
      <w:r>
        <w:t xml:space="preserve">Yolo Subbasin Groundwater Agency 2022 Groundwater Sustainability Plan</w:t>
      </w:r>
      <w:r>
        <w:t xml:space="preserve">.”</w:t>
      </w:r>
      <w:r>
        <w:t xml:space="preserve"> </w:t>
      </w:r>
      <w:r>
        <w:t xml:space="preserve">Woodland, CA.</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2" Target="media/rId72.jpg" /><Relationship Type="http://schemas.openxmlformats.org/officeDocument/2006/relationships/hyperlink" Id="rId93" Target="file:///Users/kelseymcneill/Downloads/Scott River{\_}FINAL 02-10-17.pdf" TargetMode="External" /><Relationship Type="http://schemas.openxmlformats.org/officeDocument/2006/relationships/hyperlink" Id="rId112" Target="http://groundwater.ucdavis.edu/files/136426.pdf" TargetMode="External" /><Relationship Type="http://schemas.openxmlformats.org/officeDocument/2006/relationships/hyperlink" Id="rId106" Target="http://groundwater.ucdavis.edu/files/165395.pdf" TargetMode="External" /><Relationship Type="http://schemas.openxmlformats.org/officeDocument/2006/relationships/hyperlink" Id="rId95" Target="https://data.cnra.ca.gov/dataset/crop-mapping-2016" TargetMode="External" /><Relationship Type="http://schemas.openxmlformats.org/officeDocument/2006/relationships/hyperlink" Id="rId116" Target="https://doi.org/10.1002/eco.70098" TargetMode="External" /><Relationship Type="http://schemas.openxmlformats.org/officeDocument/2006/relationships/hyperlink" Id="rId120" Target="https://doi.org/10.1007/BF03161678" TargetMode="External" /><Relationship Type="http://schemas.openxmlformats.org/officeDocument/2006/relationships/hyperlink" Id="rId140" Target="https://doi.org/10.1007/s10040-005-0015-y" TargetMode="External" /><Relationship Type="http://schemas.openxmlformats.org/officeDocument/2006/relationships/hyperlink" Id="rId124" Target="https://doi.org/10.1016/j.envsci.2016.05.006" TargetMode="External" /><Relationship Type="http://schemas.openxmlformats.org/officeDocument/2006/relationships/hyperlink" Id="rId114" Target="https://doi.org/10.1029/2004WR003787" TargetMode="External" /><Relationship Type="http://schemas.openxmlformats.org/officeDocument/2006/relationships/hyperlink" Id="rId138" Target="https://doi.org/10.1029/2018WR024209" TargetMode="External" /><Relationship Type="http://schemas.openxmlformats.org/officeDocument/2006/relationships/hyperlink" Id="rId102" Target="https://doi.org/10.1029/WR009i004p00826" TargetMode="External" /><Relationship Type="http://schemas.openxmlformats.org/officeDocument/2006/relationships/hyperlink" Id="rId122" Target="https://doi.org/10.1029/WR009i004p00837" TargetMode="External" /><Relationship Type="http://schemas.openxmlformats.org/officeDocument/2006/relationships/hyperlink" Id="rId104" Target="https://doi.org/10.1029/WR011i002p00208" TargetMode="External" /><Relationship Type="http://schemas.openxmlformats.org/officeDocument/2006/relationships/hyperlink" Id="rId142" Target="https://doi.org/10.1029/WR018i005p01326" TargetMode="External" /><Relationship Type="http://schemas.openxmlformats.org/officeDocument/2006/relationships/hyperlink" Id="rId126" Target="https://doi.org/10.1111/fwb.13070" TargetMode="External" /><Relationship Type="http://schemas.openxmlformats.org/officeDocument/2006/relationships/hyperlink" Id="rId110" Target="https://doi.org/10.1111/j.1752-1688.2000.tb04280.x" TargetMode="External" /><Relationship Type="http://schemas.openxmlformats.org/officeDocument/2006/relationships/hyperlink" Id="rId89" Target="https://doi.org/10.1577/1548-8675(1994)014&lt;0237:hdacso&gt;2.3.co;2" TargetMode="External" /><Relationship Type="http://schemas.openxmlformats.org/officeDocument/2006/relationships/hyperlink" Id="rId98" Target="https://doi.org/10.2135/cropsci1983.0011183x002300040016x" TargetMode="External" /><Relationship Type="http://schemas.openxmlformats.org/officeDocument/2006/relationships/hyperlink" Id="rId134" Target="https://doi.org/10.2307/1243866" TargetMode="External" /><Relationship Type="http://schemas.openxmlformats.org/officeDocument/2006/relationships/hyperlink" Id="rId87" Target="https://doi.org/10.3389/fclim.2021.719150" TargetMode="External" /><Relationship Type="http://schemas.openxmlformats.org/officeDocument/2006/relationships/hyperlink" Id="rId108" Target="https://fcgma.org/groundwater-sustainability-plan" TargetMode="External" /><Relationship Type="http://schemas.openxmlformats.org/officeDocument/2006/relationships/hyperlink" Id="rId118" Target="https://pubs.usgs.gov/wsp/1462/report.pdf" TargetMode="External" /><Relationship Type="http://schemas.openxmlformats.org/officeDocument/2006/relationships/hyperlink" Id="rId130" Target="https://www.co.siskiyou.ca.us/naturalresources/page/scott-valley-gsp-chapters" TargetMode="External" /><Relationship Type="http://schemas.openxmlformats.org/officeDocument/2006/relationships/hyperlink" Id="rId132" Target="https://www.co.siskiyou.ca.us/scottvga/page/scott-valley-groundwater-advisory-committee-meeting-15" TargetMode="External" /><Relationship Type="http://schemas.openxmlformats.org/officeDocument/2006/relationships/hyperlink" Id="rId91" Target="https://www.fs.usda.gov/Internet/FSE{\_}DOCUMENTS/stelprd3850544.pdf" TargetMode="External" /><Relationship Type="http://schemas.openxmlformats.org/officeDocument/2006/relationships/hyperlink" Id="rId100" Target="https://www.waterboards.ca.gov/drought/scott{\_}shasta{\_}rivers/docs/swb{\_}2021{\_}shasta{\_}scott{\_}drought{\_}emergency{\_}final.pdf" TargetMode="External" /><Relationship Type="http://schemas.openxmlformats.org/officeDocument/2006/relationships/hyperlink" Id="rId136" Target="https://www.waterboards.ca.gov/waterrights/board{\_}decisions/adopted{\_}orders/judgments/docs/scottriver{\_}jd.pdf" TargetMode="External" /></Relationships>
</file>

<file path=word/_rels/footnotes.xml.rels><?xml version="1.0" encoding="UTF-8"?><Relationships xmlns="http://schemas.openxmlformats.org/package/2006/relationships"><Relationship Type="http://schemas.openxmlformats.org/officeDocument/2006/relationships/hyperlink" Id="rId93" Target="file:///Users/kelseymcneill/Downloads/Scott River{\_}FINAL 02-10-17.pdf" TargetMode="External" /><Relationship Type="http://schemas.openxmlformats.org/officeDocument/2006/relationships/hyperlink" Id="rId112" Target="http://groundwater.ucdavis.edu/files/136426.pdf" TargetMode="External" /><Relationship Type="http://schemas.openxmlformats.org/officeDocument/2006/relationships/hyperlink" Id="rId106" Target="http://groundwater.ucdavis.edu/files/165395.pdf" TargetMode="External" /><Relationship Type="http://schemas.openxmlformats.org/officeDocument/2006/relationships/hyperlink" Id="rId95" Target="https://data.cnra.ca.gov/dataset/crop-mapping-2016" TargetMode="External" /><Relationship Type="http://schemas.openxmlformats.org/officeDocument/2006/relationships/hyperlink" Id="rId116" Target="https://doi.org/10.1002/eco.70098" TargetMode="External" /><Relationship Type="http://schemas.openxmlformats.org/officeDocument/2006/relationships/hyperlink" Id="rId120" Target="https://doi.org/10.1007/BF03161678" TargetMode="External" /><Relationship Type="http://schemas.openxmlformats.org/officeDocument/2006/relationships/hyperlink" Id="rId140" Target="https://doi.org/10.1007/s10040-005-0015-y" TargetMode="External" /><Relationship Type="http://schemas.openxmlformats.org/officeDocument/2006/relationships/hyperlink" Id="rId124" Target="https://doi.org/10.1016/j.envsci.2016.05.006" TargetMode="External" /><Relationship Type="http://schemas.openxmlformats.org/officeDocument/2006/relationships/hyperlink" Id="rId114" Target="https://doi.org/10.1029/2004WR003787" TargetMode="External" /><Relationship Type="http://schemas.openxmlformats.org/officeDocument/2006/relationships/hyperlink" Id="rId138" Target="https://doi.org/10.1029/2018WR024209" TargetMode="External" /><Relationship Type="http://schemas.openxmlformats.org/officeDocument/2006/relationships/hyperlink" Id="rId102" Target="https://doi.org/10.1029/WR009i004p00826" TargetMode="External" /><Relationship Type="http://schemas.openxmlformats.org/officeDocument/2006/relationships/hyperlink" Id="rId122" Target="https://doi.org/10.1029/WR009i004p00837" TargetMode="External" /><Relationship Type="http://schemas.openxmlformats.org/officeDocument/2006/relationships/hyperlink" Id="rId104" Target="https://doi.org/10.1029/WR011i002p00208" TargetMode="External" /><Relationship Type="http://schemas.openxmlformats.org/officeDocument/2006/relationships/hyperlink" Id="rId142" Target="https://doi.org/10.1029/WR018i005p01326" TargetMode="External" /><Relationship Type="http://schemas.openxmlformats.org/officeDocument/2006/relationships/hyperlink" Id="rId126" Target="https://doi.org/10.1111/fwb.13070" TargetMode="External" /><Relationship Type="http://schemas.openxmlformats.org/officeDocument/2006/relationships/hyperlink" Id="rId110" Target="https://doi.org/10.1111/j.1752-1688.2000.tb04280.x" TargetMode="External" /><Relationship Type="http://schemas.openxmlformats.org/officeDocument/2006/relationships/hyperlink" Id="rId89" Target="https://doi.org/10.1577/1548-8675(1994)014&lt;0237:hdacso&gt;2.3.co;2" TargetMode="External" /><Relationship Type="http://schemas.openxmlformats.org/officeDocument/2006/relationships/hyperlink" Id="rId98" Target="https://doi.org/10.2135/cropsci1983.0011183x002300040016x" TargetMode="External" /><Relationship Type="http://schemas.openxmlformats.org/officeDocument/2006/relationships/hyperlink" Id="rId134" Target="https://doi.org/10.2307/1243866" TargetMode="External" /><Relationship Type="http://schemas.openxmlformats.org/officeDocument/2006/relationships/hyperlink" Id="rId87" Target="https://doi.org/10.3389/fclim.2021.719150" TargetMode="External" /><Relationship Type="http://schemas.openxmlformats.org/officeDocument/2006/relationships/hyperlink" Id="rId108" Target="https://fcgma.org/groundwater-sustainability-plan" TargetMode="External" /><Relationship Type="http://schemas.openxmlformats.org/officeDocument/2006/relationships/hyperlink" Id="rId118" Target="https://pubs.usgs.gov/wsp/1462/report.pdf" TargetMode="External" /><Relationship Type="http://schemas.openxmlformats.org/officeDocument/2006/relationships/hyperlink" Id="rId130" Target="https://www.co.siskiyou.ca.us/naturalresources/page/scott-valley-gsp-chapters" TargetMode="External" /><Relationship Type="http://schemas.openxmlformats.org/officeDocument/2006/relationships/hyperlink" Id="rId132" Target="https://www.co.siskiyou.ca.us/scottvga/page/scott-valley-groundwater-advisory-committee-meeting-15" TargetMode="External" /><Relationship Type="http://schemas.openxmlformats.org/officeDocument/2006/relationships/hyperlink" Id="rId91" Target="https://www.fs.usda.gov/Internet/FSE{\_}DOCUMENTS/stelprd3850544.pdf" TargetMode="External" /><Relationship Type="http://schemas.openxmlformats.org/officeDocument/2006/relationships/hyperlink" Id="rId100" Target="https://www.waterboards.ca.gov/drought/scott{\_}shasta{\_}rivers/docs/swb{\_}2021{\_}shasta{\_}scott{\_}drought{\_}emergency{\_}final.pdf" TargetMode="External" /><Relationship Type="http://schemas.openxmlformats.org/officeDocument/2006/relationships/hyperlink" Id="rId136" Target="https://www.waterboards.ca.gov/waterrights/board{\_}decisions/adopted{\_}orders/judgments/docs/scottriver{\_}j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assessment of stakeholder-defined portfolio of management options clarifies trade-offs in an active local water planning process</dc:title>
  <dc:creator>Claire Kouba</dc:creator>
  <cp:keywords/>
  <dcterms:created xsi:type="dcterms:W3CDTF">2025-11-10T20:55:48Z</dcterms:created>
  <dcterms:modified xsi:type="dcterms:W3CDTF">2025-11-10T20:55:48Z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2025-11-12</vt:lpwstr>
  </property>
  <property fmtid="{D5CDD505-2E9C-101B-9397-08002B2CF9AE}" pid="4" name="output">
    <vt:lpwstr/>
  </property>
</Properties>
</file>