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3.png" ContentType="image/png"/>
  <Override PartName="/word/media/rId37.png" ContentType="image/png"/>
  <Override PartName="/word/media/rId60.png" ContentType="image/png"/>
  <Override PartName="/word/media/rId65.png" ContentType="image/pn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stakeholder-driven scenario design and objective functions clarify trade-offs in an active local water planning process, Northern California</w:t>
      </w:r>
    </w:p>
    <w:p>
      <w:pPr>
        <w:pStyle w:val="Author"/>
      </w:pPr>
      <w:r>
        <w:t xml:space="preserve">Claire Kouba, Leland Scantlebury, Thomas Harter</w:t>
      </w:r>
    </w:p>
    <w:p>
      <w:pPr>
        <w:pStyle w:val="Date"/>
      </w:pPr>
      <w:r>
        <w:t xml:space="preserve">2026-05-12</w:t>
      </w:r>
    </w:p>
    <w:bookmarkStart w:id="20" w:name="abstract"/>
    <w:p>
      <w:pPr>
        <w:pStyle w:val="Heading1"/>
      </w:pPr>
      <w:r>
        <w:t xml:space="preserve">Abstract</w:t>
      </w:r>
    </w:p>
    <w:p>
      <w:pPr>
        <w:pStyle w:val="FirstParagraph"/>
      </w:pPr>
      <w:r>
        <w:t xml:space="preserve">In rural semi-arid places, water needs of agriculture and ecosystems are often in complex competition, particularly in connected surface water and groundwater systems. Managing this trade-off with buy-in from the local community requires an understanding of</w:t>
      </w:r>
      <w:r>
        <w:t xml:space="preserve"> </w:t>
      </w:r>
      <w:r>
        <w:t xml:space="preserve">“reasonable”</w:t>
      </w:r>
      <w:r>
        <w:t xml:space="preserve"> </w:t>
      </w:r>
      <w:r>
        <w:t xml:space="preserve">options and trade-offs. In this study, we propose that combining hydrologic models with stakeholder-driven design of both management scenarios and objective functions can 1) identify a politically relevant, computationally feasible set of scenarios; 2) build a management</w:t>
      </w:r>
      <w:r>
        <w:t xml:space="preserve"> </w:t>
      </w:r>
      <w:r>
        <w:t xml:space="preserve">“landscape”</w:t>
      </w:r>
      <w:r>
        <w:t xml:space="preserve"> </w:t>
      </w:r>
      <w:r>
        <w:t xml:space="preserve">of outcomes to assess reasonableness of any one scenario; and 3) clarify water use trade-offs.</w:t>
      </w:r>
    </w:p>
    <w:p>
      <w:pPr>
        <w:pStyle w:val="BodyText"/>
      </w:pPr>
      <w:r>
        <w:t xml:space="preserve">We demonstrate this in Scott Valley, a case study jurisdiction in northern California, which is in the process of implementing a long-term Groundwater Sustainability Plan (GSP). We developed a quantitative metric for each of the three primary policy considerations in the GSP (environmental, agricultural, and project cost). These metrics were used to summarize the results of 25 management scenarios developed for the GSP based on stakeholder input, which were simulated using an existing integrated surface- and groundwater model. Among the set of options considered, avoiding trade-offs between environmental outcomes and agricultural water use generally required costly reservoir infrastructure, whereas lower-cost Pareto-optimal scenarios required regulatory reductions in agricultural water use. This work demonstrates that basin-specific, stakeholder-informed scenario design and objective functions can connect hydrologic modeling with decisionmaking, and can help clarify trade-offs in ongoing local water planning efforts.</w:t>
      </w:r>
    </w:p>
    <w:p>
      <w:r>
        <w:br w:type="page"/>
      </w:r>
    </w:p>
    <w:bookmarkEnd w:id="20"/>
    <w:bookmarkStart w:id="21" w:name="introduction"/>
    <w:p>
      <w:pPr>
        <w:pStyle w:val="Heading1"/>
      </w:pPr>
      <w:r>
        <w:rPr>
          <w:rStyle w:val="SectionNumber"/>
        </w:rPr>
        <w:t xml:space="preserve">1</w:t>
      </w:r>
      <w:r>
        <w:tab/>
      </w:r>
      <w:r>
        <w:t xml:space="preserve">Introduction</w:t>
      </w:r>
    </w:p>
    <w:p>
      <w:pPr>
        <w:pStyle w:val="FirstParagraph"/>
      </w:pPr>
      <w:r>
        <w:t xml:space="preserve">Sustainable use and management of water resources, in an era of climate change and increasing human water consumption</w:t>
      </w:r>
      <w:r>
        <w:t xml:space="preserve"> </w:t>
      </w:r>
      <w:r>
        <w:t xml:space="preserve">(Williams et al. 2020; Rodell et al. 2018)</w:t>
      </w:r>
      <w:r>
        <w:t xml:space="preserve">, requires an interdisciplinary understanding of connected socio-hydrologic systems</w:t>
      </w:r>
      <w:r>
        <w:t xml:space="preserve"> </w:t>
      </w:r>
      <w:r>
        <w:t xml:space="preserve">(Reuss 1992; Di Baldassarre et al. 2019)</w:t>
      </w:r>
      <w:r>
        <w:t xml:space="preserve">. One such interdisciplinary approach is water resources systems analysis (WRSA), which involves applying optimization methods to water resource planning</w:t>
      </w:r>
      <w:r>
        <w:t xml:space="preserve"> </w:t>
      </w:r>
      <w:r>
        <w:t xml:space="preserve">(Maass et al. 1962; Cohon and Marks 1975; C. M. Brown et al. 2015)</w:t>
      </w:r>
      <w:r>
        <w:t xml:space="preserve">. The utility of such studies typically depends on robust definitions of the</w:t>
      </w:r>
      <w:r>
        <w:t xml:space="preserve"> </w:t>
      </w:r>
      <w:r>
        <w:t xml:space="preserve">“objective function(s)”</w:t>
      </w:r>
      <w:r>
        <w:t xml:space="preserve">, which summarize and quantify the desired outcome(s) of the proposed project or management scenario</w:t>
      </w:r>
      <w:r>
        <w:t xml:space="preserve"> </w:t>
      </w:r>
      <w:r>
        <w:t xml:space="preserve">(Gorelick 1983)</w:t>
      </w:r>
      <w:r>
        <w:t xml:space="preserve">. In practice, classical WRSA approaches have been criticized as being too removed from stakeholder concerns</w:t>
      </w:r>
      <w:r>
        <w:t xml:space="preserve"> </w:t>
      </w:r>
      <w:r>
        <w:t xml:space="preserve">(e.g., Rogers and Fiering 1986)</w:t>
      </w:r>
      <w:r>
        <w:t xml:space="preserve">.</w:t>
      </w:r>
    </w:p>
    <w:p>
      <w:pPr>
        <w:pStyle w:val="BodyText"/>
      </w:pPr>
      <w:r>
        <w:t xml:space="preserve">This is unfortunate, because effective climate adaptation in the water sector – e.g., securing water and food supplies, updating infrastructure to reduce flood and drought risk, and preserving ecosystem function – depends on local implementation</w:t>
      </w:r>
      <w:r>
        <w:t xml:space="preserve"> </w:t>
      </w:r>
      <w:r>
        <w:t xml:space="preserve">(Dietz, Ostrom, and Stern 2003; Ostrom 2015; Herzberg 2020)</w:t>
      </w:r>
      <w:r>
        <w:t xml:space="preserve">.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Efforts to resolve this science-practitioner gap include traditional cooperative extension research</w:t>
      </w:r>
      <w:r>
        <w:t xml:space="preserve"> </w:t>
      </w:r>
      <w:r>
        <w:t xml:space="preserve">(Wang 2014)</w:t>
      </w:r>
      <w:r>
        <w:t xml:space="preserve"> </w:t>
      </w:r>
      <w:r>
        <w:t xml:space="preserve">and more recent transdisciplinary collaborative approaches</w:t>
      </w:r>
      <w:r>
        <w:t xml:space="preserve"> </w:t>
      </w:r>
      <w:r>
        <w:t xml:space="preserve">(Knapp et al. 2019; Sahneh et al. 2021)</w:t>
      </w:r>
      <w:r>
        <w:t xml:space="preserve">.</w:t>
      </w:r>
    </w:p>
    <w:p>
      <w:pPr>
        <w:pStyle w:val="BodyText"/>
      </w:pPr>
      <w:r>
        <w:t xml:space="preserve">A further limitation of WRSA is that much of modern water management involves balancing multiple competing objectives</w:t>
      </w:r>
      <w:r>
        <w:t xml:space="preserve"> </w:t>
      </w:r>
      <w:r>
        <w:t xml:space="preserve">(e.g., Cardwell, Jager, and Sale 1996; Jager and Rose 2003; Sun et al. 2018)</w:t>
      </w:r>
      <w:r>
        <w:t xml:space="preserve">, yet, even with modern methods like genetic optimization algorithms or surrogate modeling, multi-objective optimization (or identification of a Pareto-optimal set) using a complex model is often computationally prohibitive</w:t>
      </w:r>
      <w:r>
        <w:t xml:space="preserve"> </w:t>
      </w:r>
      <w:r>
        <w:t xml:space="preserve">(Labadie 2004; Kapelan, Savic, and Walters 2005; Wu et al. 2015)</w:t>
      </w:r>
      <w:r>
        <w:t xml:space="preserve">. We propose that even without applying advanced optimization methods, the careful development and application of locally-tailored objective functions can clarify trade-offs and add value to public discourse surrounding local water management. Furthermore, because a full randomized sampling of the decision space facing water managers would demand exorbitant computational resources (such as which of several projects or policies to implement, in which areas, on what timeframe), stakeholder-driven scenario design can yield a (computationally-tractable) set of simulated management scenarios that are effectively pre-screened by stakeholders for political and approximate technical feasibility.</w:t>
      </w:r>
    </w:p>
    <w:p>
      <w:pPr>
        <w:pStyle w:val="BodyText"/>
      </w:pPr>
      <w:r>
        <w:t xml:space="preserve">In this study, we take advantage of the authors’ involvement with an existing informal transdisciplinary collaboratory – a water resource planning process that includes development and maintenance of an integrated surface- and groundwater model and local, regional and statewide stakeholder engagement – to test the utility of introducing quantitative objective functions into the public prioritization of groundwater management alternatives in a case study jurisdiction. Specifically,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p>
    <w:bookmarkEnd w:id="21"/>
    <w:bookmarkStart w:id="44" w:name="X1d0ab14f4559910db365e3bb8ee13a97d99320e"/>
    <w:p>
      <w:pPr>
        <w:pStyle w:val="Heading1"/>
      </w:pPr>
      <w:r>
        <w:rPr>
          <w:rStyle w:val="SectionNumber"/>
        </w:rPr>
        <w:t xml:space="preserve">2</w:t>
      </w:r>
      <w:r>
        <w:tab/>
      </w:r>
      <w:r>
        <w:t xml:space="preserve">Background: Case study and GSP development</w:t>
      </w:r>
    </w:p>
    <w:p>
      <w:pPr>
        <w:pStyle w:val="FirstParagraph"/>
      </w:pPr>
      <w:r>
        <w:t xml:space="preserve">In our study area, the intermontane rural Scott Valley in northern California (Figure</w:t>
      </w:r>
      <w:r>
        <w:t xml:space="preserve"> </w:t>
      </w:r>
      <w:r>
        <w:t xml:space="preserve">1</w:t>
      </w:r>
      <w:r>
        <w:t xml:space="preserve">), the county government, diverse public stakeholders, and state regulatory agencies spent five years</w:t>
      </w:r>
      <w:r>
        <w:t xml:space="preserve"> </w:t>
      </w:r>
      <w:r>
        <w:t xml:space="preserve">(DWR 2023)</w:t>
      </w:r>
      <w:r>
        <w:t xml:space="preserve"> </w:t>
      </w:r>
      <w:r>
        <w:t xml:space="preserve">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developed in collaboration with the community,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This study avoids this computationally-prohibitive exercise by selecting a set of simulated management scenarios proposed by stakeholders during GSP development, effectively a feasibility pre-screening step.</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3" name="Picture"/>
            <a:graphic>
              <a:graphicData uri="http://schemas.openxmlformats.org/drawingml/2006/picture">
                <pic:pic>
                  <pic:nvPicPr>
                    <pic:cNvPr descr="Graphics%20and%20Supplements/Ch.%202%20Scott%20valley%20setting%20and%20land%20use.png" id="24" name="Picture"/>
                    <pic:cNvPicPr>
                      <a:picLocks noChangeArrowheads="1" noChangeAspect="1"/>
                    </pic:cNvPicPr>
                  </pic:nvPicPr>
                  <pic:blipFill>
                    <a:blip r:embed="rId22"/>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5" w:name="fig:scottLanduseMap"/>
      <w:bookmarkEnd w:id="25"/>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(L. R. 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investigated</w:t>
      </w:r>
      <w:r>
        <w:t xml:space="preserve"> </w:t>
      </w:r>
      <w:r>
        <w:t xml:space="preserve">(Snyder, Orang, and Matyac 2002)</w:t>
      </w:r>
      <w:r>
        <w:t xml:space="preserve"> </w:t>
      </w:r>
      <w:r>
        <w:t xml:space="preserve">and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and public meeting deliberations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 The plan was subsequently subject to statewide public review and regulatory review by the California State Department of Water Resources (CDWR). In their approval, CDWR suggested several necessary improvements to be addressed by 2027, including a clearer definition of what would constitute an undesirable result for groundwater-related stream depletion, while acknowledging that the science supporting these definitions was still developing</w:t>
      </w:r>
      <w:r>
        <w:t xml:space="preserve"> </w:t>
      </w:r>
      <w:r>
        <w:t xml:space="preserve">(DWR 2023)</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balancing demands and determining the amount of (estimated) streamflow depletion that the GSA should aim to reverse, by accounting for environmental water demand versus the degree of water security that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reproduction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Importantly, the HB functions developed in this exercise explain only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Supporting Information, Text S1. These four HB functions correspond to the best-fit statistical model for two species (coho and Chinook) as measured using two different units of annual salmon reproduction (outmigrating smolt abundance and normalized smolt-per-adult-spawner in the relevant brood year). See Supporting Information, Text S1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during outmigration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However, 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this is explored further in the Discussion section.</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sSub>
          <m:e>
            <m:r>
              <m:t>f</m:t>
            </m:r>
          </m:e>
          <m:sub>
            <m:r>
              <m:t>s</m:t>
            </m:r>
            <m:r>
              <m:t>c</m:t>
            </m:r>
            <m:r>
              <m:t>e</m:t>
            </m:r>
            <m:r>
              <m:t>n</m:t>
            </m:r>
          </m:sub>
        </m:sSub>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evaluate trade-offs between objectives; we use it here to identify quantitatively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cultivated crops within the model domain. (Native vegetation ET is also simulated but not included in objective functions.)</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and researchers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due to redundancy.</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Additional scenario descriptions are included below in Results and in Supporting Information, Figures S1 and S2.</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84" w:name="results"/>
    <w:p>
      <w:pPr>
        <w:pStyle w:val="Heading1"/>
      </w:pPr>
      <w:r>
        <w:rPr>
          <w:rStyle w:val="SectionNumber"/>
        </w:rPr>
        <w:t xml:space="preserve">4</w:t>
      </w:r>
      <w:r>
        <w:tab/>
      </w:r>
      <w:r>
        <w:t xml:space="preserve">Results</w:t>
      </w:r>
    </w:p>
    <w:p>
      <w:pPr>
        <w:pStyle w:val="FirstParagraph"/>
      </w:pPr>
      <w:r>
        <w:t xml:space="preserve">As described above, the degree to which the basecase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(Table</w:t>
      </w:r>
      <w:r>
        <w:t xml:space="preserve"> </w:t>
      </w:r>
      <w:r>
        <w:t xml:space="preserve">6</w:t>
      </w:r>
      <w:r>
        <w:t xml:space="preserve">). (See Supporting Information, Tables S1-S4, for HB function results in different units;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Table S1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Table S3</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Table S2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Table S4</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smolt-equivalent (Table</w:t>
      </w:r>
      <w:r>
        <w:t xml:space="preserve"> </w:t>
      </w:r>
      <w:r>
        <w:t xml:space="preserve">6</w:t>
      </w:r>
      <w:r>
        <w:t xml:space="preserve">). Annual ET volume is relatively stable over the model period of water years 1991-2025, while about annual HB values are more variable, with about 10% being high outliers (Figure</w:t>
      </w:r>
      <w:r>
        <w:t xml:space="preserve"> </w:t>
      </w:r>
      <w:r>
        <w:t xml:space="preserve">5</w:t>
      </w:r>
      <w:r>
        <w:t xml:space="preserve">). Among the 24 management scenarios, mean ET values ranged from 0 (i.e., no irrigated agriculture) to 118 million m</w:t>
      </w:r>
      <w:r>
        <w:rPr>
          <w:vertAlign w:val="superscript"/>
        </w:rPr>
        <w:t xml:space="preserve">3</w:t>
      </w:r>
      <w:r>
        <w:t xml:space="preserve"> </w:t>
      </w:r>
      <w:r>
        <w:t xml:space="preserve">of water (i.e., no reduction from basecase crop ET), while HB values ranged from 7696 to 8446 coho smolt-equivalent.</w:t>
      </w:r>
    </w:p>
    <w:bookmarkStart w:id="59"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40% to 60%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correspondingly, it is assumed that the remaining variation in observed smolt abundance is due to non-hydrologic factors like food availability or population dynamics</w:t>
      </w:r>
      <w:r>
        <w:t xml:space="preserve"> </w:t>
      </w:r>
      <w:r>
        <w:t xml:space="preserve">(Kouba et al. 2025)</w:t>
      </w:r>
      <w:r>
        <w:t xml:space="preserve">.</w:t>
      </w:r>
    </w:p>
    <w:p>
      <w:pPr>
        <w:pStyle w:val="BodyText"/>
      </w:pPr>
      <w:r>
        <w:t xml:space="preserve">Because functional flow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 see Supporting Information, Data Set 1, for tabulated, untransformed functional flow values).</w:t>
      </w:r>
    </w:p>
    <w:p>
      <w:pPr>
        <w:pStyle w:val="BodyText"/>
      </w:pPr>
      <w:r>
        <w:t xml:space="preserve">The HB formulations represent four ways of answering the question,</w:t>
      </w:r>
      <w:r>
        <w:t xml:space="preserve"> </w:t>
      </w:r>
      <w:r>
        <w:t xml:space="preserve">“to what degree was this species’ hydrologic needs met by this water year, and which flows matter?”</w:t>
      </w:r>
      <w:r>
        <w:t xml:space="preserve"> </w:t>
      </w:r>
      <w:r>
        <w:t xml:space="preserve">For coho, in both absolute and spawner-normalized smolt units, the high-importance flows were fall-to-wet season transition metrics; for units of absolute smolt abundance, the spring recession rate was also important (Tables S1 and S2). For Chinook, in both absolute and spawner-normalized smolt units, the wet season baseflow median magnitude was of greatest importance; for normalized smolt units, maximum spring recession rate was also selected (Tables S3 and S4). Effectively, in the context of LASSO regression, the flows that explain the most variation in smolt production (with minimal overfitting, as determined by k-fold validation) were related to, for coho, the timing of wet season onset and the magnitude of changes in fall flows; and for Chinook, the wet season baseflow.</w:t>
      </w:r>
    </w:p>
    <w:bookmarkEnd w:id="59"/>
    <w:bookmarkStart w:id="64" w:name="objective-function-results-over-time"/>
    <w:p>
      <w:pPr>
        <w:pStyle w:val="Heading2"/>
      </w:pPr>
      <w:r>
        <w:rPr>
          <w:rStyle w:val="SectionNumber"/>
        </w:rPr>
        <w:t xml:space="preserve">4.2</w:t>
      </w:r>
      <w:r>
        <w:tab/>
      </w:r>
      <w:r>
        <w:t xml:space="preserve">Objective function results over time</w:t>
      </w:r>
    </w:p>
    <w:p>
      <w:pPr>
        <w:pStyle w:val="FirstParagraph"/>
      </w:pPr>
      <w:r>
        <w:t xml:space="preserve">Management scenarios tended to have a uniform effect on total ET over time, shifting it by about the same amount each year relative to basecase (Figure</w:t>
      </w:r>
      <w:r>
        <w:t xml:space="preserve"> </w:t>
      </w:r>
      <w:r>
        <w:t xml:space="preserve">5</w:t>
      </w:r>
      <w:r>
        <w:t xml:space="preserve">). Conversely, in some years, many scenarios seem to have very little effect on HB function, though this is variable over time, regardless of which HB units are used (Figure</w:t>
      </w:r>
      <w:r>
        <w:t xml:space="preserve"> </w:t>
      </w:r>
      <w:r>
        <w:t xml:space="preserve">5</w:t>
      </w:r>
      <w:r>
        <w:t xml:space="preserve"> </w:t>
      </w:r>
      <w:r>
        <w:t xml:space="preserve">and Figures S3-S6).</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Figure S3." title="" id="61" name="Picture"/>
            <a:graphic>
              <a:graphicData uri="http://schemas.openxmlformats.org/drawingml/2006/picture">
                <pic:pic>
                  <pic:nvPicPr>
                    <pic:cNvPr descr="Graphics%20and%20Supplements/Figure%204.png" id="62" name="Picture"/>
                    <pic:cNvPicPr>
                      <a:picLocks noChangeArrowheads="1" noChangeAspect="1"/>
                    </pic:cNvPicPr>
                  </pic:nvPicPr>
                  <pic:blipFill>
                    <a:blip r:embed="rId60"/>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3" w:name="fig:benefitByWYMainText"/>
      <w:bookmarkEnd w:id="63"/>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Figure S3.</w:t>
      </w:r>
    </w:p>
    <w:p>
      <w:pPr>
        <w:pStyle w:val="BodyText"/>
      </w:pPr>
      <w:r>
        <w:t xml:space="preserve">The small effect of some scenarios on HB values implies that these scenarios do not alter the HB function component flows relative to basecase (Figures S7-S10). For coho juvenile abundance, in the basecase scenario, it seems that when the HB function predicts a particularly good year for smolt production (i.e., &gt; 20,000 coho smolt-equiv.), it is driven by a large magnitude fall flow difference, or fall pulse. Conversely, in the years where the HB function predicts a particularly bad year (i.e., ’95, ’98, ’04), it is driven by a rapid first spring recession rate (Figure S7). Conversely, for coho juveniles per spawner (basecase), both good and bad years seem to be largely driven by wet season onset timing (Figure S8).</w:t>
      </w:r>
    </w:p>
    <w:p>
      <w:pPr>
        <w:pStyle w:val="BodyText"/>
      </w:pPr>
      <w:r>
        <w:t xml:space="preserve">In both cases for coho, second fall flow difference makes minor contributions (Figures S7 and S8), and is assigned a negative coefficient (Table</w:t>
      </w:r>
      <w:r>
        <w:t xml:space="preserve"> </w:t>
      </w:r>
      <w:r>
        <w:t xml:space="preserve">3</w:t>
      </w:r>
      <w:r>
        <w:t xml:space="preserve">). This suggests higher flows in the second fall (for juvenile overwintering coho) are consistently associated with lower smolt production, but other factors such as first fall flow difference and wet season timing seem to exert greater overall influence.</w:t>
      </w:r>
    </w:p>
    <w:p>
      <w:pPr>
        <w:pStyle w:val="BodyText"/>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 (Figures S9 and S10).</w:t>
      </w:r>
    </w:p>
    <w:bookmarkEnd w:id="64"/>
    <w:bookmarkStart w:id="76" w:name="X6ea044f980d869f5a7cc19c230170d0b17278b6"/>
    <w:p>
      <w:pPr>
        <w:pStyle w:val="Heading2"/>
      </w:pPr>
      <w:r>
        <w:rPr>
          <w:rStyle w:val="SectionNumber"/>
        </w:rPr>
        <w:t xml:space="preserve">4.3</w:t>
      </w:r>
      <w:r>
        <w:tab/>
      </w:r>
      <w:r>
        <w:t xml:space="preserve">Scenario descriptions and environmental-agricultural tradeoffs</w:t>
      </w:r>
    </w:p>
    <w:p>
      <w:pPr>
        <w:pStyle w:val="FirstParagraph"/>
      </w:pPr>
      <w:r>
        <w:t xml:space="preserve">The 35-year mean values of HB and ET can be used to map all scenarios on one two-dimensional landscape, which facilitates the evaluation of trade-offs between objectives (Figure</w:t>
      </w:r>
      <w:r>
        <w:t xml:space="preserve"> </w:t>
      </w:r>
      <w:r>
        <w:t xml:space="preserve">6</w:t>
      </w:r>
      <w:r>
        <w:t xml:space="preserve">).</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6" name="Picture"/>
            <a:graphic>
              <a:graphicData uri="http://schemas.openxmlformats.org/drawingml/2006/picture">
                <pic:pic>
                  <pic:nvPicPr>
                    <pic:cNvPr descr="Graphics%20and%20Supplements/Figure%205.pn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8" w:name="fig:farmerFishTradeoffFigureMainText"/>
      <w:bookmarkEnd w:id="68"/>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r>
        <w:br w:type="page"/>
      </w:r>
    </w:p>
    <w:p>
      <w:pPr>
        <w:pStyle w:val="TableCaption"/>
      </w:pPr>
      <w:bookmarkStart w:id="69" w:name="tab:scenarioResultsTabMainText"/>
      <w:bookmarkEnd w:id="69"/>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BodyText"/>
      </w:pPr>
      <w:r>
        <w:t xml:space="preserve">In units of coho smolt abundance, three management scenarios actually produce poorer fish outcomes than basecase, but the majority of scenarios produce more favorable flows for smolt production (Figure</w:t>
      </w:r>
      <w:r>
        <w:t xml:space="preserve"> </w:t>
      </w:r>
      <w:r>
        <w:t xml:space="preserve">6</w:t>
      </w:r>
      <w:r>
        <w:t xml:space="preserve">). This is larguly due to scenario impacts on the largest single component of the HB function for coho smolt abundance, first fall flow difference or</w:t>
      </w:r>
      <w:r>
        <w:t xml:space="preserve"> </w:t>
      </w:r>
      <w:r>
        <w:rPr>
          <w:rStyle w:val="VerbatimChar"/>
        </w:rPr>
        <w:t xml:space="preserve">f1_FA_Dif_num</w:t>
      </w:r>
      <w:r>
        <w:t xml:space="preserve">. This metric is calculated as the difference between dry season median discharge and peak fall pulse discharge; in years with no detectable fall pulse flow, this value is set to 0</w:t>
      </w:r>
      <w:r>
        <w:t xml:space="preserve"> </w:t>
      </w:r>
      <w:r>
        <w:t xml:space="preserve">(Carpenter 2024; Baruch et al. 2024)</w:t>
      </w:r>
      <w:r>
        <w:t xml:space="preserve"> </w:t>
      </w:r>
      <w:r>
        <w:t xml:space="preserve">(see also Supporting Information, Data Set 1, and Figure S7). The high degree of correlation between this flow and coho smolt abundance is corroborated by the species’ natural history: fall run timing is somewhat more flexible for coho than Chinook, and coho seem to respond strongly to pulse flows, possibly due to olfactory signals from their natal streams</w:t>
      </w:r>
      <w:r>
        <w:t xml:space="preserve"> </w:t>
      </w:r>
      <w:r>
        <w:t xml:space="preserve">(CDFW 2021)</w:t>
      </w:r>
      <w:r>
        <w:t xml:space="preserve">. Because changes in water use can affect both the dry season minimum and the magnitude of a fall pulse flow, management scenarios may have positive or negative effect on this functional flow, which in turn will influence the total calculated HB value.</w:t>
      </w:r>
    </w:p>
    <w:bookmarkStart w:id="70" w:name="small-reservoir"/>
    <w:p>
      <w:pPr>
        <w:pStyle w:val="Heading3"/>
      </w:pPr>
      <w:r>
        <w:rPr>
          <w:rStyle w:val="SectionNumber"/>
        </w:rPr>
        <w:t xml:space="preserve">4.3.1</w:t>
      </w:r>
      <w:r>
        <w:tab/>
      </w:r>
      <w:r>
        <w:t xml:space="preserve">Small Reservoir</w:t>
      </w:r>
    </w:p>
    <w:p>
      <w:pPr>
        <w:pStyle w:val="FirstParagraph"/>
      </w:pPr>
      <w:r>
        <w:t xml:space="preserve">Reservoir scenarios simulate how flows would change if a small reservoir (9 thousand acre-feet, or 11.1 10</w:t>
      </w:r>
      <w:r>
        <w:rPr>
          <w:vertAlign w:val="superscript"/>
        </w:rPr>
        <w:t xml:space="preserve">6</w:t>
      </w:r>
      <w:r>
        <w:t xml:space="preserve"> </w:t>
      </w:r>
      <w:r>
        <w:t xml:space="preserve">m</w:t>
      </w:r>
      <w:r>
        <w:rPr>
          <w:vertAlign w:val="superscript"/>
        </w:rPr>
        <w:t xml:space="preserve">3</w:t>
      </w:r>
      <w:r>
        <w:t xml:space="preserve">, approximately 9% of mean annual irrigation), located in the headwaters on one of 3 tributaries, were operated with the following objectives: retain winter flow until full (Dec-Mar), pass along growing season flow (Apr-Aug), and supplement dry season flow (Sep-Nov).</w:t>
      </w:r>
    </w:p>
    <w:p>
      <w:pPr>
        <w:pStyle w:val="BodyText"/>
      </w:pPr>
      <w:r>
        <w:t xml:space="preserve">Somewhat contrary to expectations, reservoir scenarios provide limited benefit to coho populations, relative to other management options: small reservoirs may not have capacity to add fall flow during dry years when baseflows are lowest (Figure</w:t>
      </w:r>
      <w:r>
        <w:t xml:space="preserve"> </w:t>
      </w:r>
      <w:r>
        <w:t xml:space="preserve">6</w:t>
      </w:r>
      <w:r>
        <w:t xml:space="preserve">, green squares, and Figures S11 and S12). Reservoir scenarios seem to support Chinook populations significantly more than coho: even a small reservoir on one tributary appears to dampen wet season stormflows enough to benefit Chinook (Figures S13 and S14).</w:t>
      </w:r>
    </w:p>
    <w:bookmarkEnd w:id="70"/>
    <w:bookmarkStart w:id="71" w:name="X2217a73426969aa3255f137f1c1e7245c2e41e0"/>
    <w:p>
      <w:pPr>
        <w:pStyle w:val="Heading3"/>
      </w:pPr>
      <w:r>
        <w:rPr>
          <w:rStyle w:val="SectionNumber"/>
        </w:rPr>
        <w:t xml:space="preserve">4.3.2</w:t>
      </w:r>
      <w:r>
        <w:tab/>
      </w:r>
      <w:r>
        <w:t xml:space="preserve">Enhanced Recharge and Irrigation Efficiency</w:t>
      </w:r>
    </w:p>
    <w:p>
      <w:pPr>
        <w:pStyle w:val="FirstParagraph"/>
      </w:pPr>
      <w:r>
        <w:t xml:space="preserve">The two Irrigation Efficiency scenarios simulate widespread adoption of higher-efficiency irrigation technology, such as Low Energy Precision Application (LEPA) or Mid-Elevation Spray Application (MESA) adaptations to spray infrastructure. These upgrades are simulated to result in 10% or 20% greater irrigation efficiency. Efficiency reflects the fraction of applied water used by the plant relative to the total applied (the remainder percolating through the soil to become aquifer recharge).</w:t>
      </w:r>
    </w:p>
    <w:p>
      <w:pPr>
        <w:pStyle w:val="BodyText"/>
      </w:pPr>
      <w:r>
        <w:t xml:space="preserve">The Enhanced Recharge scenario simulates a Managed Aquifer Recharge (MAR) program diverting the maximum permitted diversion rate of 23 cfs (0.65 m</w:t>
      </w:r>
      <w:r>
        <w:rPr>
          <w:vertAlign w:val="superscript"/>
        </w:rPr>
        <w:t xml:space="preserve">3</w:t>
      </w:r>
      <w:r>
        <w:t xml:space="preserve">/sec), or 4151 acre-feet (5.1 10</w:t>
      </w:r>
      <w:r>
        <w:rPr>
          <w:vertAlign w:val="superscript"/>
        </w:rPr>
        <w:t xml:space="preserve">6</w:t>
      </w:r>
      <w:r>
        <w:t xml:space="preserve"> </w:t>
      </w:r>
      <w:r>
        <w:t xml:space="preserve">m</w:t>
      </w:r>
      <w:r>
        <w:rPr>
          <w:vertAlign w:val="superscript"/>
        </w:rPr>
        <w:t xml:space="preserve">3</w:t>
      </w:r>
      <w:r>
        <w:t xml:space="preserve">, approximately 4% of mean annual irrigation) total water volume from the Scott River over 90 or 91 days Jan-March (depending on leap year status). This water is applied as excess winter recharge on 32 fields, totaling 5.6 10</w:t>
      </w:r>
      <w:r>
        <w:rPr>
          <w:vertAlign w:val="superscript"/>
        </w:rPr>
        <w:t xml:space="preserve">6</w:t>
      </w:r>
      <w:r>
        <w:t xml:space="preserve"> </w:t>
      </w:r>
      <w:r>
        <w:t xml:space="preserve">m</w:t>
      </w:r>
      <w:r>
        <w:rPr>
          <w:vertAlign w:val="superscript"/>
        </w:rPr>
        <w:t xml:space="preserve">2</w:t>
      </w:r>
      <w:r>
        <w:t xml:space="preserve"> </w:t>
      </w:r>
      <w:r>
        <w:t xml:space="preserve">(1395 acres; see Figure S1 for map of recharge areas).</w:t>
      </w:r>
    </w:p>
    <w:p>
      <w:pPr>
        <w:pStyle w:val="BodyText"/>
      </w:pPr>
      <w:r>
        <w:t xml:space="preserve">Scenarios in these two categories have a minimal effect on crop ET (Figure</w:t>
      </w:r>
      <w:r>
        <w:t xml:space="preserve"> </w:t>
      </w:r>
      <w:r>
        <w:t xml:space="preserve">6</w:t>
      </w:r>
      <w:r>
        <w:t xml:space="preserve"> </w:t>
      </w:r>
      <w:r>
        <w:t xml:space="preserve">and Table</w:t>
      </w:r>
      <w:r>
        <w:t xml:space="preserve"> </w:t>
      </w:r>
      <w:r>
        <w:t xml:space="preserve">6</w:t>
      </w:r>
      <w:r>
        <w:t xml:space="preserve">; see also Figures S11-S14). The lack of farmer cost is by design; this management strategy is intended to avoid any impacts on growing season operations.</w:t>
      </w:r>
    </w:p>
    <w:p>
      <w:pPr>
        <w:pStyle w:val="BodyText"/>
      </w:pPr>
      <w:r>
        <w:t xml:space="preserve">In all four HB formulations, Enhanced Recharge has a minimal effect, while Irrigation Efficiency has a small positive or negative effect, on environmental benefit. For Irrigation Efficiency, these results may reflect that the practice reduces growing-season recharge to the aquifer as well as stream diversion or well pumping. For Enhanced Recharge, the lack of any fish benefit suggests that any flow increases from winter recharge may dissipate by the end of the dry season, and correspondingly that current maximum permitted surface water diversions are insufficient to improve flow conditions for fish in the fall.</w:t>
      </w:r>
    </w:p>
    <w:bookmarkEnd w:id="71"/>
    <w:bookmarkStart w:id="72" w:name="irrigation-curtailment-alfalfa-all-crops"/>
    <w:p>
      <w:pPr>
        <w:pStyle w:val="Heading3"/>
      </w:pPr>
      <w:r>
        <w:rPr>
          <w:rStyle w:val="SectionNumber"/>
        </w:rPr>
        <w:t xml:space="preserve">4.3.3</w:t>
      </w:r>
      <w:r>
        <w:tab/>
      </w:r>
      <w:r>
        <w:t xml:space="preserve">Irrigation Curtailment (alfalfa; all crops)</w:t>
      </w:r>
    </w:p>
    <w:p>
      <w:pPr>
        <w:pStyle w:val="FirstParagraph"/>
      </w:pPr>
      <w:r>
        <w:t xml:space="preserve">Early cessation of irrigation on alfalfa fields effectively means that growers forgo the harvest of one or more hay cuttings, which can be a significant economic impact for a farm; however, in watershed-wide total ET terms, the effects are relatively small for scenarios in this category (Figure</w:t>
      </w:r>
      <w:r>
        <w:t xml:space="preserve"> </w:t>
      </w:r>
      <w:r>
        <w:t xml:space="preserve">6</w:t>
      </w:r>
      <w:r>
        <w:t xml:space="preserve">, orange diamonds). The second category simulated a blanket curtailment on all irrigation, including on pasture, the other primary crop besides alfalfa (Table</w:t>
      </w:r>
      <w:r>
        <w:t xml:space="preserve"> </w:t>
      </w:r>
      <w:r>
        <w:t xml:space="preserve">1</w:t>
      </w:r>
      <w:r>
        <w:t xml:space="preserve">; Figure</w:t>
      </w:r>
      <w:r>
        <w:t xml:space="preserve"> </w:t>
      </w:r>
      <w:r>
        <w:t xml:space="preserve">6</w:t>
      </w:r>
      <w:r>
        <w:t xml:space="preserve">, gray diamonds). In both categories, scenario cutoff dates for irrigation were August 15, July 31, and July 15, while the assumed basecase alfalfa irrigation cutoff date is September 5</w:t>
      </w:r>
      <w:r>
        <w:t xml:space="preserve"> </w:t>
      </w:r>
      <w:r>
        <w:t xml:space="preserve">(Foglia et al. 2013)</w:t>
      </w:r>
      <w:r>
        <w:t xml:space="preserve">.</w:t>
      </w:r>
    </w:p>
    <w:p>
      <w:pPr>
        <w:pStyle w:val="BodyText"/>
      </w:pPr>
      <w:r>
        <w:t xml:space="preserve">In general, this series of cutoff dates has a progressive effect on fall flows: the earlier the cutoff date, the greater the impact on raising summer low flows, producing earlier fall flow increases, and slowing the spring recession rate (see alfalfa scenario flow results in Figure S2). For Chinook HB units, the impact on HB values is similarly progressive (Table S7 and S8 and Figures S13-S14), but for coho units, the impact on HB values is more variable, since management scenarios may have a positive or negative effect on a</w:t>
      </w:r>
      <w:r>
        <w:t xml:space="preserve"> </w:t>
      </w:r>
      <w:r>
        <w:rPr>
          <w:rStyle w:val="VerbatimChar"/>
        </w:rPr>
        <w:t xml:space="preserve">f1_FA_Dif_num</w:t>
      </w:r>
      <w:r>
        <w:t xml:space="preserve"> </w:t>
      </w:r>
      <w:r>
        <w:t xml:space="preserve">(see above).</w:t>
      </w:r>
      <w:r>
        <w:t xml:space="preserve"> </w:t>
      </w:r>
    </w:p>
    <w:bookmarkEnd w:id="72"/>
    <w:bookmarkStart w:id="73" w:name="crop-change"/>
    <w:p>
      <w:pPr>
        <w:pStyle w:val="Heading3"/>
      </w:pPr>
      <w:r>
        <w:rPr>
          <w:rStyle w:val="SectionNumber"/>
        </w:rPr>
        <w:t xml:space="preserve">4.3.4</w:t>
      </w:r>
      <w:r>
        <w:tab/>
      </w:r>
      <w:r>
        <w:t xml:space="preserve">Crop Change</w:t>
      </w:r>
    </w:p>
    <w:p>
      <w:pPr>
        <w:pStyle w:val="FirstParagraph"/>
      </w:pPr>
      <w:r>
        <w:t xml:space="preserve">In the Crop Change category, we simulate permanent grain cultivated on acreage that, in the basecase, is cultivated in an alfalfa-grain rotation (7 years alfalfa followed by 1 year of grain). During scenario design, fields were randomly assigned to be under permanent grain until a target acreage was reached: 6, 12, and 14 thousand acres.</w:t>
      </w:r>
    </w:p>
    <w:p>
      <w:pPr>
        <w:pStyle w:val="BodyText"/>
      </w:pPr>
      <w:r>
        <w:t xml:space="preserve">Because permanent grain is harvested once in the mid-to-late growing season, it has lower consumptive water use per year than an alfalfa field with perennial growth and multiple harvests. Thus, increasing grain acreage yields progressive HB increase for coho, and a progressive HB decrease for Chinook (Figure</w:t>
      </w:r>
      <w:r>
        <w:t xml:space="preserve"> </w:t>
      </w:r>
      <w:r>
        <w:t xml:space="preserve">6</w:t>
      </w:r>
      <w:r>
        <w:t xml:space="preserve"> </w:t>
      </w:r>
      <w:r>
        <w:t xml:space="preserve">and Table</w:t>
      </w:r>
      <w:r>
        <w:t xml:space="preserve"> </w:t>
      </w:r>
      <w:r>
        <w:t xml:space="preserve">6</w:t>
      </w:r>
      <w:r>
        <w:t xml:space="preserve">). As mentioned before, the ET values in the Crop Change category are challenging to compare directly to those in other categories (see Discussion).</w:t>
      </w:r>
    </w:p>
    <w:bookmarkEnd w:id="73"/>
    <w:bookmarkStart w:id="74" w:name="low-flow-diversion-limits"/>
    <w:p>
      <w:pPr>
        <w:pStyle w:val="Heading3"/>
      </w:pPr>
      <w:r>
        <w:rPr>
          <w:rStyle w:val="SectionNumber"/>
        </w:rPr>
        <w:t xml:space="preserve">4.3.5</w:t>
      </w:r>
      <w:r>
        <w:tab/>
      </w:r>
      <w:r>
        <w:t xml:space="preserve">Low Flow Diversion Limits</w:t>
      </w:r>
    </w:p>
    <w:p>
      <w:pPr>
        <w:pStyle w:val="FirstParagraph"/>
      </w:pPr>
      <w:r>
        <w:t xml:space="preserve">In the basecase, surface water diversions to meet crop water demand are permitted until the stream volume is totally depleted (which is a common occurrence in some reaches of this ephemeral stream system); conversely, in this scenario, surface water was not diverted if flow fell below minimum tributary flowrates corresponding to the CDFW emergency drought flow regime defined at the Fort Jones gauge</w:t>
      </w:r>
      <w:r>
        <w:t xml:space="preserve"> </w:t>
      </w:r>
      <w:r>
        <w:t xml:space="preserve">(SWRCB 2024a)</w:t>
      </w:r>
      <w:r>
        <w:t xml:space="preserve"> </w:t>
      </w:r>
      <w:r>
        <w:t xml:space="preserve">(Figure</w:t>
      </w:r>
      <w:r>
        <w:t xml:space="preserve"> </w:t>
      </w:r>
      <w:r>
        <w:t xml:space="preserve">6</w:t>
      </w:r>
      <w:r>
        <w:t xml:space="preserve"> </w:t>
      </w:r>
      <w:r>
        <w:t xml:space="preserve">and Table</w:t>
      </w:r>
      <w:r>
        <w:t xml:space="preserve"> </w:t>
      </w:r>
      <w:r>
        <w:t xml:space="preserve">6</w:t>
      </w:r>
      <w:r>
        <w:t xml:space="preserve">).</w:t>
      </w:r>
    </w:p>
    <w:p>
      <w:pPr>
        <w:pStyle w:val="BodyText"/>
      </w:pPr>
      <w:r>
        <w:t xml:space="preserve">Preservation of low flows seems to have a small agricultural cost, indicating that crop water deficits due to this practice may be small on average. However, it also has only a small positive environmental benefit, suggesting that targeting low flows may not have a substantial influence on all relevant parts on the hydrograph.</w:t>
      </w:r>
    </w:p>
    <w:bookmarkEnd w:id="74"/>
    <w:bookmarkStart w:id="75" w:name="native-vegetation"/>
    <w:p>
      <w:pPr>
        <w:pStyle w:val="Heading3"/>
      </w:pPr>
      <w:r>
        <w:rPr>
          <w:rStyle w:val="SectionNumber"/>
        </w:rPr>
        <w:t xml:space="preserve">4.3.6</w:t>
      </w:r>
      <w:r>
        <w:tab/>
      </w:r>
      <w:r>
        <w:t xml:space="preserve">Native Vegetation</w:t>
      </w:r>
    </w:p>
    <w:p>
      <w:pPr>
        <w:pStyle w:val="FirstParagraph"/>
      </w:pPr>
      <w:r>
        <w:t xml:space="preserve">The two categories of Native Vegetation scenario (NatVegL and NatVegH, for low and and high ET) are two end-member answers to the question: if currently-cultivated land were converted to native vegetation, what water consumption pattern would replace it? NatVegL assumes a native vegetation crop coefficient of 0.6 and a maximum rooting depth of 1 m, while the values for NatVegH are 1.0 and 2 m, respectively. The first category could be interpreted as chaparral or sage scrub-type vegetation cover, while the second category could represent a mixed bunchgrass and clover prairie with extensive riparian vegetation corridors and wetlands.</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two NatVeg scenarios generate higher simulated FJ streamflow in most months of the model period.</w:t>
      </w:r>
    </w:p>
    <w:p>
      <w:pPr>
        <w:pStyle w:val="BodyText"/>
      </w:pPr>
      <w:r>
        <w:t xml:space="preserve">For both coho and Chinook, as we would expect, increasing acreage of native vegetation reduces total crop ET (Figure</w:t>
      </w:r>
      <w:r>
        <w:t xml:space="preserve"> </w:t>
      </w:r>
      <w:r>
        <w:t xml:space="preserve">6</w:t>
      </w:r>
      <w:r>
        <w:t xml:space="preserve"> </w:t>
      </w:r>
      <w:r>
        <w:t xml:space="preserve">and Table</w:t>
      </w:r>
      <w:r>
        <w:t xml:space="preserve"> </w:t>
      </w:r>
      <w:r>
        <w:t xml:space="preserve">6</w:t>
      </w:r>
      <w:r>
        <w:t xml:space="preserve">; see also Figures S11-S14). For coho (juvenile abundance), the effect on the environmental benefit is not strictly monotonic, but generally, more native vegetation produces higher HB values, and low-ET vegetation produces higher HB values than high-ET vegetation (Figures S11 and S12). For Chinook, the environmental effects of native vegetation scenarios are more variable (Figures S13 and S14).</w:t>
      </w:r>
    </w:p>
    <w:bookmarkEnd w:id="75"/>
    <w:bookmarkEnd w:id="76"/>
    <w:bookmarkStart w:id="81" w:name="X452f0639db2ebbe2cd3177f14e96530f2d1a15a"/>
    <w:p>
      <w:pPr>
        <w:pStyle w:val="Heading2"/>
      </w:pPr>
      <w:r>
        <w:rPr>
          <w:rStyle w:val="SectionNumber"/>
        </w:rPr>
        <w:t xml:space="preserve">4.4</w:t>
      </w:r>
      <w:r>
        <w:tab/>
      </w:r>
      <w:r>
        <w:t xml:space="preserve">Infrastructure objective and Pareto-optimal set</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the five infrastructure categories 0-4. Some differences emerge when using coho juvenile abundance units (Figure</w:t>
      </w:r>
      <w:r>
        <w:t xml:space="preserve"> </w:t>
      </w:r>
      <w:r>
        <w:t xml:space="preserve">7</w:t>
      </w:r>
      <w:r>
        <w:t xml:space="preserve">; see also Figure S15) versus the other three HB units evaluated here (Figures S16-S18), but overall patterns are similar. Among all 4 HB formulations, categories containing at least one Pareto-optimal solution were:</w:t>
      </w:r>
    </w:p>
    <w:p>
      <w:pPr>
        <w:pStyle w:val="Compact"/>
        <w:numPr>
          <w:ilvl w:val="0"/>
          <w:numId w:val="1006"/>
        </w:numPr>
      </w:pPr>
      <w:r>
        <w:t xml:space="preserve">Reservoir (3 of 3 scenarios)</w:t>
      </w:r>
    </w:p>
    <w:p>
      <w:pPr>
        <w:pStyle w:val="Compact"/>
        <w:numPr>
          <w:ilvl w:val="0"/>
          <w:numId w:val="1006"/>
        </w:numPr>
      </w:pPr>
      <w:r>
        <w:t xml:space="preserve">FlowLims (0-1 of 1)</w:t>
      </w:r>
    </w:p>
    <w:p>
      <w:pPr>
        <w:pStyle w:val="Compact"/>
        <w:numPr>
          <w:ilvl w:val="0"/>
          <w:numId w:val="1006"/>
        </w:numPr>
      </w:pPr>
      <w:r>
        <w:t xml:space="preserve">IrrEff (0-1 of 2)</w:t>
      </w:r>
    </w:p>
    <w:p>
      <w:pPr>
        <w:pStyle w:val="Compact"/>
        <w:numPr>
          <w:ilvl w:val="0"/>
          <w:numId w:val="1006"/>
        </w:numPr>
      </w:pPr>
      <w:r>
        <w:t xml:space="preserve">NatVeg low-ET (for coho) and high-ET (for Chinook) (1 of 4, full conversion only)</w:t>
      </w:r>
    </w:p>
    <w:p>
      <w:pPr>
        <w:pStyle w:val="Compact"/>
        <w:numPr>
          <w:ilvl w:val="0"/>
          <w:numId w:val="1006"/>
        </w:numPr>
      </w:pPr>
      <w:r>
        <w:t xml:space="preserve">AlfIrr (2-3 of 3), and</w:t>
      </w:r>
    </w:p>
    <w:p>
      <w:pPr>
        <w:pStyle w:val="Compact"/>
        <w:numPr>
          <w:ilvl w:val="0"/>
          <w:numId w:val="1006"/>
        </w:numPr>
      </w:pPr>
      <w:r>
        <w:t xml:space="preserve">Curtail (2-3 of 3).</w:t>
      </w:r>
    </w:p>
    <w:p>
      <w:pPr>
        <w:pStyle w:val="CaptionedFigure"/>
      </w:pPr>
      <w:r>
        <w:drawing>
          <wp:inline>
            <wp:extent cx="4267200" cy="4075288"/>
            <wp:effectExtent b="0" l="0" r="0" t="0"/>
            <wp:docPr descr="Figure 7:  A three-dimensional scatter plot of the objective function values for basecase and 24 management scenarios, averaged over 35 water years (1991-2025). Larger spheres are shown for the Pareto-optimal set of scenarios. Scenario colors correspond to legend in Figure 6. The corner corresponding to optimal values of all objective functions (the ‘best’ corner) is highlighted with a red arrow." title="" id="78" name="Picture"/>
            <a:graphic>
              <a:graphicData uri="http://schemas.openxmlformats.org/drawingml/2006/picture">
                <pic:pic>
                  <pic:nvPicPr>
                    <pic:cNvPr descr="Graphics%20and%20Supplements/hbf%20et%20infra%20plot3d_2026.02.19.jpg" id="79" name="Picture"/>
                    <pic:cNvPicPr>
                      <a:picLocks noChangeArrowheads="1" noChangeAspect="1"/>
                    </pic:cNvPicPr>
                  </pic:nvPicPr>
                  <pic:blipFill>
                    <a:blip r:embed="rId77"/>
                    <a:stretch>
                      <a:fillRect/>
                    </a:stretch>
                  </pic:blipFill>
                  <pic:spPr bwMode="auto">
                    <a:xfrm>
                      <a:off x="0" y="0"/>
                      <a:ext cx="4267200" cy="4075288"/>
                    </a:xfrm>
                    <a:prstGeom prst="rect">
                      <a:avLst/>
                    </a:prstGeom>
                    <a:noFill/>
                    <a:ln w="9525">
                      <a:noFill/>
                      <a:headEnd/>
                      <a:tailEnd/>
                    </a:ln>
                  </pic:spPr>
                </pic:pic>
              </a:graphicData>
            </a:graphic>
          </wp:inline>
        </w:drawing>
      </w:r>
    </w:p>
    <w:p>
      <w:pPr>
        <w:pStyle w:val="ImageCaption"/>
      </w:pPr>
      <w:bookmarkStart w:id="80" w:name="fig:farmerFishInfraFigure3D"/>
      <w:bookmarkEnd w:id="80"/>
      <w:r>
        <w:t xml:space="preserve">Figure 7:</w:t>
      </w:r>
      <w:r>
        <w:t xml:space="preserve"> </w:t>
      </w:r>
      <w:r>
        <w:t xml:space="preserve"> </w:t>
      </w:r>
      <w:r>
        <w:t xml:space="preserve">A three-dimensional scatter plot of the objective function values for basecase and 24 management scenarios, averaged over 35 water years (1991-2025). Larger spheres are shown for the Pareto-optimal set of scenarios. Scenario colors correspond to legend in Figure 6. The corner corresponding to optimal values of all objective functions (the</w:t>
      </w:r>
      <w:r>
        <w:t xml:space="preserve"> </w:t>
      </w:r>
      <w:r>
        <w:t xml:space="preserve">‘best’</w:t>
      </w:r>
      <w:r>
        <w:t xml:space="preserve"> </w:t>
      </w:r>
      <w:r>
        <w:t xml:space="preserve">corner) is highlighted with a red arrow.</w:t>
      </w:r>
    </w:p>
    <w:p>
      <w:pPr>
        <w:pStyle w:val="BodyText"/>
      </w:pPr>
      <w:r>
        <w:t xml:space="preserve">For HB function in coho juvenile abundance units, the Pareto-optimal set of management actions (i.e., the scenarios with an objective/category value that cannot be improved upon without sacrificing value in another objective/category) includes 11 of the 35 simulated scenarios (Table</w:t>
      </w:r>
      <w:r>
        <w:t xml:space="preserve"> </w:t>
      </w:r>
      <w:r>
        <w:t xml:space="preserve">6</w:t>
      </w:r>
      <w:r>
        <w:t xml:space="preserve">; Figure</w:t>
      </w:r>
      <w:r>
        <w:t xml:space="preserve"> </w:t>
      </w:r>
      <w:r>
        <w:t xml:space="preserve">7</w:t>
      </w:r>
      <w:r>
        <w:t xml:space="preserve">). This set includes the basecase, as it is the only scenario with an infrastructure category of 0 (no change needed); it includes five regulatory scenarios in category 1 (no new infrastructure needed); it includes two scenarios from category 2 (1-2 years timeline); and it includes all three reservoir scenarios, as they trace a small trade-off curve within their own category (5+ years timeline).</w:t>
      </w:r>
    </w:p>
    <w:p>
      <w:pPr>
        <w:pStyle w:val="BodyText"/>
      </w:pPr>
      <w:r>
        <w:t xml:space="preserve">Several categories (such as curtailing alfalfa irrigation) include Pareto-optimal and suboptimal scenarios, suggesting that the details of implementation may be more important than selecting any one strategy in determining management impact. Also, the Pareto-optimality of Crop Change scenarios is difficult to evaluate here, since the relationship between total ET and conceptual farmer benefit is different than in the remainder of the scenarios.</w:t>
      </w:r>
    </w:p>
    <w:bookmarkEnd w:id="81"/>
    <w:bookmarkStart w:id="83" w:name="comparison-to-gsp-priorities"/>
    <w:p>
      <w:pPr>
        <w:pStyle w:val="Heading2"/>
      </w:pPr>
      <w:r>
        <w:rPr>
          <w:rStyle w:val="SectionNumber"/>
        </w:rPr>
        <w:t xml:space="preserve">4.5</w:t>
      </w:r>
      <w:r>
        <w:tab/>
      </w:r>
      <w:r>
        <w:t xml:space="preserve">Comparison to GSP Priorities</w:t>
      </w:r>
    </w:p>
    <w:p>
      <w:pPr>
        <w:pStyle w:val="FirstParagraph"/>
      </w:pPr>
      <w:r>
        <w:t xml:space="preserve">To determine if the strict application of objective functions would produce different management priorities than the public policy development process that took place 2018-2021, we made a high-level, conceptual comparison (Table</w:t>
      </w:r>
      <w:r>
        <w:t xml:space="preserve"> </w:t>
      </w:r>
      <w:r>
        <w:t xml:space="preserve">7</w:t>
      </w:r>
      <w:r>
        <w:t xml:space="preserve">) of the Pareto-optimal set of management actions and the management actions and projects listed for consideration in the GSP</w:t>
      </w:r>
      <w:r>
        <w:t xml:space="preserve"> </w:t>
      </w:r>
      <w:r>
        <w:t xml:space="preserve">(Siskiyou County 2021)</w:t>
      </w:r>
      <w:r>
        <w:t xml:space="preserve">.</w:t>
      </w:r>
    </w:p>
    <w:p>
      <w:pPr>
        <w:pStyle w:val="BodyText"/>
      </w:pPr>
      <w:r>
        <w:t xml:space="preserve">Tier I and II scenarios, assigned highest priority and considered implementable in the near term and medium term, respectively, tend to be associated with higher crop ET values (e.g., six out of seven scenarios with &gt; 114 10</w:t>
      </w:r>
      <w:r>
        <w:rPr>
          <w:vertAlign w:val="superscript"/>
        </w:rPr>
        <w:t xml:space="preserve">6</w:t>
      </w:r>
      <w:r>
        <w:t xml:space="preserve"> </w:t>
      </w:r>
      <w:r>
        <w:t xml:space="preserve">m</w:t>
      </w:r>
      <w:r>
        <w:rPr>
          <w:vertAlign w:val="superscript"/>
        </w:rPr>
        <w:t xml:space="preserve">3</w:t>
      </w:r>
      <w:r>
        <w:t xml:space="preserve">, a minimial reduction from the average basecase ET value of 118 10</w:t>
      </w:r>
      <w:r>
        <w:rPr>
          <w:vertAlign w:val="superscript"/>
        </w:rPr>
        <w:t xml:space="preserve">6</w:t>
      </w:r>
      <w:r>
        <w:t xml:space="preserve"> </w:t>
      </w:r>
      <w:r>
        <w:t xml:space="preserve">m</w:t>
      </w:r>
      <w:r>
        <w:rPr>
          <w:vertAlign w:val="superscript"/>
        </w:rPr>
        <w:t xml:space="preserve">3</w:t>
      </w:r>
      <w:r>
        <w:t xml:space="preserve">), reflecting the community’s commitment to avoid negative impacts on growers. With one exception, the scenarios with relatively high environmental benefit (e.g., &gt; 7900 coho smolt-equiv. HB value) are in Tier III, reflecting that they are technically and/or politically more challenging than Tiers I and II, and thus considered potentially implementable only in the long-term.</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TableCaption"/>
      </w:pPr>
      <w:bookmarkStart w:id="82" w:name="tab:gspMgmtList"/>
      <w:bookmarkEnd w:id="82"/>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Range/10^6</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7.85-8.45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7.86-8.06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83"/>
    <w:bookmarkEnd w:id="84"/>
    <w:bookmarkStart w:id="88" w:name="discussion"/>
    <w:p>
      <w:pPr>
        <w:pStyle w:val="Heading1"/>
      </w:pPr>
      <w:r>
        <w:rPr>
          <w:rStyle w:val="SectionNumber"/>
        </w:rPr>
        <w:t xml:space="preserve">5</w:t>
      </w:r>
      <w:r>
        <w:tab/>
      </w:r>
      <w:r>
        <w:t xml:space="preserve">Discussion</w:t>
      </w:r>
    </w:p>
    <w:bookmarkStart w:id="85" w:name="X36cbf7c8750cd854ae19409930ca35269b38594"/>
    <w:p>
      <w:pPr>
        <w:pStyle w:val="Heading2"/>
      </w:pPr>
      <w:r>
        <w:rPr>
          <w:rStyle w:val="SectionNumber"/>
        </w:rPr>
        <w:t xml:space="preserve">5.1</w:t>
      </w:r>
      <w:r>
        <w:tab/>
      </w:r>
      <w:r>
        <w:t xml:space="preserve">Alternative options for the environmental objective function</w:t>
      </w:r>
    </w:p>
    <w:p>
      <w:pPr>
        <w:pStyle w:val="FirstParagraph"/>
      </w:pPr>
      <w:r>
        <w:t xml:space="preserve">This study uses a physical model to predict changes in flow, and a statistical model to extrapolate these changes into ecological impacts. However, even within just one watershed, there are many other possible ways to design an environmental benefit objective function based on a statistical model.</w:t>
      </w:r>
    </w:p>
    <w:p>
      <w:pPr>
        <w:pStyle w:val="BodyText"/>
      </w:pPr>
      <w:r>
        <w:t xml:space="preserve">Regardless of the design, the first requirement is sufficient data. The present study is based on 15 to 23 years of ecological observations (depending on which units are selected)</w:t>
      </w:r>
      <w:r>
        <w:t xml:space="preserve"> </w:t>
      </w:r>
      <w:r>
        <w:t xml:space="preserve">(Kouba et al. 2025)</w:t>
      </w:r>
      <w:r>
        <w:t xml:space="preserve">. Hydrologic data is often relatively abundant, with ecological observations as the limiting factor; the authors recommend at least a decade of ecological data, ideally covering all water year types, to build a new hydrologic-ecological relationship.</w:t>
      </w:r>
    </w:p>
    <w:p>
      <w:pPr>
        <w:pStyle w:val="BodyText"/>
      </w:pPr>
      <w:r>
        <w:t xml:space="preserve">Although salmon are often considered a</w:t>
      </w:r>
      <w:r>
        <w:t xml:space="preserve"> </w:t>
      </w:r>
      <w:r>
        <w:t xml:space="preserve">“keystone species”</w:t>
      </w:r>
      <w:r>
        <w:t xml:space="preserve"> </w:t>
      </w:r>
      <w:r>
        <w:t xml:space="preserve">(Mills and Doak 1993)</w:t>
      </w:r>
      <w:r>
        <w:t xml:space="preserve">, one obvious alternative to a salmon-based HB function is to base it on another suitable aquatic species. Suitability would depend on a strong known or suspected relationship between flow and an observable ecological outcome; candidates in the Scott River watershed might be steelhead trout or potentially Pacific lamprey. Another alternative would be to investigate the specific hydrology that supports groundwater-dependent ecosystems; i.e., flowrates associated with sufficient spatial habitat in specific reaches, or groundwater elevation supporting riparian vegetation. All of these options are</w:t>
      </w:r>
      <w:r>
        <w:t xml:space="preserve"> </w:t>
      </w:r>
      <w:r>
        <w:t xml:space="preserve">“bottom-up”</w:t>
      </w:r>
      <w:r>
        <w:t xml:space="preserve"> </w:t>
      </w:r>
      <w:r>
        <w:t xml:space="preserve">descriptions</w:t>
      </w:r>
      <w:r>
        <w:t xml:space="preserve"> </w:t>
      </w:r>
      <w:r>
        <w:t xml:space="preserve">(Tharme 2003)</w:t>
      </w:r>
      <w:r>
        <w:t xml:space="preserve"> </w:t>
      </w:r>
      <w:r>
        <w:t xml:space="preserve">of relationships between flow and isolated ecological functions; still another option would be to base the HB function on a</w:t>
      </w:r>
      <w:r>
        <w:t xml:space="preserve"> </w:t>
      </w:r>
      <w:r>
        <w:t xml:space="preserve">“top-down”</w:t>
      </w:r>
      <w:r>
        <w:t xml:space="preserve"> </w:t>
      </w:r>
      <w:r>
        <w:t xml:space="preserve">method, such as indices of alteration, that aims to preserve</w:t>
      </w:r>
      <w:r>
        <w:t xml:space="preserve"> </w:t>
      </w:r>
      <w:r>
        <w:rPr>
          <w:i/>
          <w:iCs/>
        </w:rPr>
        <w:t xml:space="preserve">all</w:t>
      </w:r>
      <w:r>
        <w:t xml:space="preserve"> </w:t>
      </w:r>
      <w:r>
        <w:t xml:space="preserve">ecological functions of the unimpaired stream</w:t>
      </w:r>
      <w:r>
        <w:t xml:space="preserve"> </w:t>
      </w:r>
      <w:r>
        <w:t xml:space="preserve">(e.g., Richter et al. 1996; Poff et al. 1997; discussed further in Kouba et al. 2025)</w:t>
      </w:r>
      <w:r>
        <w:t xml:space="preserve">.</w:t>
      </w:r>
    </w:p>
    <w:p>
      <w:pPr>
        <w:pStyle w:val="BodyText"/>
      </w:pPr>
      <w:r>
        <w:t xml:space="preserve">Finally, it is worth noting that the utility of the environmental function is somewhat dependent on which flows are considered important. While the Chinook HB function is valuable in highlighting which flows are of highest importance statistically, Chinook plots of fish versus farmer tradeoffs should be interpreted with care, since wet season median flows are largely beyond human control in this undammed watershed. Rather than suggesting flow targets, the Chinook results may highlight that if habitat restoration could provide Chinoook with refuge from winter stormflows, this might have an outsized impact on long-term smolt production.</w:t>
      </w:r>
    </w:p>
    <w:bookmarkEnd w:id="85"/>
    <w:bookmarkStart w:id="86" w:name="trade-offs-among-all-three-objectives"/>
    <w:p>
      <w:pPr>
        <w:pStyle w:val="Heading2"/>
      </w:pPr>
      <w:r>
        <w:rPr>
          <w:rStyle w:val="SectionNumber"/>
        </w:rPr>
        <w:t xml:space="preserve">5.2</w:t>
      </w:r>
      <w:r>
        <w:tab/>
      </w:r>
      <w:r>
        <w:t xml:space="preserve">Trade-offs among all three objectives</w:t>
      </w:r>
    </w:p>
    <w:p>
      <w:pPr>
        <w:pStyle w:val="FirstParagraph"/>
      </w:pPr>
      <w:r>
        <w:t xml:space="preserve">For all HB formulations, reservoirs and regulatory scenarios (curtailment, alfalfa irrigation, diversion limits) were the categories with highest fraction of Pareto-optimal scenarios (Table</w:t>
      </w:r>
      <w:r>
        <w:t xml:space="preserve"> </w:t>
      </w:r>
      <w:r>
        <w:t xml:space="preserve">6</w:t>
      </w:r>
      <w:r>
        <w:t xml:space="preserve">; Figure</w:t>
      </w:r>
      <w:r>
        <w:t xml:space="preserve"> </w:t>
      </w:r>
      <w:r>
        <w:t xml:space="preserve">7</w:t>
      </w:r>
      <w:r>
        <w:t xml:space="preserve">). This suggests that the regulatory scenarios in category 1 (no new infrastructure needed) define an arc of trade-offs between environmental benefit and agricultural cost, and the low-to-moderate infrastructure cost scenarios (categories 2 and 3) do not improve on this. Among the set of options considered here, it takes a high infrastructure cost (reservoir scenarios) to escape the trade-offs defined in the regulatory scenario categories.</w:t>
      </w:r>
    </w:p>
    <w:p>
      <w:pPr>
        <w:pStyle w:val="BodyText"/>
      </w:pPr>
      <w:r>
        <w:t xml:space="preserve">Cleary, design details (date of implementation, number of acres affected) produce greater variation within scenario categories than between categories, and so it may well be possible to design, for instance, a Pareto-optimal enhanced recharge scenario for this watershed, if the recharge areas and total water volume diverted were altered. The current popularity of enhanced recharge</w:t>
      </w:r>
      <w:r>
        <w:t xml:space="preserve"> </w:t>
      </w:r>
      <w:r>
        <w:t xml:space="preserve">(e.g., CNRA et al. 2022)</w:t>
      </w:r>
      <w:r>
        <w:t xml:space="preserve"> </w:t>
      </w:r>
      <w:r>
        <w:t xml:space="preserve">points to a need for more research (in Scott Valley, and in California and semi-arid agricultural regions more broadly) regarding spatial, timing, and water volume/permitting elements of an effective and feasible MAR program in a variety of settings.</w:t>
      </w:r>
    </w:p>
    <w:p>
      <w:pPr>
        <w:pStyle w:val="BodyText"/>
      </w:pPr>
      <w:r>
        <w:t xml:space="preserve">Additionally, it is difficult to evaluate the total ET value, and thus the Pareto-optimality, of scenarios in the Crop Change category. If we assume, based on current practices, that a yearly alfalfa harvest is worth more than a yearly grain harvest, a widespread conversion to permanent grain could reduce profits in Scott Valley; however, permanent grain might provide more certainty and potentially better economic yield if the choice were between a widespread conversion to permanent grain and frequent mid-season irrigation cutoffs (on alfalfa or all crops).</w:t>
      </w:r>
    </w:p>
    <w:bookmarkEnd w:id="86"/>
    <w:bookmarkStart w:id="87" w:name="Xb48c0b1c357814727cacf50afe35e98b0bf92dd"/>
    <w:p>
      <w:pPr>
        <w:pStyle w:val="Heading2"/>
      </w:pPr>
      <w:r>
        <w:rPr>
          <w:rStyle w:val="SectionNumber"/>
        </w:rPr>
        <w:t xml:space="preserve">5.3</w:t>
      </w:r>
      <w:r>
        <w:tab/>
      </w:r>
      <w:r>
        <w:t xml:space="preserve">Pareto-optimal solution set and GSP priority management actions</w:t>
      </w:r>
    </w:p>
    <w:p>
      <w:pPr>
        <w:pStyle w:val="FirstParagraph"/>
      </w:pPr>
      <w:r>
        <w:t xml:space="preserve">Within the proposed suite of management actions, across all four HB formulations, approximately half (10-13 of 25) fall within the Pareto-optimal set, based on the cost proxy and the 35-year average values of two objective functions (Figures S15-S18 and Tables S5-S8). (As mentioned above, Pareto-suboptimal status is less certain in the case of the Crop Change scenarios.)</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and minimal farmer cost, in a strict application of these objective functions, regulatory approaches and high-cost reservoir scenarios were represented most frequently within the Pareto-optimal set of management options.</w:t>
      </w:r>
    </w:p>
    <w:bookmarkEnd w:id="87"/>
    <w:bookmarkEnd w:id="88"/>
    <w:bookmarkStart w:id="89" w:name="conclusion"/>
    <w:p>
      <w:pPr>
        <w:pStyle w:val="Heading1"/>
      </w:pPr>
      <w:r>
        <w:rPr>
          <w:rStyle w:val="SectionNumber"/>
        </w:rPr>
        <w:t xml:space="preserve">6</w:t>
      </w:r>
      <w:r>
        <w:tab/>
      </w:r>
      <w:r>
        <w:t xml:space="preserve">Conclusion</w:t>
      </w:r>
    </w:p>
    <w:p>
      <w:pPr>
        <w:pStyle w:val="FirstParagraph"/>
      </w:pPr>
      <w:r>
        <w:t xml:space="preserve">In Scott Valley, like in many semi-arid rural areas, agricultural and ecological water demands are in complex competition. For this study, applying basic principles of WRSA, we assessed management scenario impact in terms of fish, farms and cost. Specifically, environmental and agricultural objective functions were used to summarize the results of 25 simulated water management scenarios (including a historical basecase), and scenarios were assigned a categorical proxy for new infrastructure costs. This allowed a quantitative exploration of trade-offs in environmental and agricultural benefit among the suite of actions proposed by stakeholders, at multiple levels of infrastructure investment.</w:t>
      </w:r>
    </w:p>
    <w:p>
      <w:pPr>
        <w:pStyle w:val="BodyText"/>
      </w:pPr>
      <w:r>
        <w:t xml:space="preserve">Total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is influenced by the specific flow metrics included in the environmental objective function (explored further in Discussion.)</w:t>
      </w:r>
    </w:p>
    <w:p>
      <w:pPr>
        <w:pStyle w:val="BodyText"/>
      </w:pPr>
      <w:r>
        <w:t xml:space="preserve">Rather than perform a randomized sampling of the full range of decision variables, this study builds on an existing public water management process (and informal transdisciplinary collaborative), taking stakeholder-proposed management options as a pre-screened, computationally-feasible set of scenarios for simulation. Among the set of options considered here, it takes a high infrastructure cost (reservoir scenarios) to escape the trade-offs defined in the regulatory scenario categories. Furthermore, although the existing GSP management priorities emphasized minimal agricultural water cuts, the Pareto-optimal set of management actions included many regulatory approaches and high-cost reservoir scenarios. We should note that the optimal set includes complete cessation of irrigated agriculture, because it yielded the maximum environmental benefit, demonstrating that not all of the scenarios identified as Pareto-optimal would be politically desirable, and in general, three objective functions cannot capture all the technical, political and economic dimensions of water management. However, this objective-function approach could be used in future stakeholder discussions to clarify group goals and make trade-offs more explicit.</w:t>
      </w:r>
    </w:p>
    <w:p>
      <w:pPr>
        <w:pStyle w:val="BodyText"/>
      </w:pPr>
      <w:r>
        <w:t xml:space="preserve">In this case study, we demonstrate that in basins using hydrologic models for water management, a scenario design process conducted in a public collaborative setting can yield a politically-relevant set of scenarios, and stakeholder-driven objective functions can be used to clarify tradeoffs and build a management</w:t>
      </w:r>
      <w:r>
        <w:t xml:space="preserve"> </w:t>
      </w:r>
      <w:r>
        <w:t xml:space="preserve">“landscape”</w:t>
      </w:r>
      <w:r>
        <w:t xml:space="preserve"> </w:t>
      </w:r>
      <w:r>
        <w:t xml:space="preserve">of outcomes. Such a landscape can be a valuable tool in assessing reasonableness of any proposed management action, and in generating community buy-in, as rural semi-arid regions work to implement adaptive water management.</w:t>
      </w:r>
    </w:p>
    <w:p>
      <w:r>
        <w:br w:type="page"/>
      </w:r>
    </w:p>
    <w:bookmarkEnd w:id="89"/>
    <w:bookmarkStart w:id="90" w:name="acknowledgments"/>
    <w:p>
      <w:pPr>
        <w:pStyle w:val="Heading1"/>
      </w:pPr>
      <w:r>
        <w:t xml:space="preserve">Acknowledgments</w:t>
      </w:r>
    </w:p>
    <w:bookmarkEnd w:id="90"/>
    <w:bookmarkStart w:id="197" w:name="references"/>
    <w:p>
      <w:pPr>
        <w:pStyle w:val="Heading1"/>
      </w:pPr>
      <w:r>
        <w:rPr>
          <w:rStyle w:val="SectionNumber"/>
        </w:rPr>
        <w:t xml:space="preserve">7</w:t>
      </w:r>
      <w:r>
        <w:tab/>
      </w:r>
      <w:r>
        <w:t xml:space="preserve">References</w:t>
      </w:r>
    </w:p>
    <w:bookmarkStart w:id="196" w:name="refs"/>
    <w:bookmarkStart w:id="91"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91"/>
    <w:bookmarkStart w:id="93" w:name="ref-BaruchEtAlMimicking2024"/>
    <w:p>
      <w:pPr>
        <w:pStyle w:val="Bibliography"/>
      </w:pPr>
      <w:r>
        <w:t xml:space="preserve">Baruch, Ethan M., Sarah M. Yarnell, Theodore E. Grantham, Jessica R. Ayers, Andrew L. Rypel, and Robert A. Lusardi. 2024.</w:t>
      </w:r>
      <w:r>
        <w:t xml:space="preserve"> </w:t>
      </w:r>
      <w:r>
        <w:t xml:space="preserve">“Mimicking Functional Elements of the Natural Flow Regime Promotes Native Fish Recovery in a Regulated River.”</w:t>
      </w:r>
      <w:r>
        <w:t xml:space="preserve"> </w:t>
      </w:r>
      <w:r>
        <w:rPr>
          <w:i/>
          <w:iCs/>
        </w:rPr>
        <w:t xml:space="preserve">Ecological Applications</w:t>
      </w:r>
      <w:r>
        <w:t xml:space="preserve"> </w:t>
      </w:r>
      <w:r>
        <w:t xml:space="preserve">34 (6): e3013.</w:t>
      </w:r>
      <w:r>
        <w:t xml:space="preserve"> </w:t>
      </w:r>
      <w:hyperlink r:id="rId92">
        <w:r>
          <w:rPr>
            <w:rStyle w:val="Hyperlink"/>
          </w:rPr>
          <w:t xml:space="preserve">https://doi.org/10.1002/eap.3013</w:t>
        </w:r>
      </w:hyperlink>
      <w:r>
        <w:t xml:space="preserve">.</w:t>
      </w:r>
    </w:p>
    <w:bookmarkEnd w:id="93"/>
    <w:bookmarkStart w:id="95"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94">
        <w:r>
          <w:rPr>
            <w:rStyle w:val="Hyperlink"/>
          </w:rPr>
          <w:t xml:space="preserve">https://doi.org/10.3389/fclim.2021.719150</w:t>
        </w:r>
      </w:hyperlink>
      <w:r>
        <w:t xml:space="preserve">.</w:t>
      </w:r>
    </w:p>
    <w:bookmarkEnd w:id="95"/>
    <w:bookmarkStart w:id="97" w:name="ref-BrownEtAlFuture2015"/>
    <w:p>
      <w:pPr>
        <w:pStyle w:val="Bibliography"/>
      </w:pPr>
      <w:r>
        <w:t xml:space="preserve">Brown, Casey M., Jay R. Lund, Ximing Cai, Patrick M. Reed, Edith A. Zagona, Avi Ostfeld, Jim Hall, Gregory W. Characklis, Winston Yu, and Levi Brekke. 2015.</w:t>
      </w:r>
      <w:r>
        <w:t xml:space="preserve"> </w:t>
      </w:r>
      <w:r>
        <w:t xml:space="preserve">“The Future of Water Resources Systems Analysis:</w:t>
      </w:r>
      <w:r>
        <w:t xml:space="preserve"> </w:t>
      </w:r>
      <w:r>
        <w:t xml:space="preserve">Toward</w:t>
      </w:r>
      <w:r>
        <w:t xml:space="preserve"> </w:t>
      </w:r>
      <w:r>
        <w:t xml:space="preserve">a Scientific Framework for Sustainable Water Management.”</w:t>
      </w:r>
      <w:r>
        <w:t xml:space="preserve"> </w:t>
      </w:r>
      <w:r>
        <w:rPr>
          <w:i/>
          <w:iCs/>
        </w:rPr>
        <w:t xml:space="preserve">Water Resources Research</w:t>
      </w:r>
      <w:r>
        <w:t xml:space="preserve"> </w:t>
      </w:r>
      <w:r>
        <w:t xml:space="preserve">51 (8): 6110–24.</w:t>
      </w:r>
      <w:r>
        <w:t xml:space="preserve"> </w:t>
      </w:r>
      <w:hyperlink r:id="rId96">
        <w:r>
          <w:rPr>
            <w:rStyle w:val="Hyperlink"/>
          </w:rPr>
          <w:t xml:space="preserve">https://doi.org/10.1002/2015WR017114</w:t>
        </w:r>
      </w:hyperlink>
      <w:r>
        <w:t xml:space="preserve">.</w:t>
      </w:r>
    </w:p>
    <w:bookmarkEnd w:id="97"/>
    <w:bookmarkStart w:id="99"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8">
        <w:r>
          <w:rPr>
            <w:rStyle w:val="Hyperlink"/>
          </w:rPr>
          <w:t xml:space="preserve">https://doi.org/10.1577/1548-8675(1994)014&lt;0237:HDACSO&gt;2.3.CO;2</w:t>
        </w:r>
      </w:hyperlink>
      <w:r>
        <w:t xml:space="preserve">.</w:t>
      </w:r>
    </w:p>
    <w:bookmarkEnd w:id="99"/>
    <w:bookmarkStart w:id="100" w:name="ref-CDFWInfluence2021"/>
    <w:p>
      <w:pPr>
        <w:pStyle w:val="Bibliography"/>
      </w:pPr>
      <w:r>
        <w:t xml:space="preserve">California Department of Fish and Wildlife. 2021.</w:t>
      </w:r>
      <w:r>
        <w:t xml:space="preserve"> </w:t>
      </w:r>
      <w:r>
        <w:t xml:space="preserve">“Appendix 2:</w:t>
      </w:r>
      <w:r>
        <w:t xml:space="preserve"> </w:t>
      </w:r>
      <w:r>
        <w:t xml:space="preserve">Influence</w:t>
      </w:r>
      <w:r>
        <w:t xml:space="preserve"> </w:t>
      </w:r>
      <w:r>
        <w:t xml:space="preserve">of</w:t>
      </w:r>
      <w:r>
        <w:t xml:space="preserve"> </w:t>
      </w:r>
      <w:r>
        <w:t xml:space="preserve">Scott River</w:t>
      </w:r>
      <w:r>
        <w:t xml:space="preserve"> </w:t>
      </w:r>
      <w:r>
        <w:t xml:space="preserve">in-Stream Flow on the Distribution and Migration Timing of Fall</w:t>
      </w:r>
      <w:r>
        <w:t xml:space="preserve"> </w:t>
      </w:r>
      <w:r>
        <w:t xml:space="preserve">Chinook Salmon</w:t>
      </w:r>
      <w:r>
        <w:t xml:space="preserve"> </w:t>
      </w:r>
      <w:r>
        <w:t xml:space="preserve">and</w:t>
      </w:r>
      <w:r>
        <w:t xml:space="preserve"> </w:t>
      </w:r>
      <w:r>
        <w:t xml:space="preserve">Coho Salmon</w:t>
      </w:r>
      <w:r>
        <w:t xml:space="preserve">.”</w:t>
      </w:r>
    </w:p>
    <w:bookmarkEnd w:id="100"/>
    <w:bookmarkStart w:id="101"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101"/>
    <w:bookmarkStart w:id="102" w:name="ref-CADWRGroundwater2023"/>
    <w:p>
      <w:pPr>
        <w:pStyle w:val="Bibliography"/>
      </w:pPr>
      <w:r>
        <w:t xml:space="preserve">———. 2023.</w:t>
      </w:r>
      <w:r>
        <w:t xml:space="preserve"> </w:t>
      </w:r>
      <w:r>
        <w:t xml:space="preserve">“Groundwater</w:t>
      </w:r>
      <w:r>
        <w:t xml:space="preserve"> </w:t>
      </w:r>
      <w:r>
        <w:t xml:space="preserve">Sustainability Plan Assessments</w:t>
      </w:r>
      <w:r>
        <w:t xml:space="preserve">: 1-005</w:t>
      </w:r>
      <w:r>
        <w:t xml:space="preserve"> </w:t>
      </w:r>
      <w:r>
        <w:t xml:space="preserve">SCOTT RIVER VALLEY</w:t>
      </w:r>
      <w:r>
        <w:t xml:space="preserve">.”</w:t>
      </w:r>
      <w:r>
        <w:t xml:space="preserve"> </w:t>
      </w:r>
      <w:r>
        <w:rPr>
          <w:i/>
          <w:iCs/>
        </w:rPr>
        <w:t xml:space="preserve">SGMA Portal</w:t>
      </w:r>
      <w:r>
        <w:t xml:space="preserve">. https://water.ca.gov/Programs/Groundwater-Management/SGMA-Groundwater-Management.</w:t>
      </w:r>
    </w:p>
    <w:bookmarkEnd w:id="102"/>
    <w:bookmarkStart w:id="103" w:name="ref-CNRAEtAlCalifornias2022"/>
    <w:p>
      <w:pPr>
        <w:pStyle w:val="Bibliography"/>
      </w:pPr>
      <w:r>
        <w:t xml:space="preserve">California Natural Resources Agency, California For All, California Department of Water Resources, California Water Boards, California Environmental Protection Agency, and California Department of Food &amp; Agriculture. 2022.</w:t>
      </w:r>
      <w:r>
        <w:t xml:space="preserve"> </w:t>
      </w:r>
      <w:r>
        <w:t xml:space="preserve">“</w:t>
      </w:r>
      <w:r>
        <w:t xml:space="preserve">CALIFORNIA</w:t>
      </w:r>
      <w:r>
        <w:t xml:space="preserve">’</w:t>
      </w:r>
      <w:r>
        <w:t xml:space="preserve">S WATER SUPPLY STRATEGY</w:t>
      </w:r>
      <w:r>
        <w:t xml:space="preserve">:</w:t>
      </w:r>
      <w:r>
        <w:t xml:space="preserve"> </w:t>
      </w:r>
      <w:r>
        <w:t xml:space="preserve">Adapting</w:t>
      </w:r>
      <w:r>
        <w:t xml:space="preserve"> </w:t>
      </w:r>
      <w:r>
        <w:t xml:space="preserve">to a</w:t>
      </w:r>
      <w:r>
        <w:t xml:space="preserve"> </w:t>
      </w:r>
      <w:r>
        <w:t xml:space="preserve">Hotter</w:t>
      </w:r>
      <w:r>
        <w:t xml:space="preserve">,</w:t>
      </w:r>
      <w:r>
        <w:t xml:space="preserve"> </w:t>
      </w:r>
      <w:r>
        <w:t xml:space="preserve">Drier Future</w:t>
      </w:r>
      <w:r>
        <w:t xml:space="preserve">.”</w:t>
      </w:r>
    </w:p>
    <w:bookmarkEnd w:id="103"/>
    <w:bookmarkStart w:id="104"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04"/>
    <w:bookmarkStart w:id="106" w:name="ref-CardwellEtAlDesigning1996"/>
    <w:p>
      <w:pPr>
        <w:pStyle w:val="Bibliography"/>
      </w:pPr>
      <w:r>
        <w:t xml:space="preserve">Cardwell, Hal, Henriette I. Jager, and Michael J. Sale. 1996.</w:t>
      </w:r>
      <w:r>
        <w:t xml:space="preserve"> </w:t>
      </w:r>
      <w:r>
        <w:t xml:space="preserve">“Designing</w:t>
      </w:r>
      <w:r>
        <w:t xml:space="preserve"> </w:t>
      </w:r>
      <w:r>
        <w:t xml:space="preserve">Instream Flows</w:t>
      </w:r>
      <w:r>
        <w:t xml:space="preserve"> </w:t>
      </w:r>
      <w:r>
        <w:t xml:space="preserve">to</w:t>
      </w:r>
      <w:r>
        <w:t xml:space="preserve"> </w:t>
      </w:r>
      <w:r>
        <w:t xml:space="preserve">Satisfy Fish</w:t>
      </w:r>
      <w:r>
        <w:t xml:space="preserve"> </w:t>
      </w:r>
      <w:r>
        <w:t xml:space="preserve">and</w:t>
      </w:r>
      <w:r>
        <w:t xml:space="preserve"> </w:t>
      </w:r>
      <w:r>
        <w:t xml:space="preserve">Human Water Needs</w:t>
      </w:r>
      <w:r>
        <w:t xml:space="preserve">.”</w:t>
      </w:r>
      <w:r>
        <w:t xml:space="preserve"> </w:t>
      </w:r>
      <w:r>
        <w:rPr>
          <w:i/>
          <w:iCs/>
        </w:rPr>
        <w:t xml:space="preserve">Journal of Water Resources Planning and Management</w:t>
      </w:r>
      <w:r>
        <w:t xml:space="preserve"> </w:t>
      </w:r>
      <w:r>
        <w:t xml:space="preserve">122 (5): 356–63.</w:t>
      </w:r>
      <w:r>
        <w:t xml:space="preserve"> </w:t>
      </w:r>
      <w:hyperlink r:id="rId105">
        <w:r>
          <w:rPr>
            <w:rStyle w:val="Hyperlink"/>
          </w:rPr>
          <w:t xml:space="preserve">https://doi.org/10.1061/(ASCE)0733-9496(1996)122:5(356)</w:t>
        </w:r>
      </w:hyperlink>
      <w:r>
        <w:t xml:space="preserve">.</w:t>
      </w:r>
    </w:p>
    <w:bookmarkEnd w:id="106"/>
    <w:bookmarkStart w:id="107"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07"/>
    <w:bookmarkStart w:id="109"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08">
        <w:r>
          <w:rPr>
            <w:rStyle w:val="Hyperlink"/>
          </w:rPr>
          <w:t xml:space="preserve">https://doi.org/10.2135/cropsci1983.0011183X002300040016x</w:t>
        </w:r>
      </w:hyperlink>
      <w:r>
        <w:t xml:space="preserve">.</w:t>
      </w:r>
    </w:p>
    <w:bookmarkEnd w:id="109"/>
    <w:bookmarkStart w:id="111"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10">
        <w:r>
          <w:rPr>
            <w:rStyle w:val="Hyperlink"/>
          </w:rPr>
          <w:t xml:space="preserve">https://doi.org/10.1029/WR009i004p00826</w:t>
        </w:r>
      </w:hyperlink>
      <w:r>
        <w:t xml:space="preserve">.</w:t>
      </w:r>
    </w:p>
    <w:bookmarkEnd w:id="111"/>
    <w:bookmarkStart w:id="113" w:name="ref-CohonMarksReview1975"/>
    <w:p>
      <w:pPr>
        <w:pStyle w:val="Bibliography"/>
      </w:pPr>
      <w:r>
        <w:t xml:space="preserve">———. 1975.</w:t>
      </w:r>
      <w:r>
        <w:t xml:space="preserve"> </w:t>
      </w:r>
      <w:r>
        <w:t xml:space="preserve">“A Review and Evaluation of Multiobjective Programing Techniques.”</w:t>
      </w:r>
      <w:r>
        <w:t xml:space="preserve"> </w:t>
      </w:r>
      <w:r>
        <w:rPr>
          <w:i/>
          <w:iCs/>
        </w:rPr>
        <w:t xml:space="preserve">Water Resources Research</w:t>
      </w:r>
      <w:r>
        <w:t xml:space="preserve"> </w:t>
      </w:r>
      <w:r>
        <w:t xml:space="preserve">11 (2): 208–20.</w:t>
      </w:r>
      <w:r>
        <w:t xml:space="preserve"> </w:t>
      </w:r>
      <w:hyperlink r:id="rId112">
        <w:r>
          <w:rPr>
            <w:rStyle w:val="Hyperlink"/>
          </w:rPr>
          <w:t xml:space="preserve">https://doi.org/10.1029/WR011i002p00208</w:t>
        </w:r>
      </w:hyperlink>
      <w:r>
        <w:t xml:space="preserve">.</w:t>
      </w:r>
    </w:p>
    <w:bookmarkEnd w:id="113"/>
    <w:bookmarkStart w:id="115" w:name="ref-DiBaldassarreEtAlSociohydrology2019"/>
    <w:p>
      <w:pPr>
        <w:pStyle w:val="Bibliography"/>
      </w:pPr>
      <w:r>
        <w:t xml:space="preserve">Di Baldassarre, Giuliano, Murugesu Sivapalan, Maria Rusca, Christophe Cudennec, Margaret Garcia, Heidi Kreibich, Megan Konar, et al. 2019.</w:t>
      </w:r>
      <w:r>
        <w:t xml:space="preserve"> </w:t>
      </w:r>
      <w:r>
        <w:t xml:space="preserve">“Sociohydrology:</w:t>
      </w:r>
      <w:r>
        <w:t xml:space="preserve"> </w:t>
      </w:r>
      <w:r>
        <w:t xml:space="preserve">Scientific Challenges</w:t>
      </w:r>
      <w:r>
        <w:t xml:space="preserve"> </w:t>
      </w:r>
      <w:r>
        <w:t xml:space="preserve">in</w:t>
      </w:r>
      <w:r>
        <w:t xml:space="preserve"> </w:t>
      </w:r>
      <w:r>
        <w:t xml:space="preserve">Addressing</w:t>
      </w:r>
      <w:r>
        <w:t xml:space="preserve"> </w:t>
      </w:r>
      <w:r>
        <w:t xml:space="preserve">the</w:t>
      </w:r>
      <w:r>
        <w:t xml:space="preserve"> </w:t>
      </w:r>
      <w:r>
        <w:t xml:space="preserve">Sustainable Development Goals</w:t>
      </w:r>
      <w:r>
        <w:t xml:space="preserve">.”</w:t>
      </w:r>
      <w:r>
        <w:t xml:space="preserve"> </w:t>
      </w:r>
      <w:r>
        <w:rPr>
          <w:i/>
          <w:iCs/>
        </w:rPr>
        <w:t xml:space="preserve">Water Resources Research</w:t>
      </w:r>
      <w:r>
        <w:t xml:space="preserve"> </w:t>
      </w:r>
      <w:r>
        <w:t xml:space="preserve">55 (8): 6327–55.</w:t>
      </w:r>
      <w:r>
        <w:t xml:space="preserve"> </w:t>
      </w:r>
      <w:hyperlink r:id="rId114">
        <w:r>
          <w:rPr>
            <w:rStyle w:val="Hyperlink"/>
          </w:rPr>
          <w:t xml:space="preserve">https://doi.org/10.1029/2018WR023901</w:t>
        </w:r>
      </w:hyperlink>
      <w:r>
        <w:t xml:space="preserve">.</w:t>
      </w:r>
    </w:p>
    <w:bookmarkEnd w:id="115"/>
    <w:bookmarkStart w:id="117" w:name="ref-DietzEtAlStruggle2003"/>
    <w:p>
      <w:pPr>
        <w:pStyle w:val="Bibliography"/>
      </w:pPr>
      <w:r>
        <w:t xml:space="preserve">Dietz, Thomas, Elinor Ostrom, and Paul C. Stern. 2003.</w:t>
      </w:r>
      <w:r>
        <w:t xml:space="preserve"> </w:t>
      </w:r>
      <w:r>
        <w:t xml:space="preserve">“The</w:t>
      </w:r>
      <w:r>
        <w:t xml:space="preserve"> </w:t>
      </w:r>
      <w:r>
        <w:t xml:space="preserve">Struggle</w:t>
      </w:r>
      <w:r>
        <w:t xml:space="preserve"> </w:t>
      </w:r>
      <w:r>
        <w:t xml:space="preserve">to</w:t>
      </w:r>
      <w:r>
        <w:t xml:space="preserve"> </w:t>
      </w:r>
      <w:r>
        <w:t xml:space="preserve">Govern</w:t>
      </w:r>
      <w:r>
        <w:t xml:space="preserve"> </w:t>
      </w:r>
      <w:r>
        <w:t xml:space="preserve">the</w:t>
      </w:r>
      <w:r>
        <w:t xml:space="preserve"> </w:t>
      </w:r>
      <w:r>
        <w:t xml:space="preserve">Commons</w:t>
      </w:r>
      <w:r>
        <w:t xml:space="preserve">.”</w:t>
      </w:r>
      <w:r>
        <w:t xml:space="preserve"> </w:t>
      </w:r>
      <w:r>
        <w:rPr>
          <w:i/>
          <w:iCs/>
        </w:rPr>
        <w:t xml:space="preserve">Science</w:t>
      </w:r>
      <w:r>
        <w:t xml:space="preserve"> </w:t>
      </w:r>
      <w:r>
        <w:t xml:space="preserve">302 (5652): 1907–12.</w:t>
      </w:r>
      <w:r>
        <w:t xml:space="preserve"> </w:t>
      </w:r>
      <w:hyperlink r:id="rId116">
        <w:r>
          <w:rPr>
            <w:rStyle w:val="Hyperlink"/>
          </w:rPr>
          <w:t xml:space="preserve">https://doi.org/10.1126/science.1091015</w:t>
        </w:r>
      </w:hyperlink>
      <w:r>
        <w:t xml:space="preserve">.</w:t>
      </w:r>
    </w:p>
    <w:bookmarkEnd w:id="117"/>
    <w:bookmarkStart w:id="118"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18"/>
    <w:bookmarkStart w:id="119"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19"/>
    <w:bookmarkStart w:id="121"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20">
        <w:r>
          <w:rPr>
            <w:rStyle w:val="Hyperlink"/>
          </w:rPr>
          <w:t xml:space="preserve">https://doi.org/10.1111/j.1752-1688.2000.tb04280.x</w:t>
        </w:r>
      </w:hyperlink>
      <w:r>
        <w:t xml:space="preserve">.</w:t>
      </w:r>
    </w:p>
    <w:bookmarkEnd w:id="121"/>
    <w:bookmarkStart w:id="123" w:name="ref-GorelickReview1983"/>
    <w:p>
      <w:pPr>
        <w:pStyle w:val="Bibliography"/>
      </w:pPr>
      <w:r>
        <w:t xml:space="preserve">Gorelick, Steven M. 1983.</w:t>
      </w:r>
      <w:r>
        <w:t xml:space="preserve"> </w:t>
      </w:r>
      <w:r>
        <w:t xml:space="preserve">“A Review of Distributed Parameter Groundwater Management Modeling Methods.”</w:t>
      </w:r>
      <w:r>
        <w:t xml:space="preserve"> </w:t>
      </w:r>
      <w:r>
        <w:rPr>
          <w:i/>
          <w:iCs/>
        </w:rPr>
        <w:t xml:space="preserve">Water Resources Research</w:t>
      </w:r>
      <w:r>
        <w:t xml:space="preserve"> </w:t>
      </w:r>
      <w:r>
        <w:t xml:space="preserve">19 (2): 305–19.</w:t>
      </w:r>
      <w:r>
        <w:t xml:space="preserve"> </w:t>
      </w:r>
      <w:hyperlink r:id="rId122">
        <w:r>
          <w:rPr>
            <w:rStyle w:val="Hyperlink"/>
          </w:rPr>
          <w:t xml:space="preserve">https://doi.org/10.1029/WR019i002p00305</w:t>
        </w:r>
      </w:hyperlink>
      <w:r>
        <w:t xml:space="preserve">.</w:t>
      </w:r>
    </w:p>
    <w:bookmarkEnd w:id="123"/>
    <w:bookmarkStart w:id="124"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24"/>
    <w:bookmarkStart w:id="126" w:name="ref-HerzbergInstitutional2020"/>
    <w:p>
      <w:pPr>
        <w:pStyle w:val="Bibliography"/>
      </w:pPr>
      <w:r>
        <w:t xml:space="preserve">Herzberg, Roberta Q. 2020.</w:t>
      </w:r>
      <w:r>
        <w:t xml:space="preserve"> </w:t>
      </w:r>
      <w:r>
        <w:t xml:space="preserve">“Institutional</w:t>
      </w:r>
      <w:r>
        <w:t xml:space="preserve"> </w:t>
      </w:r>
      <w:r>
        <w:t xml:space="preserve">Diversity</w:t>
      </w:r>
      <w:r>
        <w:t xml:space="preserve">,</w:t>
      </w:r>
      <w:r>
        <w:t xml:space="preserve"> </w:t>
      </w:r>
      <w:r>
        <w:t xml:space="preserve">Self- Governance</w:t>
      </w:r>
      <w:r>
        <w:t xml:space="preserve">, and</w:t>
      </w:r>
      <w:r>
        <w:t xml:space="preserve"> </w:t>
      </w:r>
      <w:r>
        <w:t xml:space="preserve">Tragedy Diverted</w:t>
      </w:r>
      <w:r>
        <w:t xml:space="preserve">.”</w:t>
      </w:r>
      <w:r>
        <w:t xml:space="preserve"> </w:t>
      </w:r>
      <w:r>
        <w:rPr>
          <w:i/>
          <w:iCs/>
        </w:rPr>
        <w:t xml:space="preserve">The Independent Review</w:t>
      </w:r>
      <w:r>
        <w:t xml:space="preserve"> </w:t>
      </w:r>
      <w:r>
        <w:t xml:space="preserve">24 (4): 627–36.</w:t>
      </w:r>
      <w:r>
        <w:t xml:space="preserve"> </w:t>
      </w:r>
      <w:hyperlink r:id="rId125">
        <w:r>
          <w:rPr>
            <w:rStyle w:val="Hyperlink"/>
          </w:rPr>
          <w:t xml:space="preserve">https://www.jstor.org/stable/10.2307/48583528</w:t>
        </w:r>
      </w:hyperlink>
      <w:r>
        <w:t xml:space="preserve">.</w:t>
      </w:r>
    </w:p>
    <w:bookmarkEnd w:id="126"/>
    <w:bookmarkStart w:id="128" w:name="ref-JagerRoseDesigning2003"/>
    <w:p>
      <w:pPr>
        <w:pStyle w:val="Bibliography"/>
      </w:pPr>
      <w:r>
        <w:t xml:space="preserve">Jager, Henriette I., and Kenneth A. Rose. 2003.</w:t>
      </w:r>
      <w:r>
        <w:t xml:space="preserve"> </w:t>
      </w:r>
      <w:r>
        <w:t xml:space="preserve">“Designing</w:t>
      </w:r>
      <w:r>
        <w:t xml:space="preserve"> </w:t>
      </w:r>
      <w:r>
        <w:t xml:space="preserve">Optimal Flow Patterns</w:t>
      </w:r>
      <w:r>
        <w:t xml:space="preserve"> </w:t>
      </w:r>
      <w:r>
        <w:t xml:space="preserve">for</w:t>
      </w:r>
      <w:r>
        <w:t xml:space="preserve"> </w:t>
      </w:r>
      <w:r>
        <w:t xml:space="preserve">Fall Chinook Salmon</w:t>
      </w:r>
      <w:r>
        <w:t xml:space="preserve"> </w:t>
      </w:r>
      <w:r>
        <w:t xml:space="preserve">in a</w:t>
      </w:r>
      <w:r>
        <w:t xml:space="preserve"> </w:t>
      </w:r>
      <w:r>
        <w:t xml:space="preserve">Central Valley</w:t>
      </w:r>
      <w:r>
        <w:t xml:space="preserve">,</w:t>
      </w:r>
      <w:r>
        <w:t xml:space="preserve"> </w:t>
      </w:r>
      <w:r>
        <w:t xml:space="preserve">California</w:t>
      </w:r>
      <w:r>
        <w:t xml:space="preserve">,</w:t>
      </w:r>
      <w:r>
        <w:t xml:space="preserve"> </w:t>
      </w:r>
      <w:r>
        <w:t xml:space="preserve">River</w:t>
      </w:r>
      <w:r>
        <w:t xml:space="preserve">.”</w:t>
      </w:r>
      <w:r>
        <w:t xml:space="preserve"> </w:t>
      </w:r>
      <w:r>
        <w:rPr>
          <w:i/>
          <w:iCs/>
        </w:rPr>
        <w:t xml:space="preserve">North American Journal of Fisheries Management</w:t>
      </w:r>
      <w:r>
        <w:t xml:space="preserve"> </w:t>
      </w:r>
      <w:r>
        <w:t xml:space="preserve">23 (1): 1–21.</w:t>
      </w:r>
      <w:r>
        <w:t xml:space="preserve"> </w:t>
      </w:r>
      <w:hyperlink r:id="rId127">
        <w:r>
          <w:rPr>
            <w:rStyle w:val="Hyperlink"/>
          </w:rPr>
          <w:t xml:space="preserve">https://doi.org/10.1577/1548-8675(2003)023&lt;0001:DOFPFF&gt;2.0.CO;2</w:t>
        </w:r>
      </w:hyperlink>
      <w:r>
        <w:t xml:space="preserve">.</w:t>
      </w:r>
    </w:p>
    <w:bookmarkEnd w:id="128"/>
    <w:bookmarkStart w:id="130"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29">
        <w:r>
          <w:rPr>
            <w:rStyle w:val="Hyperlink"/>
          </w:rPr>
          <w:t xml:space="preserve">https://doi.org/10.1029/2004WR003787</w:t>
        </w:r>
      </w:hyperlink>
      <w:r>
        <w:t xml:space="preserve">.</w:t>
      </w:r>
    </w:p>
    <w:bookmarkEnd w:id="130"/>
    <w:bookmarkStart w:id="132" w:name="ref-KnappEtAlPlacing2019"/>
    <w:p>
      <w:pPr>
        <w:pStyle w:val="Bibliography"/>
      </w:pPr>
      <w:r>
        <w:t xml:space="preserve">Knapp, Corrine Nöel, Robin S. Reid, María E. Fernández-Giménez, Julia A. Klein, and Kathleen A. Galvin. 2019.</w:t>
      </w:r>
      <w:r>
        <w:t xml:space="preserve"> </w:t>
      </w:r>
      <w:r>
        <w:t xml:space="preserve">“Placing</w:t>
      </w:r>
      <w:r>
        <w:t xml:space="preserve"> </w:t>
      </w:r>
      <w:r>
        <w:t xml:space="preserve">Transdisciplinarity</w:t>
      </w:r>
      <w:r>
        <w:t xml:space="preserve"> </w:t>
      </w:r>
      <w:r>
        <w:t xml:space="preserve">in</w:t>
      </w:r>
      <w:r>
        <w:t xml:space="preserve"> </w:t>
      </w:r>
      <w:r>
        <w:t xml:space="preserve">Context</w:t>
      </w:r>
      <w:r>
        <w:t xml:space="preserve">:</w:t>
      </w:r>
      <w:r>
        <w:t xml:space="preserve"> </w:t>
      </w:r>
      <w:r>
        <w:t xml:space="preserve">A Review</w:t>
      </w:r>
      <w:r>
        <w:t xml:space="preserve"> </w:t>
      </w:r>
      <w:r>
        <w:t xml:space="preserve">of</w:t>
      </w:r>
      <w:r>
        <w:t xml:space="preserve"> </w:t>
      </w:r>
      <w:r>
        <w:t xml:space="preserve">Approaches</w:t>
      </w:r>
      <w:r>
        <w:t xml:space="preserve"> </w:t>
      </w:r>
      <w:r>
        <w:t xml:space="preserve">to</w:t>
      </w:r>
      <w:r>
        <w:t xml:space="preserve"> </w:t>
      </w:r>
      <w:r>
        <w:t xml:space="preserve">Connect Scholars</w:t>
      </w:r>
      <w:r>
        <w:t xml:space="preserve">,</w:t>
      </w:r>
      <w:r>
        <w:t xml:space="preserve"> </w:t>
      </w:r>
      <w:r>
        <w:t xml:space="preserve">Society</w:t>
      </w:r>
      <w:r>
        <w:t xml:space="preserve"> </w:t>
      </w:r>
      <w:r>
        <w:t xml:space="preserve">and</w:t>
      </w:r>
      <w:r>
        <w:t xml:space="preserve"> </w:t>
      </w:r>
      <w:r>
        <w:t xml:space="preserve">Action</w:t>
      </w:r>
      <w:r>
        <w:t xml:space="preserve">.”</w:t>
      </w:r>
      <w:r>
        <w:t xml:space="preserve"> </w:t>
      </w:r>
      <w:r>
        <w:rPr>
          <w:i/>
          <w:iCs/>
        </w:rPr>
        <w:t xml:space="preserve">Sustainability</w:t>
      </w:r>
      <w:r>
        <w:t xml:space="preserve"> </w:t>
      </w:r>
      <w:r>
        <w:t xml:space="preserve">11 (18): 4899.</w:t>
      </w:r>
      <w:r>
        <w:t xml:space="preserve"> </w:t>
      </w:r>
      <w:hyperlink r:id="rId131">
        <w:r>
          <w:rPr>
            <w:rStyle w:val="Hyperlink"/>
          </w:rPr>
          <w:t xml:space="preserve">https://doi.org/10.3390/su11184899</w:t>
        </w:r>
      </w:hyperlink>
      <w:r>
        <w:t xml:space="preserve">.</w:t>
      </w:r>
    </w:p>
    <w:bookmarkEnd w:id="132"/>
    <w:bookmarkStart w:id="133"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33"/>
    <w:bookmarkStart w:id="135"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34">
        <w:r>
          <w:rPr>
            <w:rStyle w:val="Hyperlink"/>
          </w:rPr>
          <w:t xml:space="preserve">https://doi.org/10.1002/eco.70098</w:t>
        </w:r>
      </w:hyperlink>
      <w:r>
        <w:t xml:space="preserve">.</w:t>
      </w:r>
    </w:p>
    <w:bookmarkEnd w:id="135"/>
    <w:bookmarkStart w:id="137" w:name="ref-LabadieOptimal2004"/>
    <w:p>
      <w:pPr>
        <w:pStyle w:val="Bibliography"/>
      </w:pPr>
      <w:r>
        <w:t xml:space="preserve">Labadie, John W. 2004.</w:t>
      </w:r>
      <w:r>
        <w:t xml:space="preserve"> </w:t>
      </w:r>
      <w:r>
        <w:t xml:space="preserve">“Optimal</w:t>
      </w:r>
      <w:r>
        <w:t xml:space="preserve"> </w:t>
      </w:r>
      <w:r>
        <w:t xml:space="preserve">Operation</w:t>
      </w:r>
      <w:r>
        <w:t xml:space="preserve"> </w:t>
      </w:r>
      <w:r>
        <w:t xml:space="preserve">of</w:t>
      </w:r>
      <w:r>
        <w:t xml:space="preserve"> </w:t>
      </w:r>
      <w:r>
        <w:t xml:space="preserve">Multireservoir Systems</w:t>
      </w:r>
      <w:r>
        <w:t xml:space="preserve">:</w:t>
      </w:r>
      <w:r>
        <w:t xml:space="preserve"> </w:t>
      </w:r>
      <w:r>
        <w:t xml:space="preserve">State-of-the-Art Review</w:t>
      </w:r>
      <w:r>
        <w:t xml:space="preserve">.”</w:t>
      </w:r>
      <w:r>
        <w:t xml:space="preserve"> </w:t>
      </w:r>
      <w:r>
        <w:rPr>
          <w:i/>
          <w:iCs/>
        </w:rPr>
        <w:t xml:space="preserve">Journal of Water Resources Planning and Management</w:t>
      </w:r>
      <w:r>
        <w:t xml:space="preserve"> </w:t>
      </w:r>
      <w:r>
        <w:t xml:space="preserve">130 (2): 93–111.</w:t>
      </w:r>
      <w:r>
        <w:t xml:space="preserve"> </w:t>
      </w:r>
      <w:hyperlink r:id="rId136">
        <w:r>
          <w:rPr>
            <w:rStyle w:val="Hyperlink"/>
          </w:rPr>
          <w:t xml:space="preserve">https://doi.org/10.1061/(ASCE)0733-9496(2004)130:2(93)</w:t>
        </w:r>
      </w:hyperlink>
      <w:r>
        <w:t xml:space="preserve">.</w:t>
      </w:r>
    </w:p>
    <w:bookmarkEnd w:id="137"/>
    <w:bookmarkStart w:id="139" w:name="ref-MaassEtAl11962"/>
    <w:p>
      <w:pPr>
        <w:pStyle w:val="Bibliography"/>
      </w:pPr>
      <w:r>
        <w:t xml:space="preserve">Maass, Arthur, Maynard M. Hufschmidt, Robert Dorfman, Harold A. Thomas Jr., Stephen A. Marglin, and Gordon Maskew Fair. 1962.</w:t>
      </w:r>
      <w:r>
        <w:t xml:space="preserve"> </w:t>
      </w:r>
      <w:r>
        <w:rPr>
          <w:i/>
          <w:iCs/>
        </w:rPr>
        <w:t xml:space="preserve">Design of</w:t>
      </w:r>
      <w:r>
        <w:rPr>
          <w:i/>
          <w:iCs/>
        </w:rPr>
        <w:t xml:space="preserve"> </w:t>
      </w:r>
      <w:r>
        <w:rPr>
          <w:i/>
          <w:iCs/>
        </w:rPr>
        <w:t xml:space="preserve">Water-Resource Systems</w:t>
      </w:r>
      <w:r>
        <w:rPr>
          <w:i/>
          <w:iCs/>
        </w:rPr>
        <w:t xml:space="preserve">:</w:t>
      </w:r>
      <w:r>
        <w:rPr>
          <w:i/>
          <w:iCs/>
        </w:rPr>
        <w:t xml:space="preserve"> </w:t>
      </w:r>
      <w:r>
        <w:rPr>
          <w:i/>
          <w:iCs/>
        </w:rPr>
        <w:t xml:space="preserve">New Techniques</w:t>
      </w:r>
      <w:r>
        <w:rPr>
          <w:i/>
          <w:iCs/>
        </w:rPr>
        <w:t xml:space="preserve"> </w:t>
      </w:r>
      <w:r>
        <w:rPr>
          <w:i/>
          <w:iCs/>
        </w:rPr>
        <w:t xml:space="preserve">for</w:t>
      </w:r>
      <w:r>
        <w:rPr>
          <w:i/>
          <w:iCs/>
        </w:rPr>
        <w:t xml:space="preserve"> </w:t>
      </w:r>
      <w:r>
        <w:rPr>
          <w:i/>
          <w:iCs/>
        </w:rPr>
        <w:t xml:space="preserve">Relating Economic Objectives</w:t>
      </w:r>
      <w:r>
        <w:rPr>
          <w:i/>
          <w:iCs/>
        </w:rPr>
        <w:t xml:space="preserve">,</w:t>
      </w:r>
      <w:r>
        <w:rPr>
          <w:i/>
          <w:iCs/>
        </w:rPr>
        <w:t xml:space="preserve"> </w:t>
      </w:r>
      <w:r>
        <w:rPr>
          <w:i/>
          <w:iCs/>
        </w:rPr>
        <w:t xml:space="preserve">Engineering Analysis</w:t>
      </w:r>
      <w:r>
        <w:rPr>
          <w:i/>
          <w:iCs/>
        </w:rPr>
        <w:t xml:space="preserve">, and</w:t>
      </w:r>
      <w:r>
        <w:rPr>
          <w:i/>
          <w:iCs/>
        </w:rPr>
        <w:t xml:space="preserve"> </w:t>
      </w:r>
      <w:r>
        <w:rPr>
          <w:i/>
          <w:iCs/>
        </w:rPr>
        <w:t xml:space="preserve">Governmental Planning</w:t>
      </w:r>
      <w:r>
        <w:t xml:space="preserve">. Harvard University Press.</w:t>
      </w:r>
      <w:r>
        <w:t xml:space="preserve"> </w:t>
      </w:r>
      <w:hyperlink r:id="rId138">
        <w:r>
          <w:rPr>
            <w:rStyle w:val="Hyperlink"/>
          </w:rPr>
          <w:t xml:space="preserve">https://doi.org/10.4159/harvard.9780674421042.intro</w:t>
        </w:r>
      </w:hyperlink>
      <w:r>
        <w:t xml:space="preserve">.</w:t>
      </w:r>
    </w:p>
    <w:bookmarkEnd w:id="139"/>
    <w:bookmarkStart w:id="141"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40">
        <w:r>
          <w:rPr>
            <w:rStyle w:val="Hyperlink"/>
          </w:rPr>
          <w:t xml:space="preserve">https://doi.org/10.3133/wsp1462</w:t>
        </w:r>
      </w:hyperlink>
      <w:r>
        <w:t xml:space="preserve">.</w:t>
      </w:r>
    </w:p>
    <w:bookmarkEnd w:id="141"/>
    <w:bookmarkStart w:id="142"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42"/>
    <w:bookmarkStart w:id="143"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43"/>
    <w:bookmarkStart w:id="144"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44"/>
    <w:bookmarkStart w:id="145"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45"/>
    <w:bookmarkStart w:id="147"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46">
        <w:r>
          <w:rPr>
            <w:rStyle w:val="Hyperlink"/>
          </w:rPr>
          <w:t xml:space="preserve">https://doi.org/10.1007/BF03161678</w:t>
        </w:r>
      </w:hyperlink>
      <w:r>
        <w:t xml:space="preserve">.</w:t>
      </w:r>
    </w:p>
    <w:bookmarkEnd w:id="147"/>
    <w:bookmarkStart w:id="148"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48"/>
    <w:bookmarkStart w:id="150" w:name="ref-MillsDoakKeystoneSpecies1993"/>
    <w:p>
      <w:pPr>
        <w:pStyle w:val="Bibliography"/>
      </w:pPr>
      <w:r>
        <w:t xml:space="preserve">Mills, L. Scott, and Daniel F. Doak. 1993.</w:t>
      </w:r>
      <w:r>
        <w:t xml:space="preserve"> </w:t>
      </w:r>
      <w:r>
        <w:t xml:space="preserve">“The</w:t>
      </w:r>
      <w:r>
        <w:t xml:space="preserve"> </w:t>
      </w:r>
      <w:r>
        <w:t xml:space="preserve">Keystone-Species Concept</w:t>
      </w:r>
      <w:r>
        <w:t xml:space="preserve"> </w:t>
      </w:r>
      <w:r>
        <w:t xml:space="preserve">in</w:t>
      </w:r>
      <w:r>
        <w:t xml:space="preserve"> </w:t>
      </w:r>
      <w:r>
        <w:t xml:space="preserve">Ecology</w:t>
      </w:r>
      <w:r>
        <w:t xml:space="preserve"> </w:t>
      </w:r>
      <w:r>
        <w:t xml:space="preserve">and</w:t>
      </w:r>
      <w:r>
        <w:t xml:space="preserve"> </w:t>
      </w:r>
      <w:r>
        <w:t xml:space="preserve">Conservation</w:t>
      </w:r>
      <w:r>
        <w:t xml:space="preserve">.”</w:t>
      </w:r>
      <w:r>
        <w:t xml:space="preserve"> </w:t>
      </w:r>
      <w:r>
        <w:rPr>
          <w:i/>
          <w:iCs/>
        </w:rPr>
        <w:t xml:space="preserve">BioScience</w:t>
      </w:r>
      <w:r>
        <w:t xml:space="preserve"> </w:t>
      </w:r>
      <w:r>
        <w:t xml:space="preserve">43 (4): 219–24.</w:t>
      </w:r>
      <w:r>
        <w:t xml:space="preserve"> </w:t>
      </w:r>
      <w:hyperlink r:id="rId149">
        <w:r>
          <w:rPr>
            <w:rStyle w:val="Hyperlink"/>
          </w:rPr>
          <w:t xml:space="preserve">https://doi.org/10.2307/1312122</w:t>
        </w:r>
      </w:hyperlink>
      <w:r>
        <w:t xml:space="preserve">.</w:t>
      </w:r>
    </w:p>
    <w:bookmarkEnd w:id="150"/>
    <w:bookmarkStart w:id="152"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51">
        <w:r>
          <w:rPr>
            <w:rStyle w:val="Hyperlink"/>
          </w:rPr>
          <w:t xml:space="preserve">https://doi.org/10.1029/WR009i004p00837</w:t>
        </w:r>
      </w:hyperlink>
      <w:r>
        <w:t xml:space="preserve">.</w:t>
      </w:r>
    </w:p>
    <w:bookmarkEnd w:id="152"/>
    <w:bookmarkStart w:id="153"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53"/>
    <w:bookmarkStart w:id="155"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54">
        <w:r>
          <w:rPr>
            <w:rStyle w:val="Hyperlink"/>
          </w:rPr>
          <w:t xml:space="preserve">https://doi.org/10.1016/j.envsci.2016.05.006</w:t>
        </w:r>
      </w:hyperlink>
      <w:r>
        <w:t xml:space="preserve">.</w:t>
      </w:r>
    </w:p>
    <w:bookmarkEnd w:id="155"/>
    <w:bookmarkStart w:id="156" w:name="ref-OstromGoverning2015"/>
    <w:p>
      <w:pPr>
        <w:pStyle w:val="Bibliography"/>
      </w:pPr>
      <w:r>
        <w:t xml:space="preserve">Ostrom, Elinor. 2015.</w:t>
      </w:r>
      <w:r>
        <w:t xml:space="preserve"> </w:t>
      </w:r>
      <w:r>
        <w:rPr>
          <w:i/>
          <w:iCs/>
        </w:rPr>
        <w:t xml:space="preserve">Governing the Commons: The Evolution of Institutions for Collective Action</w:t>
      </w:r>
      <w:r>
        <w:t xml:space="preserve">. Canto</w:t>
      </w:r>
      <w:r>
        <w:t xml:space="preserve"> </w:t>
      </w:r>
      <w:r>
        <w:t xml:space="preserve">Classics</w:t>
      </w:r>
      <w:r>
        <w:t xml:space="preserve">. Cambridge: Cambridge University Press.</w:t>
      </w:r>
    </w:p>
    <w:bookmarkEnd w:id="156"/>
    <w:bookmarkStart w:id="157"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57"/>
    <w:bookmarkStart w:id="159"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58">
        <w:r>
          <w:rPr>
            <w:rStyle w:val="Hyperlink"/>
          </w:rPr>
          <w:t xml:space="preserve">https://doi.org/10.1016/j.jhydrol.2020.124787</w:t>
        </w:r>
      </w:hyperlink>
      <w:r>
        <w:t xml:space="preserve">.</w:t>
      </w:r>
    </w:p>
    <w:bookmarkEnd w:id="159"/>
    <w:bookmarkStart w:id="161" w:name="ref-PoffEtAlNatural1997"/>
    <w:p>
      <w:pPr>
        <w:pStyle w:val="Bibliography"/>
      </w:pPr>
      <w:r>
        <w:t xml:space="preserve">Poff, N. LeRoy, J. David Allan, Mark B. Bain, James R. Karr, Karen L. Prestegaard, Brian D. Richter, Richard E. Sparks, and Julie C. Stromberg. 1997.</w:t>
      </w:r>
      <w:r>
        <w:t xml:space="preserve"> </w:t>
      </w:r>
      <w:r>
        <w:t xml:space="preserve">“The</w:t>
      </w:r>
      <w:r>
        <w:t xml:space="preserve"> </w:t>
      </w:r>
      <w:r>
        <w:t xml:space="preserve">Natural Flow Regime</w:t>
      </w:r>
      <w:r>
        <w:t xml:space="preserve">.”</w:t>
      </w:r>
      <w:r>
        <w:t xml:space="preserve"> </w:t>
      </w:r>
      <w:r>
        <w:rPr>
          <w:i/>
          <w:iCs/>
        </w:rPr>
        <w:t xml:space="preserve">BioScience</w:t>
      </w:r>
      <w:r>
        <w:t xml:space="preserve"> </w:t>
      </w:r>
      <w:r>
        <w:t xml:space="preserve">47 (11): 769–84.</w:t>
      </w:r>
      <w:r>
        <w:t xml:space="preserve"> </w:t>
      </w:r>
      <w:hyperlink r:id="rId160">
        <w:r>
          <w:rPr>
            <w:rStyle w:val="Hyperlink"/>
          </w:rPr>
          <w:t xml:space="preserve">https://doi.org/10.2307/1313099</w:t>
        </w:r>
      </w:hyperlink>
      <w:r>
        <w:t xml:space="preserve">.</w:t>
      </w:r>
    </w:p>
    <w:bookmarkEnd w:id="161"/>
    <w:bookmarkStart w:id="162" w:name="ref-ReussCoping1992"/>
    <w:p>
      <w:pPr>
        <w:pStyle w:val="Bibliography"/>
      </w:pPr>
      <w:r>
        <w:t xml:space="preserve">Reuss, Martin. 1992.</w:t>
      </w:r>
      <w:r>
        <w:t xml:space="preserve"> </w:t>
      </w:r>
      <w:r>
        <w:t xml:space="preserve">“Coping</w:t>
      </w:r>
      <w:r>
        <w:t xml:space="preserve"> </w:t>
      </w:r>
      <w:r>
        <w:t xml:space="preserve">With Uncertainty</w:t>
      </w:r>
      <w:r>
        <w:t xml:space="preserve">:</w:t>
      </w:r>
      <w:r>
        <w:t xml:space="preserve"> </w:t>
      </w:r>
      <w:r>
        <w:t xml:space="preserve">Social Scientists</w:t>
      </w:r>
      <w:r>
        <w:t xml:space="preserve">,</w:t>
      </w:r>
      <w:r>
        <w:t xml:space="preserve"> </w:t>
      </w:r>
      <w:r>
        <w:t xml:space="preserve">Engineers</w:t>
      </w:r>
      <w:r>
        <w:t xml:space="preserve">, and</w:t>
      </w:r>
      <w:r>
        <w:t xml:space="preserve"> </w:t>
      </w:r>
      <w:r>
        <w:t xml:space="preserve">Federal Water Resources Planning</w:t>
      </w:r>
      <w:r>
        <w:t xml:space="preserve">.”</w:t>
      </w:r>
      <w:r>
        <w:t xml:space="preserve"> </w:t>
      </w:r>
      <w:r>
        <w:rPr>
          <w:i/>
          <w:iCs/>
        </w:rPr>
        <w:t xml:space="preserve">Natural Resources Journal</w:t>
      </w:r>
      <w:r>
        <w:t xml:space="preserve"> </w:t>
      </w:r>
      <w:r>
        <w:t xml:space="preserve">32 (1): 101–36.</w:t>
      </w:r>
    </w:p>
    <w:bookmarkEnd w:id="162"/>
    <w:bookmarkStart w:id="164" w:name="ref-RichterEtAlMethod1996"/>
    <w:p>
      <w:pPr>
        <w:pStyle w:val="Bibliography"/>
      </w:pPr>
      <w:r>
        <w:t xml:space="preserve">Richter, Brian D., Jeffrey V. Baumgartner, Jennifer Powell, and David P. Braun. 1996.</w:t>
      </w:r>
      <w:r>
        <w:t xml:space="preserve"> </w:t>
      </w:r>
      <w:r>
        <w:t xml:space="preserve">“A</w:t>
      </w:r>
      <w:r>
        <w:t xml:space="preserve"> </w:t>
      </w:r>
      <w:r>
        <w:t xml:space="preserve">Method</w:t>
      </w:r>
      <w:r>
        <w:t xml:space="preserve"> </w:t>
      </w:r>
      <w:r>
        <w:t xml:space="preserve">for</w:t>
      </w:r>
      <w:r>
        <w:t xml:space="preserve"> </w:t>
      </w:r>
      <w:r>
        <w:t xml:space="preserve">Assessing Hydrologic Alteration</w:t>
      </w:r>
      <w:r>
        <w:t xml:space="preserve"> </w:t>
      </w:r>
      <w:r>
        <w:t xml:space="preserve">Within</w:t>
      </w:r>
      <w:r>
        <w:t xml:space="preserve"> </w:t>
      </w:r>
      <w:r>
        <w:t xml:space="preserve">Ecosystems</w:t>
      </w:r>
      <w:r>
        <w:t xml:space="preserve">.”</w:t>
      </w:r>
      <w:r>
        <w:t xml:space="preserve"> </w:t>
      </w:r>
      <w:r>
        <w:rPr>
          <w:i/>
          <w:iCs/>
        </w:rPr>
        <w:t xml:space="preserve">Conservation Biology</w:t>
      </w:r>
      <w:r>
        <w:t xml:space="preserve"> </w:t>
      </w:r>
      <w:r>
        <w:t xml:space="preserve">10 (4): 1163–74.</w:t>
      </w:r>
      <w:r>
        <w:t xml:space="preserve"> </w:t>
      </w:r>
      <w:hyperlink r:id="rId163">
        <w:r>
          <w:rPr>
            <w:rStyle w:val="Hyperlink"/>
          </w:rPr>
          <w:t xml:space="preserve">https://doi.org/10.1046/j.1523-1739.1996.10041163.x</w:t>
        </w:r>
      </w:hyperlink>
      <w:r>
        <w:t xml:space="preserve">.</w:t>
      </w:r>
    </w:p>
    <w:bookmarkEnd w:id="164"/>
    <w:bookmarkStart w:id="166" w:name="ref-RodellEtAlEmerging2018"/>
    <w:p>
      <w:pPr>
        <w:pStyle w:val="Bibliography"/>
      </w:pPr>
      <w:r>
        <w:t xml:space="preserve">Rodell, M., J. S. Famiglietti, D. N. Wiese, J. T. Reager, H. K. Beaudoing, F. W. Landerer, and M.-H. Lo. 2018.</w:t>
      </w:r>
      <w:r>
        <w:t xml:space="preserve"> </w:t>
      </w:r>
      <w:r>
        <w:t xml:space="preserve">“Emerging Trends in Global Freshwater Availability.”</w:t>
      </w:r>
      <w:r>
        <w:t xml:space="preserve"> </w:t>
      </w:r>
      <w:r>
        <w:rPr>
          <w:i/>
          <w:iCs/>
        </w:rPr>
        <w:t xml:space="preserve">Nature</w:t>
      </w:r>
      <w:r>
        <w:t xml:space="preserve"> </w:t>
      </w:r>
      <w:r>
        <w:t xml:space="preserve">557 (7707): 651–59.</w:t>
      </w:r>
      <w:r>
        <w:t xml:space="preserve"> </w:t>
      </w:r>
      <w:hyperlink r:id="rId165">
        <w:r>
          <w:rPr>
            <w:rStyle w:val="Hyperlink"/>
          </w:rPr>
          <w:t xml:space="preserve">https://doi.org/10.1038/s41586-018-0123-1</w:t>
        </w:r>
      </w:hyperlink>
      <w:r>
        <w:t xml:space="preserve">.</w:t>
      </w:r>
    </w:p>
    <w:bookmarkEnd w:id="166"/>
    <w:bookmarkStart w:id="168" w:name="ref-RogersFieringUse1986"/>
    <w:p>
      <w:pPr>
        <w:pStyle w:val="Bibliography"/>
      </w:pPr>
      <w:r>
        <w:t xml:space="preserve">Rogers, Peter P., and Myron B Fiering. 1986.</w:t>
      </w:r>
      <w:r>
        <w:t xml:space="preserve"> </w:t>
      </w:r>
      <w:r>
        <w:t xml:space="preserve">“Use of Systems Analysis in Water Management.”</w:t>
      </w:r>
      <w:r>
        <w:t xml:space="preserve"> </w:t>
      </w:r>
      <w:r>
        <w:rPr>
          <w:i/>
          <w:iCs/>
        </w:rPr>
        <w:t xml:space="preserve">Water Resources Research</w:t>
      </w:r>
      <w:r>
        <w:t xml:space="preserve"> </w:t>
      </w:r>
      <w:r>
        <w:t xml:space="preserve">22 (9S).</w:t>
      </w:r>
      <w:r>
        <w:t xml:space="preserve"> </w:t>
      </w:r>
      <w:hyperlink r:id="rId167">
        <w:r>
          <w:rPr>
            <w:rStyle w:val="Hyperlink"/>
          </w:rPr>
          <w:t xml:space="preserve">https://doi.org/10.1029/WR022i09Sp0146S</w:t>
        </w:r>
      </w:hyperlink>
      <w:r>
        <w:t xml:space="preserve">.</w:t>
      </w:r>
    </w:p>
    <w:bookmarkEnd w:id="168"/>
    <w:bookmarkStart w:id="170" w:name="ref-SahnehEtAlTen2021"/>
    <w:p>
      <w:pPr>
        <w:pStyle w:val="Bibliography"/>
      </w:pPr>
      <w:r>
        <w:t xml:space="preserve">Sahneh, Faryad, Meghan A. Balk, Marina Kisley, Chi-kwan Chan, Mercury Fox, Brian Nord, Eric Lyons, et al. 2021.</w:t>
      </w:r>
      <w:r>
        <w:t xml:space="preserve"> </w:t>
      </w:r>
      <w:r>
        <w:t xml:space="preserve">“Ten Simple Rules to Cultivate Transdisciplinary Collaboration in Data Science.”</w:t>
      </w:r>
      <w:r>
        <w:t xml:space="preserve"> </w:t>
      </w:r>
      <w:r>
        <w:t xml:space="preserve">Edited by Russell Schwartz.</w:t>
      </w:r>
      <w:r>
        <w:t xml:space="preserve"> </w:t>
      </w:r>
      <w:r>
        <w:rPr>
          <w:i/>
          <w:iCs/>
        </w:rPr>
        <w:t xml:space="preserve">PLOS Computational Biology</w:t>
      </w:r>
      <w:r>
        <w:t xml:space="preserve"> </w:t>
      </w:r>
      <w:r>
        <w:t xml:space="preserve">17 (5): e1008879.</w:t>
      </w:r>
      <w:r>
        <w:t xml:space="preserve"> </w:t>
      </w:r>
      <w:hyperlink r:id="rId169">
        <w:r>
          <w:rPr>
            <w:rStyle w:val="Hyperlink"/>
          </w:rPr>
          <w:t xml:space="preserve">https://doi.org/10.1371/journal.pcbi.1008879</w:t>
        </w:r>
      </w:hyperlink>
      <w:r>
        <w:t xml:space="preserve">.</w:t>
      </w:r>
    </w:p>
    <w:bookmarkEnd w:id="170"/>
    <w:bookmarkStart w:id="171"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71"/>
    <w:bookmarkStart w:id="172"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72"/>
    <w:bookmarkStart w:id="173"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73"/>
    <w:bookmarkStart w:id="175" w:name="ref-SnyderEtAlLONGTERM2002"/>
    <w:p>
      <w:pPr>
        <w:pStyle w:val="Bibliography"/>
      </w:pPr>
      <w:r>
        <w:t xml:space="preserve">Snyder, R. L., M. Orang, and S. Matyac. 2002.</w:t>
      </w:r>
      <w:r>
        <w:t xml:space="preserve"> </w:t>
      </w:r>
      <w:r>
        <w:t xml:space="preserve">“A</w:t>
      </w:r>
      <w:r>
        <w:t xml:space="preserve"> </w:t>
      </w:r>
      <w:r>
        <w:t xml:space="preserve">LONG-TERM WATER USE PLANNING MODEL FOR CALIFORNIA</w:t>
      </w:r>
      <w:r>
        <w:t xml:space="preserve">.”</w:t>
      </w:r>
      <w:r>
        <w:t xml:space="preserve"> </w:t>
      </w:r>
      <w:r>
        <w:rPr>
          <w:i/>
          <w:iCs/>
        </w:rPr>
        <w:t xml:space="preserve">Acta Horticulturae</w:t>
      </w:r>
      <w:r>
        <w:t xml:space="preserve">, no. 584 (July): 115–21.</w:t>
      </w:r>
      <w:r>
        <w:t xml:space="preserve"> </w:t>
      </w:r>
      <w:hyperlink r:id="rId174">
        <w:r>
          <w:rPr>
            <w:rStyle w:val="Hyperlink"/>
          </w:rPr>
          <w:t xml:space="preserve">https://doi.org/10.17660/ActaHortic.2002.584.13</w:t>
        </w:r>
      </w:hyperlink>
      <w:r>
        <w:t xml:space="preserve">.</w:t>
      </w:r>
    </w:p>
    <w:bookmarkEnd w:id="175"/>
    <w:bookmarkStart w:id="176"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76"/>
    <w:bookmarkStart w:id="177"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77"/>
    <w:bookmarkStart w:id="178"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78"/>
    <w:bookmarkStart w:id="180" w:name="ref-SunEtAlNexus2018"/>
    <w:p>
      <w:pPr>
        <w:pStyle w:val="Bibliography"/>
      </w:pPr>
      <w:r>
        <w:t xml:space="preserve">Sun, Zan, Yi Zheng, Xi Li, Yong Tian, Feng Han, Ye Zhong, Jie Liu, and Chunmiao Zheng. 2018.</w:t>
      </w:r>
      <w:r>
        <w:t xml:space="preserve"> </w:t>
      </w:r>
      <w:r>
        <w:t xml:space="preserve">“The</w:t>
      </w:r>
      <w:r>
        <w:t xml:space="preserve"> </w:t>
      </w:r>
      <w:r>
        <w:t xml:space="preserve">Nexus</w:t>
      </w:r>
      <w:r>
        <w:t xml:space="preserve"> </w:t>
      </w:r>
      <w:r>
        <w:t xml:space="preserve">of</w:t>
      </w:r>
      <w:r>
        <w:t xml:space="preserve"> </w:t>
      </w:r>
      <w:r>
        <w:t xml:space="preserve">Water</w:t>
      </w:r>
      <w:r>
        <w:t xml:space="preserve">,</w:t>
      </w:r>
      <w:r>
        <w:t xml:space="preserve"> </w:t>
      </w:r>
      <w:r>
        <w:t xml:space="preserve">Ecosystems</w:t>
      </w:r>
      <w:r>
        <w:t xml:space="preserve">, and</w:t>
      </w:r>
      <w:r>
        <w:t xml:space="preserve"> </w:t>
      </w:r>
      <w:r>
        <w:t xml:space="preserve">Agriculture</w:t>
      </w:r>
      <w:r>
        <w:t xml:space="preserve"> </w:t>
      </w:r>
      <w:r>
        <w:t xml:space="preserve">in</w:t>
      </w:r>
      <w:r>
        <w:t xml:space="preserve"> </w:t>
      </w:r>
      <w:r>
        <w:t xml:space="preserve">Endorheic River Basins</w:t>
      </w:r>
      <w:r>
        <w:t xml:space="preserve">:</w:t>
      </w:r>
      <w:r>
        <w:t xml:space="preserve"> </w:t>
      </w:r>
      <w:r>
        <w:t xml:space="preserve">A System Analysis Based</w:t>
      </w:r>
      <w:r>
        <w:t xml:space="preserve"> </w:t>
      </w:r>
      <w:r>
        <w:t xml:space="preserve">on</w:t>
      </w:r>
      <w:r>
        <w:t xml:space="preserve"> </w:t>
      </w:r>
      <w:r>
        <w:t xml:space="preserve">Integrated Ecohydrological Modeling</w:t>
      </w:r>
      <w:r>
        <w:t xml:space="preserve">.”</w:t>
      </w:r>
      <w:r>
        <w:t xml:space="preserve"> </w:t>
      </w:r>
      <w:r>
        <w:rPr>
          <w:i/>
          <w:iCs/>
        </w:rPr>
        <w:t xml:space="preserve">Water Resources Research</w:t>
      </w:r>
      <w:r>
        <w:t xml:space="preserve"> </w:t>
      </w:r>
      <w:r>
        <w:t xml:space="preserve">54 (10): 7534–56.</w:t>
      </w:r>
      <w:r>
        <w:t xml:space="preserve"> </w:t>
      </w:r>
      <w:hyperlink r:id="rId179">
        <w:r>
          <w:rPr>
            <w:rStyle w:val="Hyperlink"/>
          </w:rPr>
          <w:t xml:space="preserve">https://doi.org/10.1029/2018WR023364</w:t>
        </w:r>
      </w:hyperlink>
      <w:r>
        <w:t xml:space="preserve">.</w:t>
      </w:r>
    </w:p>
    <w:bookmarkEnd w:id="180"/>
    <w:bookmarkStart w:id="182" w:name="ref-TharmeGlobal2003"/>
    <w:p>
      <w:pPr>
        <w:pStyle w:val="Bibliography"/>
      </w:pPr>
      <w:r>
        <w:t xml:space="preserve">Tharme, R. E. 2003.</w:t>
      </w:r>
      <w:r>
        <w:t xml:space="preserve"> </w:t>
      </w:r>
      <w:r>
        <w:t xml:space="preserve">“A Global Perspective on Environmental Flow Assessment:</w:t>
      </w:r>
      <w:r>
        <w:t xml:space="preserve"> </w:t>
      </w:r>
      <w:r>
        <w:t xml:space="preserve">Emerging</w:t>
      </w:r>
      <w:r>
        <w:t xml:space="preserve"> </w:t>
      </w:r>
      <w:r>
        <w:t xml:space="preserve">Trends in the Development and Application of Environmental Flow Methodologies for Rivers.”</w:t>
      </w:r>
      <w:r>
        <w:t xml:space="preserve"> </w:t>
      </w:r>
      <w:r>
        <w:rPr>
          <w:i/>
          <w:iCs/>
        </w:rPr>
        <w:t xml:space="preserve">River Research and Applications</w:t>
      </w:r>
      <w:r>
        <w:t xml:space="preserve"> </w:t>
      </w:r>
      <w:r>
        <w:t xml:space="preserve">19 (5-6): 397–441.</w:t>
      </w:r>
      <w:r>
        <w:t xml:space="preserve"> </w:t>
      </w:r>
      <w:hyperlink r:id="rId181">
        <w:r>
          <w:rPr>
            <w:rStyle w:val="Hyperlink"/>
          </w:rPr>
          <w:t xml:space="preserve">https://doi.org/10.1002/rra.736</w:t>
        </w:r>
      </w:hyperlink>
      <w:r>
        <w:t xml:space="preserve">.</w:t>
      </w:r>
    </w:p>
    <w:bookmarkEnd w:id="182"/>
    <w:bookmarkStart w:id="184"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83">
        <w:r>
          <w:rPr>
            <w:rStyle w:val="Hyperlink"/>
          </w:rPr>
          <w:t xml:space="preserve">https://doi.org/10.1029/2018WR024209</w:t>
        </w:r>
      </w:hyperlink>
      <w:r>
        <w:t xml:space="preserve">.</w:t>
      </w:r>
    </w:p>
    <w:bookmarkEnd w:id="184"/>
    <w:bookmarkStart w:id="186" w:name="ref-WangCooperative2014"/>
    <w:p>
      <w:pPr>
        <w:pStyle w:val="Bibliography"/>
      </w:pPr>
      <w:r>
        <w:t xml:space="preserve">Wang, Sun Ling. 2014.</w:t>
      </w:r>
      <w:r>
        <w:t xml:space="preserve"> </w:t>
      </w:r>
      <w:r>
        <w:t xml:space="preserve">“Cooperative</w:t>
      </w:r>
      <w:r>
        <w:t xml:space="preserve"> </w:t>
      </w:r>
      <w:r>
        <w:t xml:space="preserve">Extension System</w:t>
      </w:r>
      <w:r>
        <w:t xml:space="preserve">:</w:t>
      </w:r>
      <w:r>
        <w:t xml:space="preserve"> </w:t>
      </w:r>
      <w:r>
        <w:t xml:space="preserve">Trends</w:t>
      </w:r>
      <w:r>
        <w:t xml:space="preserve"> </w:t>
      </w:r>
      <w:r>
        <w:t xml:space="preserve">and</w:t>
      </w:r>
      <w:r>
        <w:t xml:space="preserve"> </w:t>
      </w:r>
      <w:r>
        <w:t xml:space="preserve">Economic Impacts</w:t>
      </w:r>
      <w:r>
        <w:t xml:space="preserve"> </w:t>
      </w:r>
      <w:r>
        <w:t xml:space="preserve">on</w:t>
      </w:r>
      <w:r>
        <w:t xml:space="preserve"> </w:t>
      </w:r>
      <w:r>
        <w:t xml:space="preserve">U</w:t>
      </w:r>
      <w:r>
        <w:t xml:space="preserve">.</w:t>
      </w:r>
      <w:r>
        <w:t xml:space="preserve">S</w:t>
      </w:r>
      <w:r>
        <w:t xml:space="preserve">.</w:t>
      </w:r>
      <w:r>
        <w:t xml:space="preserve"> </w:t>
      </w:r>
      <w:r>
        <w:t xml:space="preserve">Agriculture</w:t>
      </w:r>
      <w:r>
        <w:t xml:space="preserve">.”</w:t>
      </w:r>
      <w:r>
        <w:t xml:space="preserve"> </w:t>
      </w:r>
      <w:r>
        <w:rPr>
          <w:i/>
          <w:iCs/>
        </w:rPr>
        <w:t xml:space="preserve">Choices</w:t>
      </w:r>
      <w:r>
        <w:t xml:space="preserve"> </w:t>
      </w:r>
      <w:r>
        <w:t xml:space="preserve">29 (1): 1–8.</w:t>
      </w:r>
      <w:r>
        <w:t xml:space="preserve"> </w:t>
      </w:r>
      <w:hyperlink r:id="rId185">
        <w:r>
          <w:rPr>
            <w:rStyle w:val="Hyperlink"/>
          </w:rPr>
          <w:t xml:space="preserve">https://www.jstor.org/stable/10.2307/choices.29.1.15</w:t>
        </w:r>
      </w:hyperlink>
      <w:r>
        <w:t xml:space="preserve">.</w:t>
      </w:r>
    </w:p>
    <w:bookmarkEnd w:id="186"/>
    <w:bookmarkStart w:id="188" w:name="ref-WilliamsEtAlLarge2020"/>
    <w:p>
      <w:pPr>
        <w:pStyle w:val="Bibliography"/>
      </w:pPr>
      <w:r>
        <w:t xml:space="preserve">Williams, A. Park, Edward R. Cook, Jason E. Smerdon, Benjamin I. Cook, John T. Abatzoglou, Kasey Bolles, Seung H. Baek, Andrew M. Badger, and Ben Livneh. 2020.</w:t>
      </w:r>
      <w:r>
        <w:t xml:space="preserve"> </w:t>
      </w:r>
      <w:r>
        <w:t xml:space="preserve">“Large Contribution from Anthropogenic Warming to an Emerging</w:t>
      </w:r>
      <w:r>
        <w:t xml:space="preserve"> </w:t>
      </w:r>
      <w:r>
        <w:t xml:space="preserve">North American</w:t>
      </w:r>
      <w:r>
        <w:t xml:space="preserve"> </w:t>
      </w:r>
      <w:r>
        <w:t xml:space="preserve">Megadrought.”</w:t>
      </w:r>
      <w:r>
        <w:t xml:space="preserve"> </w:t>
      </w:r>
      <w:r>
        <w:rPr>
          <w:i/>
          <w:iCs/>
        </w:rPr>
        <w:t xml:space="preserve">Science</w:t>
      </w:r>
      <w:r>
        <w:t xml:space="preserve"> </w:t>
      </w:r>
      <w:r>
        <w:t xml:space="preserve">368 (6488): 314–18.</w:t>
      </w:r>
      <w:r>
        <w:t xml:space="preserve"> </w:t>
      </w:r>
      <w:hyperlink r:id="rId187">
        <w:r>
          <w:rPr>
            <w:rStyle w:val="Hyperlink"/>
          </w:rPr>
          <w:t xml:space="preserve">https://doi.org/10.1126/science.aaz9600</w:t>
        </w:r>
      </w:hyperlink>
      <w:r>
        <w:t xml:space="preserve">.</w:t>
      </w:r>
    </w:p>
    <w:bookmarkEnd w:id="188"/>
    <w:bookmarkStart w:id="190" w:name="ref-WuEtAlOptimizing2015"/>
    <w:p>
      <w:pPr>
        <w:pStyle w:val="Bibliography"/>
      </w:pPr>
      <w:r>
        <w:t xml:space="preserve">Wu, Bin, Yi Zheng, Xin Wu, Yong Tian, Feng Han, Jie Liu, and Chunmiao Zheng. 2015.</w:t>
      </w:r>
      <w:r>
        <w:t xml:space="preserve"> </w:t>
      </w:r>
      <w:r>
        <w:t xml:space="preserve">“Optimizing Water Resources Management in Large River Basins with Integrated Surface Water-Groundwater Modeling:</w:t>
      </w:r>
      <w:r>
        <w:t xml:space="preserve"> </w:t>
      </w:r>
      <w:r>
        <w:t xml:space="preserve">A</w:t>
      </w:r>
      <w:r>
        <w:t xml:space="preserve"> </w:t>
      </w:r>
      <w:r>
        <w:t xml:space="preserve">Surrogate-Based Approach.”</w:t>
      </w:r>
      <w:r>
        <w:t xml:space="preserve"> </w:t>
      </w:r>
      <w:r>
        <w:rPr>
          <w:i/>
          <w:iCs/>
        </w:rPr>
        <w:t xml:space="preserve">Water Resources Research</w:t>
      </w:r>
      <w:r>
        <w:t xml:space="preserve"> </w:t>
      </w:r>
      <w:r>
        <w:t xml:space="preserve">51 (4): 2153–73.</w:t>
      </w:r>
      <w:r>
        <w:t xml:space="preserve"> </w:t>
      </w:r>
      <w:hyperlink r:id="rId189">
        <w:r>
          <w:rPr>
            <w:rStyle w:val="Hyperlink"/>
          </w:rPr>
          <w:t xml:space="preserve">https://doi.org/10.1002/2014WR016653</w:t>
        </w:r>
      </w:hyperlink>
      <w:r>
        <w:t xml:space="preserve">.</w:t>
      </w:r>
    </w:p>
    <w:bookmarkEnd w:id="190"/>
    <w:bookmarkStart w:id="192"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91">
        <w:r>
          <w:rPr>
            <w:rStyle w:val="Hyperlink"/>
          </w:rPr>
          <w:t xml:space="preserve">https://doi.org/10.1093/biosci/biv102</w:t>
        </w:r>
      </w:hyperlink>
      <w:r>
        <w:t xml:space="preserve">.</w:t>
      </w:r>
    </w:p>
    <w:bookmarkEnd w:id="192"/>
    <w:bookmarkStart w:id="194"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93">
        <w:r>
          <w:rPr>
            <w:rStyle w:val="Hyperlink"/>
          </w:rPr>
          <w:t xml:space="preserve">https://doi.org/10.1029/WR018i005p01326</w:t>
        </w:r>
      </w:hyperlink>
      <w:r>
        <w:t xml:space="preserve">.</w:t>
      </w:r>
    </w:p>
    <w:bookmarkEnd w:id="194"/>
    <w:bookmarkStart w:id="195"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95"/>
    <w:bookmarkEnd w:id="196"/>
    <w:p>
      <w:r>
        <w:br w:type="page"/>
      </w:r>
    </w:p>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7" Target="media/rId77.jpg" /><Relationship Type="http://schemas.openxmlformats.org/officeDocument/2006/relationships/hyperlink" Id="rId189" Target="https://doi.org/10.1002/2014WR016653" TargetMode="External" /><Relationship Type="http://schemas.openxmlformats.org/officeDocument/2006/relationships/hyperlink" Id="rId96" Target="https://doi.org/10.1002/2015WR017114" TargetMode="External" /><Relationship Type="http://schemas.openxmlformats.org/officeDocument/2006/relationships/hyperlink" Id="rId92" Target="https://doi.org/10.1002/eap.3013" TargetMode="External" /><Relationship Type="http://schemas.openxmlformats.org/officeDocument/2006/relationships/hyperlink" Id="rId134" Target="https://doi.org/10.1002/eco.70098" TargetMode="External" /><Relationship Type="http://schemas.openxmlformats.org/officeDocument/2006/relationships/hyperlink" Id="rId181" Target="https://doi.org/10.1002/rra.736" TargetMode="External" /><Relationship Type="http://schemas.openxmlformats.org/officeDocument/2006/relationships/hyperlink" Id="rId146" Target="https://doi.org/10.1007/BF03161678" TargetMode="External" /><Relationship Type="http://schemas.openxmlformats.org/officeDocument/2006/relationships/hyperlink" Id="rId154" Target="https://doi.org/10.1016/j.envsci.2016.05.006" TargetMode="External" /><Relationship Type="http://schemas.openxmlformats.org/officeDocument/2006/relationships/hyperlink" Id="rId158" Target="https://doi.org/10.1016/j.jhydrol.2020.124787" TargetMode="External" /><Relationship Type="http://schemas.openxmlformats.org/officeDocument/2006/relationships/hyperlink" Id="rId129" Target="https://doi.org/10.1029/2004WR003787" TargetMode="External" /><Relationship Type="http://schemas.openxmlformats.org/officeDocument/2006/relationships/hyperlink" Id="rId179" Target="https://doi.org/10.1029/2018WR023364" TargetMode="External" /><Relationship Type="http://schemas.openxmlformats.org/officeDocument/2006/relationships/hyperlink" Id="rId114" Target="https://doi.org/10.1029/2018WR023901" TargetMode="External" /><Relationship Type="http://schemas.openxmlformats.org/officeDocument/2006/relationships/hyperlink" Id="rId183" Target="https://doi.org/10.1029/2018WR024209" TargetMode="External" /><Relationship Type="http://schemas.openxmlformats.org/officeDocument/2006/relationships/hyperlink" Id="rId110" Target="https://doi.org/10.1029/WR009i004p00826" TargetMode="External" /><Relationship Type="http://schemas.openxmlformats.org/officeDocument/2006/relationships/hyperlink" Id="rId151" Target="https://doi.org/10.1029/WR009i004p00837" TargetMode="External" /><Relationship Type="http://schemas.openxmlformats.org/officeDocument/2006/relationships/hyperlink" Id="rId112" Target="https://doi.org/10.1029/WR011i002p00208" TargetMode="External" /><Relationship Type="http://schemas.openxmlformats.org/officeDocument/2006/relationships/hyperlink" Id="rId193" Target="https://doi.org/10.1029/WR018i005p01326" TargetMode="External" /><Relationship Type="http://schemas.openxmlformats.org/officeDocument/2006/relationships/hyperlink" Id="rId122" Target="https://doi.org/10.1029/WR019i002p00305" TargetMode="External" /><Relationship Type="http://schemas.openxmlformats.org/officeDocument/2006/relationships/hyperlink" Id="rId167" Target="https://doi.org/10.1029/WR022i09Sp0146S" TargetMode="External" /><Relationship Type="http://schemas.openxmlformats.org/officeDocument/2006/relationships/hyperlink" Id="rId165" Target="https://doi.org/10.1038/s41586-018-0123-1" TargetMode="External" /><Relationship Type="http://schemas.openxmlformats.org/officeDocument/2006/relationships/hyperlink" Id="rId163" Target="https://doi.org/10.1046/j.1523-1739.1996.10041163.x" TargetMode="External" /><Relationship Type="http://schemas.openxmlformats.org/officeDocument/2006/relationships/hyperlink" Id="rId105" Target="https://doi.org/10.1061/(ASCE)0733-9496(1996)122:5(356)" TargetMode="External" /><Relationship Type="http://schemas.openxmlformats.org/officeDocument/2006/relationships/hyperlink" Id="rId136" Target="https://doi.org/10.1061/(ASCE)0733-9496(2004)130:2(93)" TargetMode="External" /><Relationship Type="http://schemas.openxmlformats.org/officeDocument/2006/relationships/hyperlink" Id="rId191" Target="https://doi.org/10.1093/biosci/biv102" TargetMode="External" /><Relationship Type="http://schemas.openxmlformats.org/officeDocument/2006/relationships/hyperlink" Id="rId120" Target="https://doi.org/10.1111/j.1752-1688.2000.tb04280.x" TargetMode="External" /><Relationship Type="http://schemas.openxmlformats.org/officeDocument/2006/relationships/hyperlink" Id="rId116" Target="https://doi.org/10.1126/science.1091015" TargetMode="External" /><Relationship Type="http://schemas.openxmlformats.org/officeDocument/2006/relationships/hyperlink" Id="rId187" Target="https://doi.org/10.1126/science.aaz9600" TargetMode="External" /><Relationship Type="http://schemas.openxmlformats.org/officeDocument/2006/relationships/hyperlink" Id="rId169" Target="https://doi.org/10.1371/journal.pcbi.1008879" TargetMode="External" /><Relationship Type="http://schemas.openxmlformats.org/officeDocument/2006/relationships/hyperlink" Id="rId98" Target="https://doi.org/10.1577/1548-8675(1994)014&lt;0237:HDACSO&gt;2.3.CO;2" TargetMode="External" /><Relationship Type="http://schemas.openxmlformats.org/officeDocument/2006/relationships/hyperlink" Id="rId127" Target="https://doi.org/10.1577/1548-8675(2003)023&lt;0001:DOFPFF&gt;2.0.CO;2" TargetMode="External" /><Relationship Type="http://schemas.openxmlformats.org/officeDocument/2006/relationships/hyperlink" Id="rId174" Target="https://doi.org/10.17660/ActaHortic.2002.584.13" TargetMode="External" /><Relationship Type="http://schemas.openxmlformats.org/officeDocument/2006/relationships/hyperlink" Id="rId108" Target="https://doi.org/10.2135/cropsci1983.0011183X002300040016x" TargetMode="External" /><Relationship Type="http://schemas.openxmlformats.org/officeDocument/2006/relationships/hyperlink" Id="rId149" Target="https://doi.org/10.2307/1312122" TargetMode="External" /><Relationship Type="http://schemas.openxmlformats.org/officeDocument/2006/relationships/hyperlink" Id="rId160" Target="https://doi.org/10.2307/1313099" TargetMode="External" /><Relationship Type="http://schemas.openxmlformats.org/officeDocument/2006/relationships/hyperlink" Id="rId140" Target="https://doi.org/10.3133/wsp1462" TargetMode="External" /><Relationship Type="http://schemas.openxmlformats.org/officeDocument/2006/relationships/hyperlink" Id="rId94" Target="https://doi.org/10.3389/fclim.2021.719150" TargetMode="External" /><Relationship Type="http://schemas.openxmlformats.org/officeDocument/2006/relationships/hyperlink" Id="rId131" Target="https://doi.org/10.3390/su11184899" TargetMode="External" /><Relationship Type="http://schemas.openxmlformats.org/officeDocument/2006/relationships/hyperlink" Id="rId138" Target="https://doi.org/10.4159/harvard.9780674421042.intro" TargetMode="External" /><Relationship Type="http://schemas.openxmlformats.org/officeDocument/2006/relationships/hyperlink" Id="rId125" Target="https://www.jstor.org/stable/10.2307/48583528" TargetMode="External" /><Relationship Type="http://schemas.openxmlformats.org/officeDocument/2006/relationships/hyperlink" Id="rId185" Target="https://www.jstor.org/stable/10.2307/choices.29.1.15"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2/2014WR016653" TargetMode="External" /><Relationship Type="http://schemas.openxmlformats.org/officeDocument/2006/relationships/hyperlink" Id="rId96" Target="https://doi.org/10.1002/2015WR017114" TargetMode="External" /><Relationship Type="http://schemas.openxmlformats.org/officeDocument/2006/relationships/hyperlink" Id="rId92" Target="https://doi.org/10.1002/eap.3013" TargetMode="External" /><Relationship Type="http://schemas.openxmlformats.org/officeDocument/2006/relationships/hyperlink" Id="rId134" Target="https://doi.org/10.1002/eco.70098" TargetMode="External" /><Relationship Type="http://schemas.openxmlformats.org/officeDocument/2006/relationships/hyperlink" Id="rId181" Target="https://doi.org/10.1002/rra.736" TargetMode="External" /><Relationship Type="http://schemas.openxmlformats.org/officeDocument/2006/relationships/hyperlink" Id="rId146" Target="https://doi.org/10.1007/BF03161678" TargetMode="External" /><Relationship Type="http://schemas.openxmlformats.org/officeDocument/2006/relationships/hyperlink" Id="rId154" Target="https://doi.org/10.1016/j.envsci.2016.05.006" TargetMode="External" /><Relationship Type="http://schemas.openxmlformats.org/officeDocument/2006/relationships/hyperlink" Id="rId158" Target="https://doi.org/10.1016/j.jhydrol.2020.124787" TargetMode="External" /><Relationship Type="http://schemas.openxmlformats.org/officeDocument/2006/relationships/hyperlink" Id="rId129" Target="https://doi.org/10.1029/2004WR003787" TargetMode="External" /><Relationship Type="http://schemas.openxmlformats.org/officeDocument/2006/relationships/hyperlink" Id="rId179" Target="https://doi.org/10.1029/2018WR023364" TargetMode="External" /><Relationship Type="http://schemas.openxmlformats.org/officeDocument/2006/relationships/hyperlink" Id="rId114" Target="https://doi.org/10.1029/2018WR023901" TargetMode="External" /><Relationship Type="http://schemas.openxmlformats.org/officeDocument/2006/relationships/hyperlink" Id="rId183" Target="https://doi.org/10.1029/2018WR024209" TargetMode="External" /><Relationship Type="http://schemas.openxmlformats.org/officeDocument/2006/relationships/hyperlink" Id="rId110" Target="https://doi.org/10.1029/WR009i004p00826" TargetMode="External" /><Relationship Type="http://schemas.openxmlformats.org/officeDocument/2006/relationships/hyperlink" Id="rId151" Target="https://doi.org/10.1029/WR009i004p00837" TargetMode="External" /><Relationship Type="http://schemas.openxmlformats.org/officeDocument/2006/relationships/hyperlink" Id="rId112" Target="https://doi.org/10.1029/WR011i002p00208" TargetMode="External" /><Relationship Type="http://schemas.openxmlformats.org/officeDocument/2006/relationships/hyperlink" Id="rId193" Target="https://doi.org/10.1029/WR018i005p01326" TargetMode="External" /><Relationship Type="http://schemas.openxmlformats.org/officeDocument/2006/relationships/hyperlink" Id="rId122" Target="https://doi.org/10.1029/WR019i002p00305" TargetMode="External" /><Relationship Type="http://schemas.openxmlformats.org/officeDocument/2006/relationships/hyperlink" Id="rId167" Target="https://doi.org/10.1029/WR022i09Sp0146S" TargetMode="External" /><Relationship Type="http://schemas.openxmlformats.org/officeDocument/2006/relationships/hyperlink" Id="rId165" Target="https://doi.org/10.1038/s41586-018-0123-1" TargetMode="External" /><Relationship Type="http://schemas.openxmlformats.org/officeDocument/2006/relationships/hyperlink" Id="rId163" Target="https://doi.org/10.1046/j.1523-1739.1996.10041163.x" TargetMode="External" /><Relationship Type="http://schemas.openxmlformats.org/officeDocument/2006/relationships/hyperlink" Id="rId105" Target="https://doi.org/10.1061/(ASCE)0733-9496(1996)122:5(356)" TargetMode="External" /><Relationship Type="http://schemas.openxmlformats.org/officeDocument/2006/relationships/hyperlink" Id="rId136" Target="https://doi.org/10.1061/(ASCE)0733-9496(2004)130:2(93)" TargetMode="External" /><Relationship Type="http://schemas.openxmlformats.org/officeDocument/2006/relationships/hyperlink" Id="rId191" Target="https://doi.org/10.1093/biosci/biv102" TargetMode="External" /><Relationship Type="http://schemas.openxmlformats.org/officeDocument/2006/relationships/hyperlink" Id="rId120" Target="https://doi.org/10.1111/j.1752-1688.2000.tb04280.x" TargetMode="External" /><Relationship Type="http://schemas.openxmlformats.org/officeDocument/2006/relationships/hyperlink" Id="rId116" Target="https://doi.org/10.1126/science.1091015" TargetMode="External" /><Relationship Type="http://schemas.openxmlformats.org/officeDocument/2006/relationships/hyperlink" Id="rId187" Target="https://doi.org/10.1126/science.aaz9600" TargetMode="External" /><Relationship Type="http://schemas.openxmlformats.org/officeDocument/2006/relationships/hyperlink" Id="rId169" Target="https://doi.org/10.1371/journal.pcbi.1008879" TargetMode="External" /><Relationship Type="http://schemas.openxmlformats.org/officeDocument/2006/relationships/hyperlink" Id="rId98" Target="https://doi.org/10.1577/1548-8675(1994)014&lt;0237:HDACSO&gt;2.3.CO;2" TargetMode="External" /><Relationship Type="http://schemas.openxmlformats.org/officeDocument/2006/relationships/hyperlink" Id="rId127" Target="https://doi.org/10.1577/1548-8675(2003)023&lt;0001:DOFPFF&gt;2.0.CO;2" TargetMode="External" /><Relationship Type="http://schemas.openxmlformats.org/officeDocument/2006/relationships/hyperlink" Id="rId174" Target="https://doi.org/10.17660/ActaHortic.2002.584.13" TargetMode="External" /><Relationship Type="http://schemas.openxmlformats.org/officeDocument/2006/relationships/hyperlink" Id="rId108" Target="https://doi.org/10.2135/cropsci1983.0011183X002300040016x" TargetMode="External" /><Relationship Type="http://schemas.openxmlformats.org/officeDocument/2006/relationships/hyperlink" Id="rId149" Target="https://doi.org/10.2307/1312122" TargetMode="External" /><Relationship Type="http://schemas.openxmlformats.org/officeDocument/2006/relationships/hyperlink" Id="rId160" Target="https://doi.org/10.2307/1313099" TargetMode="External" /><Relationship Type="http://schemas.openxmlformats.org/officeDocument/2006/relationships/hyperlink" Id="rId140" Target="https://doi.org/10.3133/wsp1462" TargetMode="External" /><Relationship Type="http://schemas.openxmlformats.org/officeDocument/2006/relationships/hyperlink" Id="rId94" Target="https://doi.org/10.3389/fclim.2021.719150" TargetMode="External" /><Relationship Type="http://schemas.openxmlformats.org/officeDocument/2006/relationships/hyperlink" Id="rId131" Target="https://doi.org/10.3390/su11184899" TargetMode="External" /><Relationship Type="http://schemas.openxmlformats.org/officeDocument/2006/relationships/hyperlink" Id="rId138" Target="https://doi.org/10.4159/harvard.9780674421042.intro" TargetMode="External" /><Relationship Type="http://schemas.openxmlformats.org/officeDocument/2006/relationships/hyperlink" Id="rId125" Target="https://www.jstor.org/stable/10.2307/48583528" TargetMode="External" /><Relationship Type="http://schemas.openxmlformats.org/officeDocument/2006/relationships/hyperlink" Id="rId185" Target="https://www.jstor.org/stable/10.2307/choices.29.1.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stakeholder-driven scenario design and objective functions clarify trade-offs in an active local water planning process, Northern California</dc:title>
  <dc:creator>Claire Kouba, Leland Scantlebury, Thomas Harter</dc:creator>
  <cp:keywords/>
  <dcterms:created xsi:type="dcterms:W3CDTF">2026-06-09T17:21:19Z</dcterms:created>
  <dcterms:modified xsi:type="dcterms:W3CDTF">2026-06-09T17:21:19Z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2026-05-12</vt:lpwstr>
  </property>
  <property fmtid="{D5CDD505-2E9C-101B-9397-08002B2CF9AE}" pid="4" name="output">
    <vt:lpwstr/>
  </property>
</Properties>
</file>