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3.png" ContentType="image/png"/>
  <Override PartName="/word/media/rId37.png" ContentType="image/png"/>
  <Override PartName="/word/media/rId58.png" ContentType="image/png"/>
  <Override PartName="/word/media/rId62.png" ContentType="image/png"/>
  <Override PartName="/word/media/rId68.png" ContentType="image/png"/>
  <Override PartName="/word/media/rId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Multi-objective assessment of stakeholder-defined portfolio of management options clarifies trade-offs in an active local water planning process</w:t>
      </w:r>
    </w:p>
    <w:p>
      <w:pPr>
        <w:pStyle w:val="Author"/>
      </w:pPr>
      <w:r>
        <w:t xml:space="preserve">Claire Kouba</w:t>
      </w:r>
    </w:p>
    <w:p>
      <w:pPr>
        <w:pStyle w:val="Date"/>
      </w:pPr>
      <w:r>
        <w:t xml:space="preserve">2025-11-12</w:t>
      </w:r>
    </w:p>
    <w:bookmarkStart w:id="20" w:name="abstract"/>
    <w:p>
      <w:pPr>
        <w:pStyle w:val="Heading1"/>
      </w:pPr>
      <w:r>
        <w:t xml:space="preserve">Abstract</w:t>
      </w:r>
    </w:p>
    <w:p>
      <w:pPr>
        <w:pStyle w:val="FirstParagraph"/>
      </w:pPr>
      <w:r>
        <w:t xml:space="preserve">In the rural American West, water needs of agriculture and ecosystems are often in competition. Furthermore, in places with interconnected surface- and groundwater systems, stream-aquifer exchange increases the difficulty of tracking impacts of diverse water users on each other and on the system as a whole. Hydrologic models can estimate the impacts of water uses and management actions on groundwater elevation and streamflow, but may provide overwhelming amounts of information and/or may be challenging for stakeholders to interpret. In this study, we address these challenges and aim to increase utility of hydrologic model results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w:t>
      </w:r>
      <w:r>
        <w:t xml:space="preserve"> </w:t>
      </w:r>
      <w:r>
        <w:rPr>
          <w:b/>
          <w:bCs/>
        </w:rPr>
        <w:t xml:space="preserve">40</w:t>
      </w:r>
      <w:r>
        <w:t xml:space="preserve"> </w:t>
      </w:r>
      <w:r>
        <w:t xml:space="preserve">management scenarios developed for the GSP, which were simulated using an existing integrated surface- and groundwater model. 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 Finally, regarding regulatory actions, management interventions targeted at low-flow periods produced a more efficient gain in environmental flow value per cost in agricultural productivity. This work demonstrates that basin-specific, stakeholder-informed objective functions can increase stakeholder-salience of existing hydrologic model results, and can help clarify trade-offs in ongoing local water planning efforts.</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Climate adaptation in the water sector, in its many facets - e.g., securing water and food supplies, updating infrastructure to reduce flood and drought risk, and preserving ecosystem function - is often most effective when implemented at the local level</w:t>
      </w:r>
      <w:r>
        <w:t xml:space="preserve"> </w:t>
      </w:r>
      <w:r>
        <w:t xml:space="preserve">(e.g., Van Steenbergen 2006)</w:t>
      </w:r>
      <w:r>
        <w:t xml:space="preserve">. However, local water managers face a complex regulatory landscape and serve diverse stakeholders, and typically have unmet knowledge needs</w:t>
      </w:r>
      <w:r>
        <w:t xml:space="preserve"> </w:t>
      </w:r>
      <w:r>
        <w:t xml:space="preserve">(Bork and Hirokawa 2021; Nordgren, Stults, and Meerow 2016)</w:t>
      </w:r>
      <w:r>
        <w:t xml:space="preserve">. Academic hydrologists have many tools to fill such knowledge gaps; however, when seeking broadly-relevant findings, they commonly avoid time-consuming engagement with specific local water organizations, which can reduce the utility of the resulting research to the relevant decisionmakers</w:t>
      </w:r>
      <w:r>
        <w:t xml:space="preserve"> </w:t>
      </w:r>
      <w:r>
        <w:t xml:space="preserve">(Freeman 2000)</w:t>
      </w:r>
      <w:r>
        <w:t xml:space="preserve">. In this study, we take advantage of the authors’ involvement with an existing water resource planning process, and a previously-developed integrated surface- and groundwater model, to test the utility of introducing quantitative objective functions into the public prioritization of groundwater management alternatives in a case study jurisdiction.</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often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2021 GSP) and potentially new insights about the holistic management option landscape.</w:t>
      </w:r>
      <w:r>
        <w:t xml:space="preserve"> </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5" w:name="Xde4259dbdabf52cfea1337f1fb7d346fb9d28b1"/>
    <w:p>
      <w:pPr>
        <w:pStyle w:val="Heading1"/>
      </w:pPr>
      <w:r>
        <w:rPr>
          <w:rStyle w:val="SectionNumber"/>
        </w:rPr>
        <w:t xml:space="preserve">2</w:t>
      </w:r>
      <w:r>
        <w:tab/>
      </w:r>
      <w:r>
        <w:t xml:space="preserve">Methods: Case study, GSP development and hydrologic model</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with forested uplands and a largely agricultural valley floor (Figure</w:t>
      </w:r>
      <w:r>
        <w:t xml:space="preserve"> </w:t>
      </w:r>
      <w:r>
        <w:t xml:space="preserve">1</w:t>
      </w:r>
      <w:r>
        <w:t xml:space="preserve">) overlying an alluvial aquifer up to 79 m (260 ft) thick</w:t>
      </w:r>
      <w:r>
        <w:t xml:space="preserve"> </w:t>
      </w:r>
      <w:r>
        <w:t xml:space="preserve">(SWRCB 1975; Mack 1958)</w:t>
      </w:r>
      <w:r>
        <w:t xml:space="preserve">. A key stream gauge (USGS Station ID 11519500, or the Fort Jones Gauge or FJ Gauge) is located downstream of the watershed’s cultivated areas (Figure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Winter storms (October-April) and melting mountain snowpack (April-July) generate streamflow during the wet and growing seasons. As a result, the Scott River and tributary streams experience seasonal high and low flows (Figure</w:t>
      </w:r>
      <w:r>
        <w:t xml:space="preserve"> </w:t>
      </w:r>
      <w:r>
        <w:t xml:space="preserve">2</w:t>
      </w:r>
      <w:r>
        <w:t xml:space="preserve">, panel C).</w:t>
      </w:r>
    </w:p>
    <w:p>
      <w:pPr>
        <w:pStyle w:val="BodyText"/>
      </w:pPr>
      <w:r>
        <w:t xml:space="preserve">Streams and groundwater are highly interconnected in the Scott River watershed</w:t>
      </w:r>
      <w:r>
        <w:t xml:space="preserve"> </w:t>
      </w:r>
      <w:r>
        <w:t xml:space="preserve">(Tolley, Foglia, and Harter 2019)</w:t>
      </w:r>
      <w:r>
        <w:t xml:space="preserve">.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On the valley floor, according to land use surveys conducted by the California Department of Water Resources</w:t>
      </w:r>
      <w:r>
        <w:t xml:space="preserve"> </w:t>
      </w:r>
      <w:r>
        <w:t xml:space="preserve">(DWR 2017)</w:t>
      </w:r>
      <w:r>
        <w:t xml:space="preserve">, half of the area overlying the alluvial aquifer is covered by irrigated agriculture, notably pasture for cattle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However, during recent declarations of emergency drought conditions, water use has been temporarily curtailed to preserve flows for aquatic species</w:t>
      </w:r>
      <w:r>
        <w:t xml:space="preserve"> </w:t>
      </w:r>
      <w:r>
        <w:t xml:space="preserve">(SWRCB 2021;</w:t>
      </w:r>
      <w:r>
        <w:t xml:space="preserve"> </w:t>
      </w: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2024; STATE WATER RESOURCES CONTROL BOARD 2024)</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varying by season, are necessary to the survival of vulnerable species in the Scott River watershed</w:t>
      </w:r>
      <w:r>
        <w:t xml:space="preserve"> </w:t>
      </w:r>
      <w:r>
        <w:t xml:space="preserve">(Scott River Watershed Council 2018)</w:t>
      </w:r>
      <w:r>
        <w:t xml:space="preserve">.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occur early enough to provide adult fall-run spawners access to preferred spawning reaches;</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Different functional flows are needed by other fish, such as Chinook</w:t>
      </w:r>
      <w:r>
        <w:t xml:space="preserve"> </w:t>
      </w:r>
      <w:r>
        <w:t xml:space="preserve">(Kouba et al. 2025)</w:t>
      </w:r>
      <w:r>
        <w:t xml:space="preserve">; as well other species, such as cottonwood trees, which require flood-stage flows to disperse their seeds</w:t>
      </w:r>
      <w:r>
        <w:t xml:space="preserve"> </w:t>
      </w:r>
      <w:r>
        <w:t xml:space="preserve">(Mahoney and Rood 1998)</w:t>
      </w:r>
      <w:r>
        <w:t xml:space="preserve">; but in this work we focus on coho salmon as a straightforward example in developing an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 simulated for a historical model period of Oct. 1, 1990 to Sept. 30, 2025, using the calibrated Scott Valley Integrated Hydrologic Model (SVIHM)</w:t>
      </w:r>
      <w:r>
        <w:t xml:space="preserve"> </w:t>
      </w:r>
      <w:r>
        <w:t xml:space="preserve">(Harter and Hines 2008; Foglia et al. 2013; Tolley, Foglia, and Harter 2019)</w:t>
      </w:r>
      <w:r>
        <w:t xml:space="preserve">. Water demand for crops and native vegetation (evapotranspiration, or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Annual crop ET and irrigation demand is relatively stable year to year while precipitation, and thus recharge to groundwater, are more variable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deciding the amount of (estimated) streamflow depletion that the GSA should aim to reverse, accounting for environmental water demand and what degree of water security was owed to local agriculture.</w:t>
      </w:r>
    </w:p>
    <w:p>
      <w:pPr>
        <w:pStyle w:val="BodyText"/>
      </w:pPr>
      <w:r>
        <w:t xml:space="preserve">During GSP development, 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w:t>
      </w:r>
    </w:p>
    <w:bookmarkEnd w:id="43"/>
    <w:bookmarkStart w:id="44" w:name="hydrologic-model-summary"/>
    <w:p>
      <w:pPr>
        <w:pStyle w:val="Heading2"/>
      </w:pPr>
      <w:r>
        <w:rPr>
          <w:rStyle w:val="SectionNumber"/>
        </w:rPr>
        <w:t xml:space="preserve">2.4</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inputs, and reference evapotranspiration (ET</w:t>
      </w:r>
      <w:r>
        <w:rPr>
          <w:vertAlign w:val="subscript"/>
        </w:rPr>
        <w:t xml:space="preserve">0</w:t>
      </w:r>
      <w:r>
        <w:t xml:space="preserve">). Like all models, it does not perfectly reproduce observed historical measurements,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r>
        <w:t xml:space="preserve"> </w:t>
      </w:r>
      <w:r>
        <w:rPr>
          <w:b/>
          <w:bCs/>
        </w:rPr>
        <w:t xml:space="preserve">Add text re: Leland’s updates to SVIHM? Bah, should I rerun everything using the latest model version?</w:t>
      </w:r>
    </w:p>
    <w:p>
      <w:pPr>
        <w:pStyle w:val="BodyText"/>
      </w:pPr>
      <w:r>
        <w:t xml:space="preserve">For GSP development, SVIHM was used extensively to perform what-if scenarios using the historic climate and land use forcing period, covering 1991-2018. (For purposes of this study, the model period has been extended through Sept. 30, 2025.) Scenario simulations repeat the calibrated historical basecase simulation of SVIHM while varying specific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2"/>
        </w:numPr>
      </w:pPr>
      <w:r>
        <w:t xml:space="preserve">A prediction of Scott River daily average flow at the Fort Jones Gauge, which is co-located with the surface water outlet of the model domain; and</w:t>
      </w:r>
    </w:p>
    <w:p>
      <w:pPr>
        <w:pStyle w:val="Compact"/>
        <w:numPr>
          <w:ilvl w:val="0"/>
          <w:numId w:val="1002"/>
        </w:numPr>
      </w:pPr>
      <w:r>
        <w:t xml:space="preserve">Simulated total ET of crops and native vegetation within the model domain.</w:t>
      </w:r>
    </w:p>
    <w:bookmarkEnd w:id="44"/>
    <w:bookmarkEnd w:id="45"/>
    <w:bookmarkStart w:id="57" w:name="methods-quantitative-analysis"/>
    <w:p>
      <w:pPr>
        <w:pStyle w:val="Heading1"/>
      </w:pPr>
      <w:r>
        <w:rPr>
          <w:rStyle w:val="SectionNumber"/>
        </w:rPr>
        <w:t xml:space="preserve">3</w:t>
      </w:r>
      <w:r>
        <w:tab/>
      </w:r>
      <w:r>
        <w:t xml:space="preserve">Methods: Quantitative analysis</w:t>
      </w:r>
    </w:p>
    <w:p>
      <w:pPr>
        <w:pStyle w:val="FirstParagraph"/>
      </w:pPr>
      <w:r>
        <w:t xml:space="preserve">We developed two objective functions and one categorical objective proxy to evaluate the management scenarios developed for the GSP. The three objectives were:</w:t>
      </w:r>
    </w:p>
    <w:p>
      <w:pPr>
        <w:pStyle w:val="Compact"/>
        <w:numPr>
          <w:ilvl w:val="0"/>
          <w:numId w:val="1003"/>
        </w:numPr>
      </w:pPr>
      <w:r>
        <w:t xml:space="preserve">maximize specific environmental flows,</w:t>
      </w:r>
    </w:p>
    <w:p>
      <w:pPr>
        <w:pStyle w:val="Compact"/>
        <w:numPr>
          <w:ilvl w:val="0"/>
          <w:numId w:val="1003"/>
        </w:numPr>
      </w:pPr>
      <w:r>
        <w:t xml:space="preserve">maintain current levels of agricultural productivity (represented as minimizing reduction in agricultural water use), and</w:t>
      </w:r>
    </w:p>
    <w:p>
      <w:pPr>
        <w:pStyle w:val="Compact"/>
        <w:numPr>
          <w:ilvl w:val="0"/>
          <w:numId w:val="1003"/>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6" w:name="tab:objFunctionTable"/>
      <w:bookmarkEnd w:id="46"/>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1" w:name="objective-functions"/>
    <w:p>
      <w:pPr>
        <w:pStyle w:val="Heading2"/>
      </w:pPr>
      <w:r>
        <w:rPr>
          <w:rStyle w:val="SectionNumber"/>
        </w:rPr>
        <w:t xml:space="preserve">3.1</w:t>
      </w:r>
      <w:r>
        <w:tab/>
      </w:r>
      <w:r>
        <w:t xml:space="preserve">Objective functions</w:t>
      </w:r>
    </w:p>
    <w:bookmarkStart w:id="48" w:name="hydrologic-benefit-function"/>
    <w:p>
      <w:pPr>
        <w:pStyle w:val="Heading3"/>
      </w:pPr>
      <w:r>
        <w:rPr>
          <w:rStyle w:val="SectionNumber"/>
        </w:rPr>
        <w:t xml:space="preserve">3.1.1</w:t>
      </w:r>
      <w:r>
        <w:tab/>
      </w:r>
      <w:r>
        <w:t xml:space="preserve">Hydrologic Benefit function</w:t>
      </w:r>
    </w:p>
    <w:p>
      <w:pPr>
        <w:pStyle w:val="FirstParagraph"/>
      </w:pPr>
      <w:r>
        <w:t xml:space="preserve">In previous work</w:t>
      </w:r>
      <w:r>
        <w:t xml:space="preserve"> </w:t>
      </w:r>
      <w:r>
        <w:t xml:space="preserve">(Kouba et al. 2025)</w:t>
      </w:r>
      <w:r>
        <w:t xml:space="preserve">, we showed that the relative degree to which a given water year provided ecological services needed by coho salmon can be empirically estimated using a Hydrologic Benefit (HB) function, which is represented as a linear combination of annual functional flow values. A set of streamflow metrics related to the timing, amplitude, and duration of flow phenomena were weighted according to their power to predict coho outcomes, such as smolt production or smolt production normalized per female spawner. The combination of these weighted metrics can be interpreted as a prediction of coho salmon reproduction</w:t>
      </w:r>
      <w:r>
        <w:t xml:space="preserve"> </w:t>
      </w:r>
      <w:r>
        <w:rPr>
          <w:i/>
          <w:iCs/>
        </w:rPr>
        <w:t xml:space="preserve">due to hydrologic factors</w:t>
      </w:r>
      <w:r>
        <w:t xml:space="preserve">. Importantly, the HB function selected for this exercise only explains about</w:t>
      </w:r>
      <w:r>
        <w:t xml:space="preserve"> </w:t>
      </w:r>
      <w:r>
        <w:rPr>
          <w:b/>
          <w:bCs/>
        </w:rPr>
        <w:t xml:space="preserve">60%</w:t>
      </w:r>
      <w:r>
        <w:t xml:space="preserve"> </w:t>
      </w:r>
      <w:r>
        <w:t xml:space="preserve">of variation in observed smolt abundance, and the remaining 40% of variation is assumed related to other life conditions, e.g., number of returning spawners, water quality, food resources, and internal fishery population dynamics.</w:t>
      </w:r>
    </w:p>
    <w:p>
      <w:pPr>
        <w:pStyle w:val="BodyText"/>
      </w:pPr>
      <w:r>
        <w:t xml:space="preserve">Specifically, the HB function predicts a higher number of coho smolt produced (coho smolt-equivalent) is related to higher fall flows during a cohort’s parents’ spawning, lower fall flows during a cohort’s time as overwintering yearlings, and a slower spring recession (see intercept and coefficient values in Table</w:t>
      </w:r>
      <w:r>
        <w:t xml:space="preserve"> </w:t>
      </w:r>
      <w:r>
        <w:t xml:space="preserve">3</w:t>
      </w:r>
      <w:r>
        <w:t xml:space="preserve">).</w:t>
      </w:r>
    </w:p>
    <w:p>
      <w:pPr>
        <w:pStyle w:val="BodyText"/>
      </w:pPr>
      <w:r>
        <w:rPr>
          <w:b/>
          <w:bCs/>
        </w:rPr>
        <w:t xml:space="preserve">language on selecting smolt based on hydro only predictors, and only for coho</w:t>
      </w:r>
    </w:p>
    <w:p>
      <w:pPr>
        <w:pStyle w:val="TableCaption"/>
      </w:pPr>
      <w:bookmarkStart w:id="47" w:name="tab:coefTab"/>
      <w:bookmarkEnd w:id="47"/>
      <w:r>
        <w:t xml:space="preserve">Table 3:</w:t>
      </w:r>
      <w:r>
        <w:t xml:space="preserve"> </w:t>
      </w:r>
      <w:r>
        <w:t xml:space="preserve">Coefficients for the Hydrologic Benefit function, an emperical estimate of ecological services provided to coho salmon by specific functional flows. The predicted value is in units of log10(coho smolt) produced due to hydrologic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flow increase (as juvenile fish)</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bl>
    <w:p>
      <w:pPr>
        <w:pStyle w:val="BodyText"/>
      </w:pPr>
      <w:r>
        <w:t xml:space="preserve">The HB function was formulated based on functional flow metrics of the observed daily average flow record of the FJ gauge (</w:t>
      </w:r>
      <m:oMath>
        <m:r>
          <m:t>F</m:t>
        </m:r>
        <m:sSub>
          <m:e>
            <m:r>
              <m:t>J</m:t>
            </m:r>
          </m:e>
          <m:sub>
            <m:r>
              <m:t>o</m:t>
            </m:r>
            <m:r>
              <m:t>b</m:t>
            </m:r>
            <m:r>
              <m:t>s</m:t>
            </m:r>
          </m:sub>
        </m:sSub>
      </m:oMath>
      <w:r>
        <w:t xml:space="preserve">). One key result of the historical basecase scenario is a simulated 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As a result of these differences, HB values calculated from flow metrics of</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tend to be higher than HB values derived from</w:t>
      </w:r>
      <w:r>
        <w:t xml:space="preserve"> </w:t>
      </w:r>
      <m:oMath>
        <m:r>
          <m:t>F</m:t>
        </m:r>
        <m:sSub>
          <m:e>
            <m:r>
              <m:t>J</m:t>
            </m:r>
          </m:e>
          <m:sub>
            <m:r>
              <m:t>o</m:t>
            </m:r>
            <m:r>
              <m:t>b</m:t>
            </m:r>
            <m:r>
              <m:t>s</m:t>
            </m:r>
          </m:sub>
        </m:sSub>
      </m:oMath>
      <w:r>
        <w:t xml:space="preserve"> </w:t>
      </w:r>
      <w:r>
        <w:t xml:space="preserve">by a mean of</w:t>
      </w:r>
      <w:r>
        <w:t xml:space="preserve"> </w:t>
      </w:r>
      <w:r>
        <w:rPr>
          <w:b/>
          <w:bCs/>
        </w:rPr>
        <w:t xml:space="preserve">4.5</w:t>
      </w:r>
      <w:r>
        <w:t xml:space="preserve"> </w:t>
      </w:r>
      <w:r>
        <w:t xml:space="preserve">coho spf-equiv.</w:t>
      </w:r>
    </w:p>
    <w:p>
      <w:pPr>
        <w:pStyle w:val="BodyText"/>
      </w:pPr>
      <w:r>
        <w:t xml:space="preserve">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p>
    <w:bookmarkEnd w:id="48"/>
    <w:bookmarkStart w:id="49"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w:t>
      </w:r>
      <w:r>
        <w:t xml:space="preserve"> </w:t>
      </w:r>
      <w:r>
        <w:rPr>
          <w:b/>
          <w:bCs/>
        </w:rPr>
        <w:t xml:space="preserve">and grain?</w:t>
      </w:r>
      <w:r>
        <w:t xml:space="preserv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bookmarkEnd w:id="49"/>
    <w:bookmarkStart w:id="50"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4"/>
        </w:numPr>
      </w:pPr>
      <w:r>
        <w:t xml:space="preserve">No feasibility barriers (basecase; maintain current practices)</w:t>
      </w:r>
    </w:p>
    <w:p>
      <w:pPr>
        <w:pStyle w:val="Compact"/>
        <w:numPr>
          <w:ilvl w:val="0"/>
          <w:numId w:val="1004"/>
        </w:numPr>
      </w:pPr>
      <w:r>
        <w:t xml:space="preserve">Implementable with current infrastructure</w:t>
      </w:r>
    </w:p>
    <w:p>
      <w:pPr>
        <w:pStyle w:val="Compact"/>
        <w:numPr>
          <w:ilvl w:val="0"/>
          <w:numId w:val="1004"/>
        </w:numPr>
      </w:pPr>
      <w:r>
        <w:t xml:space="preserve">Requires new infrastructure that would take 1-2 years to build</w:t>
      </w:r>
    </w:p>
    <w:p>
      <w:pPr>
        <w:pStyle w:val="Compact"/>
        <w:numPr>
          <w:ilvl w:val="0"/>
          <w:numId w:val="1004"/>
        </w:numPr>
      </w:pPr>
      <w:r>
        <w:t xml:space="preserve">Requires new infrastructure that would take 3-5 years to build</w:t>
      </w:r>
    </w:p>
    <w:p>
      <w:pPr>
        <w:pStyle w:val="Compact"/>
        <w:numPr>
          <w:ilvl w:val="0"/>
          <w:numId w:val="1004"/>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highly efficient irrigation systems (assigned to category 2). See Table</w:t>
      </w:r>
      <w:r>
        <w:t xml:space="preserve"> </w:t>
      </w:r>
      <w:r>
        <w:t xml:space="preserve">5</w:t>
      </w:r>
      <w:r>
        <w:t xml:space="preserve"> </w:t>
      </w:r>
      <w:r>
        <w:t xml:space="preserve">for full list of assigned categories.</w:t>
      </w:r>
    </w:p>
    <w:bookmarkEnd w:id="50"/>
    <w:bookmarkEnd w:id="51"/>
    <w:bookmarkStart w:id="54" w:name="analyses-of-objective-function-values"/>
    <w:p>
      <w:pPr>
        <w:pStyle w:val="Heading2"/>
      </w:pPr>
      <w:r>
        <w:rPr>
          <w:rStyle w:val="SectionNumber"/>
        </w:rPr>
        <w:t xml:space="preserve">3.2</w:t>
      </w:r>
      <w:r>
        <w:tab/>
      </w:r>
      <w:r>
        <w:t xml:space="preserve">Analyses of objective function values</w:t>
      </w:r>
    </w:p>
    <w:bookmarkStart w:id="52"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r>
          <m:t>f</m:t>
        </m:r>
        <m:r>
          <m:t> </m:t>
        </m:r>
        <m:r>
          <m:t>s</m:t>
        </m:r>
        <m:r>
          <m:t>c</m:t>
        </m:r>
        <m:r>
          <m:t>e</m:t>
        </m:r>
        <m:r>
          <m:t>n</m:t>
        </m:r>
        <m:r>
          <m:t> </m:t>
        </m:r>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2"/>
    <w:bookmarkStart w:id="53"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w:t>
      </w:r>
      <w:r>
        <w:rPr>
          <w:b/>
          <w:bCs/>
        </w:rPr>
        <w:t xml:space="preserve">ParetoVilfredoCours1896?</w:t>
      </w:r>
      <w:r>
        <w:t xml:space="preserve">)</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bookmarkEnd w:id="53"/>
    <w:bookmarkEnd w:id="54"/>
    <w:bookmarkStart w:id="56" w:name="scenario-descriptions"/>
    <w:p>
      <w:pPr>
        <w:pStyle w:val="Heading2"/>
      </w:pPr>
      <w:r>
        <w:rPr>
          <w:rStyle w:val="SectionNumber"/>
        </w:rPr>
        <w:t xml:space="preserve">3.3</w:t>
      </w:r>
      <w:r>
        <w:tab/>
      </w:r>
      <w:r>
        <w:t xml:space="preserve">Scenario descriptions</w:t>
      </w:r>
    </w:p>
    <w:p>
      <w:pPr>
        <w:pStyle w:val="FirstParagraph"/>
      </w:pPr>
      <w:r>
        <w:t xml:space="preserve">For the Scott Valley GSP, this study simulated 64 management action scenarios, compared to between one and five scenarios modeled in most other California GSPs</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40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40 considered here.</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or an assumed crop water consumption of 80% versus 90% of historical). See</w:t>
      </w:r>
      <w:r>
        <w:t xml:space="preserve"> </w:t>
      </w:r>
      <w:r>
        <w:rPr>
          <w:i/>
          <w:iCs/>
        </w:rPr>
        <w:t xml:space="preserve">Chapter 2 Supplement</w:t>
      </w:r>
      <w:r>
        <w:t xml:space="preserve"> </w:t>
      </w:r>
      <w:r>
        <w:t xml:space="preserve">for more detailed scenario descriptions.</w:t>
      </w:r>
    </w:p>
    <w:p>
      <w:pPr>
        <w:pStyle w:val="TableCaption"/>
      </w:pPr>
      <w:bookmarkStart w:id="55" w:name="tab:scenCategoryTab"/>
      <w:bookmarkEnd w:id="55"/>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6"/>
    <w:bookmarkEnd w:id="57"/>
    <w:bookmarkStart w:id="79" w:name="results"/>
    <w:p>
      <w:pPr>
        <w:pStyle w:val="Heading1"/>
      </w:pPr>
      <w:r>
        <w:rPr>
          <w:rStyle w:val="SectionNumber"/>
        </w:rPr>
        <w:t xml:space="preserve">4</w:t>
      </w:r>
      <w:r>
        <w:tab/>
      </w:r>
      <w:r>
        <w:t xml:space="preserve">Results</w:t>
      </w:r>
    </w:p>
    <w:p>
      <w:pPr>
        <w:pStyle w:val="FirstParagraph"/>
      </w:pPr>
      <w:r>
        <w:t xml:space="preserve">As described above, objective functions were used to quantitatively summarize the achievement of environmental and agricultural goals for the basecase and 27 management scenarios. A Hydrologic Benefit (HB) value (in units of predicted coho smolt production per spawning female, or coho spf-equivalent) and a total crop ET volume was calculated for each water year in the 28-year simulation period, for each scenario. Each scenario has also been given an infrastructure feasibility proxy (Table</w:t>
      </w:r>
      <w:r>
        <w:t xml:space="preserve"> </w:t>
      </w:r>
      <w:r>
        <w:t xml:space="preserve">5</w:t>
      </w:r>
      <w:r>
        <w:t xml:space="preserve">).</w:t>
      </w:r>
    </w:p>
    <w:bookmarkStart w:id="67" w:name="X7919b09686293416b4bcb59483f48ae87a57064"/>
    <w:p>
      <w:pPr>
        <w:pStyle w:val="Heading2"/>
      </w:pPr>
      <w:r>
        <w:rPr>
          <w:rStyle w:val="SectionNumber"/>
        </w:rPr>
        <w:t xml:space="preserve">4.1</w:t>
      </w:r>
      <w:r>
        <w:tab/>
      </w:r>
      <w:r>
        <w:t xml:space="preserve">Environmental and agricultural objective function values</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5:  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 title="" id="59" name="Picture"/>
            <a:graphic>
              <a:graphicData uri="http://schemas.openxmlformats.org/drawingml/2006/picture">
                <pic:pic>
                  <pic:nvPicPr>
                    <pic:cNvPr descr="Graphics%20and%20Supplements/Figure%204.pn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1" w:name="fig:benefitByWY"/>
      <w:bookmarkEnd w:id="61"/>
      <w:r>
        <w:t xml:space="preserve">Figure 5:</w:t>
      </w:r>
      <w:r>
        <w:t xml:space="preserve"> </w:t>
      </w:r>
      <w:r>
        <w:t xml:space="preserve"> </w:t>
      </w:r>
      <w:r>
        <w:t xml:space="preserve">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 title="" id="63" name="Picture"/>
            <a:graphic>
              <a:graphicData uri="http://schemas.openxmlformats.org/drawingml/2006/picture">
                <pic:pic>
                  <pic:nvPicPr>
                    <pic:cNvPr descr="Graphics%20and%20Supplements/Figure%205.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5" w:name="fig:farmerFishTradeoffFigure"/>
      <w:bookmarkEnd w:id="65"/>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w:t>
      </w:r>
    </w:p>
    <w:p>
      <w:pPr>
        <w:pStyle w:val="SourceCode"/>
      </w:pPr>
      <w:r>
        <w:rPr>
          <w:rStyle w:val="VerbatimChar"/>
        </w:rPr>
        <w:t xml:space="preserve">## png </w:t>
      </w:r>
      <w:r>
        <w:br/>
      </w:r>
      <w:r>
        <w:rPr>
          <w:rStyle w:val="VerbatimChar"/>
        </w:rPr>
        <w:t xml:space="preserve">##   2</w:t>
      </w:r>
    </w:p>
    <w:p>
      <w:pPr>
        <w:pStyle w:val="FirstParagraph"/>
      </w:pPr>
      <w:r>
        <w:t xml:space="preserve">The aggregate hydrologic impact of each management scenario can be compared against the historical basecase using the annual objective function values over the full 28-year record (e.g., Figure</w:t>
      </w:r>
      <w:r>
        <w:t xml:space="preserve"> </w:t>
      </w:r>
      <w:r>
        <w:t xml:space="preserve">5</w:t>
      </w:r>
      <w:r>
        <w:t xml:space="preserve">) or using the 28-year mean values for each scenario (Figure</w:t>
      </w:r>
      <w:r>
        <w:t xml:space="preserve"> </w:t>
      </w:r>
      <w:r>
        <w:t xml:space="preserve">6</w:t>
      </w:r>
      <w:r>
        <w:t xml:space="preserve">; Table</w:t>
      </w:r>
      <w:r>
        <w:t xml:space="preserve"> </w:t>
      </w:r>
      <w:r>
        <w:t xml:space="preserve">5</w:t>
      </w:r>
      <w:r>
        <w:t xml:space="preserve">). In the basecase scenario, the 28-year mean annual ET volume is 118 million m</w:t>
      </w:r>
      <w:r>
        <w:rPr>
          <w:vertAlign w:val="superscript"/>
        </w:rPr>
        <w:t xml:space="preserve">3</w:t>
      </w:r>
      <w:r>
        <w:t xml:space="preserve"> </w:t>
      </w:r>
      <w:r>
        <w:t xml:space="preserve">of water, and the 28-year mean of annual HB values is 8913.9 coho spf-equivalent (Table</w:t>
      </w:r>
      <w:r>
        <w:t xml:space="preserve"> </w:t>
      </w:r>
      <w:r>
        <w:t xml:space="preserve">5</w:t>
      </w:r>
      <w:r>
        <w:t xml:space="preserve">). Annual ET volume is relatively stable over the model period of water years 1991-2018, while annual HB values are much more variable (Figure</w:t>
      </w:r>
      <w:r>
        <w:t xml:space="preserve"> </w:t>
      </w:r>
      <w:r>
        <w:t xml:space="preserve">5</w:t>
      </w:r>
      <w:r>
        <w:t xml:space="preserve">). Among the 39 management scenarios, mean ET values ranged from 0 to 118 million m</w:t>
      </w:r>
      <w:r>
        <w:rPr>
          <w:vertAlign w:val="superscript"/>
        </w:rPr>
        <w:t xml:space="preserve">3</w:t>
      </w:r>
      <w:r>
        <w:t xml:space="preserve"> </w:t>
      </w:r>
      <w:r>
        <w:t xml:space="preserve">of water, while HB values ranged from 8834.4 to 9107.4 coho spf-equivalent.</w:t>
      </w:r>
    </w:p>
    <w:p>
      <w:pPr>
        <w:pStyle w:val="BodyText"/>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6</w:t>
      </w:r>
      <w:r>
        <w:t xml:space="preserve">). The scenarios in this group all require some degree of infrastructure investment, and they have a minimal impact on crop ET: the mean ET values of scenarios in this cluster are 118 to 118 million m</w:t>
      </w:r>
      <w:r>
        <w:rPr>
          <w:vertAlign w:val="superscript"/>
        </w:rPr>
        <w:t xml:space="preserve">3</w:t>
      </w:r>
      <w:r>
        <w:t xml:space="preserve">, or 0 percent less to 0.2 percent more than basecase. Their mean improvement in HB values over the basecase ranges from -80 to 89 coho spf-equivalent.</w:t>
      </w:r>
    </w:p>
    <w:p>
      <w:pPr>
        <w:pStyle w:val="BodyText"/>
      </w:pPr>
      <w:r>
        <w:t xml:space="preserve">The mean ET volumes of the two Crop Change scenarios fall below those in the aforementioned cluster, with and million m</w:t>
      </w:r>
      <w:r>
        <w:rPr>
          <w:vertAlign w:val="superscript"/>
        </w:rPr>
        <w:t xml:space="preserve">3</w:t>
      </w:r>
      <w:r>
        <w:t xml:space="preserve">, while HB values are and respectively (Figure</w:t>
      </w:r>
      <w:r>
        <w:t xml:space="preserve"> </w:t>
      </w:r>
      <w:r>
        <w:t xml:space="preserve">6</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“farmer benefit”</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6</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(SWRCB 2021)</w:t>
      </w:r>
      <w:r>
        <w:t xml:space="preserve">. The mean ET values of scenarios in these two categories are 103 to 117 million m</w:t>
      </w:r>
      <w:r>
        <w:rPr>
          <w:vertAlign w:val="superscript"/>
        </w:rPr>
        <w:t xml:space="preserve">3</w:t>
      </w:r>
      <w:r>
        <w:t xml:space="preserve">, or 13 to 1 percent less than basecase; HB gains over basecase are 45 to 184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6</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4 million m</w:t>
      </w:r>
      <w:r>
        <w:rPr>
          <w:vertAlign w:val="superscript"/>
        </w:rPr>
        <w:t xml:space="preserve">3</w:t>
      </w:r>
      <w:r>
        <w:t xml:space="preserve"> </w:t>
      </w:r>
      <w:r>
        <w:t xml:space="preserve">(~3%) less than basecase, while the mean HB value is 55 coho spf-equivalent greater than basecase.</w:t>
      </w:r>
    </w:p>
    <w:p>
      <w:pPr>
        <w:pStyle w:val="BodyText"/>
      </w:pPr>
      <w:r>
        <w:t xml:space="preserve">The remaining two categories, abbreviated as</w:t>
      </w:r>
      <w:r>
        <w:t xml:space="preserve"> </w:t>
      </w:r>
      <w:r>
        <w:t xml:space="preserve">“NatVeg”</w:t>
      </w:r>
      <w:r>
        <w:t xml:space="preserve"> </w:t>
      </w:r>
      <w:r>
        <w:t xml:space="preserve">and</w:t>
      </w:r>
      <w:r>
        <w:t xml:space="preserve"> </w:t>
      </w:r>
      <w:r>
        <w:t xml:space="preserve">“NatVegET”</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“pre-historic”</w:t>
      </w:r>
      <w:r>
        <w:t xml:space="preserve">,</w:t>
      </w:r>
      <w:r>
        <w:t xml:space="preserve"> </w:t>
      </w:r>
      <w:r>
        <w:t xml:space="preserve">“unimpaired”</w:t>
      </w:r>
      <w:r>
        <w:t xml:space="preserve">, or</w:t>
      </w:r>
      <w:r>
        <w:t xml:space="preserve"> </w:t>
      </w:r>
      <w:r>
        <w:t xml:space="preserve">“conservation”</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6</w:t>
      </w:r>
      <w:r>
        <w:t xml:space="preserve">).</w:t>
      </w:r>
    </w:p>
    <w:p>
      <w:pPr>
        <w:pStyle w:val="BodyText"/>
      </w:pPr>
      <w:r>
        <w:t xml:space="preserve">The key geographic feature in the NatVeg and NatVegET scenarios is the</w:t>
      </w:r>
      <w:r>
        <w:t xml:space="preserve"> </w:t>
      </w:r>
      <w:r>
        <w:t xml:space="preserve">“Interconnected Zone”</w:t>
      </w:r>
      <w:r>
        <w:t xml:space="preserve"> </w:t>
      </w:r>
      <w:r>
        <w:t xml:space="preserve">in the 1980 Scott Valley surface water adjudication</w:t>
      </w:r>
      <w:r>
        <w:t xml:space="preserve"> </w:t>
      </w:r>
      <w:r>
        <w:t xml:space="preserve">(California State Water Resources Control Board 1980)</w:t>
      </w:r>
      <w:r>
        <w:t xml:space="preserve">, referred to here as the</w:t>
      </w:r>
      <w:r>
        <w:t xml:space="preserve"> </w:t>
      </w:r>
      <w:r>
        <w:t xml:space="preserve">“adjudicated zone”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TableCaption"/>
      </w:pPr>
      <w:bookmarkStart w:id="66" w:name="tab:scenarioResultsTab"/>
      <w:bookmarkEnd w:id="66"/>
      <w:r>
        <w:t xml:space="preserve">Table 5:</w:t>
      </w:r>
      <w:r>
        <w:t xml:space="preserve"> </w:t>
      </w:r>
      <w:r>
        <w:t xml:space="preserve">Scenario attributes for 40 scenarios. Units for Hydrologic Benefit (HB) value are coho smolt per female-equivalent; for ET are million cubic meters; both are averages of 35 annual values.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0.17</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basecase_0_mar_0_curt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basecase_0_mar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bookmarkEnd w:id="67"/>
    <w:bookmarkStart w:id="72" w:name="X5717be130d28923be971a1bdea556d769a5487a"/>
    <w:p>
      <w:pPr>
        <w:pStyle w:val="Heading2"/>
      </w:pPr>
      <w:r>
        <w:rPr>
          <w:rStyle w:val="SectionNumber"/>
        </w:rPr>
        <w:t xml:space="preserve">4.2</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-0.42 to 0.9 when averaged over all years(Table</w:t>
      </w:r>
      <w:r>
        <w:t xml:space="preserve"> </w:t>
      </w:r>
      <w:r>
        <w:t xml:space="preserve">5</w:t>
      </w:r>
      <w:r>
        <w:t xml:space="preserve">). The range covers two orders of magnitude because the denominator of the ratio, lost ET, ranges from 0% to 100%, while the HB gains fall more narrowly between 0% to 2.2%.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“low-efficiency”</w:t>
      </w:r>
      <w:r>
        <w:t xml:space="preserve"> </w:t>
      </w:r>
      <w:r>
        <w:t xml:space="preserve">cluster, with all-years efficiencies of less than 1: Crop Change, Curtailment, and the two Natural Vegetation categories (Figure</w:t>
      </w:r>
      <w:r>
        <w:t xml:space="preserve"> </w:t>
      </w:r>
      <w:r>
        <w:t xml:space="preserve">7</w:t>
      </w:r>
      <w:r>
        <w:t xml:space="preserve">). These scenarios can produce substantial HB gains (ranging from 5 to 193) coho spf-equiv., but result in severe agricultural productivity reductions (0.9% to 100%). The</w:t>
      </w:r>
      <w:r>
        <w:t xml:space="preserve"> </w:t>
      </w:r>
      <w:r>
        <w:t xml:space="preserve">“high-efficiency”</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(-0.2 to -0.2 million m</w:t>
      </w:r>
      <w:r>
        <w:rPr>
          <w:vertAlign w:val="superscript"/>
        </w:rPr>
        <w:t xml:space="preserve">3</w:t>
      </w:r>
      <w:r>
        <w:t xml:space="preserve">, or -0.2 to -0.2 percent of basecase crop ET).</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7:  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 title="" id="69" name="Picture"/>
            <a:graphic>
              <a:graphicData uri="http://schemas.openxmlformats.org/drawingml/2006/picture">
                <pic:pic>
                  <pic:nvPicPr>
                    <pic:cNvPr descr="Graphics%20and%20Supplements/Figure%207.pn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71" w:name="fig:efficiency"/>
      <w:bookmarkEnd w:id="71"/>
      <w:r>
        <w:t xml:space="preserve">Figure 7:</w:t>
      </w:r>
      <w:r>
        <w:t xml:space="preserve"> </w:t>
      </w:r>
      <w:r>
        <w:t xml:space="preserve"> </w:t>
      </w:r>
      <w:r>
        <w:t xml:space="preserve">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w:t>
      </w:r>
    </w:p>
    <w:bookmarkEnd w:id="72"/>
    <w:bookmarkStart w:id="78" w:name="Xfbc83626841bb94e70b2ed42e58f7fe62bf81a6"/>
    <w:p>
      <w:pPr>
        <w:pStyle w:val="Heading2"/>
      </w:pPr>
      <w:r>
        <w:rPr>
          <w:rStyle w:val="SectionNumber"/>
        </w:rPr>
        <w:t xml:space="preserve">4.3</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5</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6</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40 simulated scenarios.</w:t>
      </w:r>
    </w:p>
    <w:p>
      <w:pPr>
        <w:pStyle w:val="BodyText"/>
      </w:pPr>
      <w:r>
        <w:t xml:space="preserve">High-priority scenarios tend to be associated with higher average crop ET values and modest HB gains relative to basecase (Table</w:t>
      </w:r>
      <w:r>
        <w:t xml:space="preserve"> </w:t>
      </w:r>
      <w:r>
        <w:t xml:space="preserve">6</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6</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4038600" cy="4019550"/>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74" name="Picture"/>
            <a:graphic>
              <a:graphicData uri="http://schemas.openxmlformats.org/drawingml/2006/picture">
                <pic:pic>
                  <pic:nvPicPr>
                    <pic:cNvPr descr="Graphics%20and%20Supplements/hbf%20et%20infra%20plot3d_2025.11.04.jpg" id="75" name="Picture"/>
                    <pic:cNvPicPr>
                      <a:picLocks noChangeArrowheads="1" noChangeAspect="1"/>
                    </pic:cNvPicPr>
                  </pic:nvPicPr>
                  <pic:blipFill>
                    <a:blip r:embed="rId73"/>
                    <a:stretch>
                      <a:fillRect/>
                    </a:stretch>
                  </pic:blipFill>
                  <pic:spPr bwMode="auto">
                    <a:xfrm>
                      <a:off x="0" y="0"/>
                      <a:ext cx="4038600" cy="4019550"/>
                    </a:xfrm>
                    <a:prstGeom prst="rect">
                      <a:avLst/>
                    </a:prstGeom>
                    <a:noFill/>
                    <a:ln w="9525">
                      <a:noFill/>
                      <a:headEnd/>
                      <a:tailEnd/>
                    </a:ln>
                  </pic:spPr>
                </pic:pic>
              </a:graphicData>
            </a:graphic>
          </wp:inline>
        </w:drawing>
      </w:r>
    </w:p>
    <w:p>
      <w:pPr>
        <w:pStyle w:val="ImageCaption"/>
      </w:pPr>
      <w:bookmarkStart w:id="76" w:name="fig:farmerFishInfraFigure3D"/>
      <w:bookmarkEnd w:id="76"/>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bookmarkStart w:id="77" w:name="tab:gspMgmtList"/>
      <w:bookmarkEnd w:id="77"/>
      <w:r>
        <w:t xml:space="preserve">Table 6:</w:t>
      </w:r>
      <w:r>
        <w:t xml:space="preserve"> </w:t>
      </w:r>
      <w:r>
        <w:t xml:space="preserve">List of management actions in Chapter 4 of the GSP and analogues in the set of 40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8918.99-8980.85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8918.99-8980.85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8927.44-9107.38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8936.9-8997.56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8834.44-9002.95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8958.62-9097.57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78"/>
    <w:bookmarkEnd w:id="79"/>
    <w:bookmarkStart w:id="85" w:name="discussion"/>
    <w:p>
      <w:pPr>
        <w:pStyle w:val="Heading1"/>
      </w:pPr>
      <w:r>
        <w:rPr>
          <w:rStyle w:val="SectionNumber"/>
        </w:rPr>
        <w:t xml:space="preserve">5</w:t>
      </w:r>
      <w:r>
        <w:tab/>
      </w:r>
      <w:r>
        <w:t xml:space="preserve">Discussion</w:t>
      </w:r>
    </w:p>
    <w:p>
      <w:pPr>
        <w:pStyle w:val="FirstParagraph"/>
      </w:pPr>
      <w:r>
        <w:rPr>
          <w:b/>
          <w:bCs/>
        </w:rPr>
        <w:t xml:space="preserve">add discussion of alternative env obj functions: Chinook salmon, indices of alteration</w:t>
      </w:r>
    </w:p>
    <w:p>
      <w:pPr>
        <w:pStyle w:val="BodyText"/>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80" w:name="Xa151cb59b4ad5c02348e31b83bab4d8169de230"/>
    <w:p>
      <w:pPr>
        <w:pStyle w:val="Heading2"/>
      </w:pPr>
      <w:r>
        <w:rPr>
          <w:rStyle w:val="SectionNumber"/>
        </w:rPr>
        <w:t xml:space="preserve">5.1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w:t>
      </w:r>
    </w:p>
    <w:p>
      <w:pPr>
        <w:pStyle w:val="BodyText"/>
      </w:pPr>
      <w:r>
        <w:t xml:space="preserve">A water year with a low HB value (e.g., &lt; XX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 2015)</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(Sunding 1996)</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 2021)</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80"/>
    <w:bookmarkStart w:id="81" w:name="Xeb4407dfc59ea709d91a13199c8e469abf09cea"/>
    <w:p>
      <w:pPr>
        <w:pStyle w:val="Heading2"/>
      </w:pPr>
      <w:r>
        <w:rPr>
          <w:rStyle w:val="SectionNumber"/>
        </w:rPr>
        <w:t xml:space="preserve">5.2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 Ohlberger et al. 2018)</w:t>
      </w:r>
      <w:r>
        <w:t xml:space="preserve">. Eight dry years occurred during the 1991-2018 model period: 1991, ’92, ’94, 2001, ’09, ’13, ’14, and ’18 (Figure</w:t>
      </w:r>
      <w:r>
        <w:t xml:space="preserve"> </w:t>
      </w:r>
      <w:r>
        <w:t xml:space="preserve">5</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XX predicted coho spf-equivalent, tend to occur in years following one or more dry years (i.e., 1993, 1995, 2002, and 2014-16 in Figure</w:t>
      </w:r>
      <w:r>
        <w:t xml:space="preserve"> </w:t>
      </w:r>
      <w:r>
        <w:t xml:space="preserve">5</w:t>
      </w:r>
      <w:r>
        <w:t xml:space="preserve">;</w:t>
      </w:r>
      <w:r>
        <w:t xml:space="preserve"> </w:t>
      </w:r>
      <w:r>
        <w:t xml:space="preserve">“low-coho years”</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5</w:t>
      </w:r>
      <w:r>
        <w:t xml:space="preserve">), the low-coho year HB performance of various model scenarios is a key scenario differentiator.</w:t>
      </w:r>
    </w:p>
    <w:bookmarkEnd w:id="81"/>
    <w:bookmarkStart w:id="82" w:name="environmental-agricultural-trade-offs"/>
    <w:p>
      <w:pPr>
        <w:pStyle w:val="Heading2"/>
      </w:pPr>
      <w:r>
        <w:rPr>
          <w:rStyle w:val="SectionNumber"/>
        </w:rPr>
        <w:t xml:space="preserve">5.3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6</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5</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5</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p>
      <w:pPr>
        <w:pStyle w:val="BodyText"/>
      </w:pPr>
      <w:r>
        <w:t xml:space="preserve">The 33 scenarios with ET lower than basecase sort clearly into one high- and one low-efficiency cluster (Figure</w:t>
      </w:r>
      <w:r>
        <w:t xml:space="preserve"> </w:t>
      </w:r>
      <w:r>
        <w:t xml:space="preserve">7</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5</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28-year model period (Figure</w:t>
      </w:r>
      <w:r>
        <w:t xml:space="preserve"> </w:t>
      </w:r>
      <w:r>
        <w:t xml:space="preserve">7</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5</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alf_irr_stop_07.31_dry_yrs_only</w:t>
      </w:r>
      <w:r>
        <w:t xml:space="preserve"> </w:t>
      </w:r>
      <w:r>
        <w:t xml:space="preserve">and</w:t>
      </w:r>
      <w:r>
        <w:t xml:space="preserve"> </w:t>
      </w:r>
      <w:r>
        <w:rPr>
          <w:rStyle w:val="VerbatimChar"/>
        </w:rPr>
        <w:t xml:space="preserve">alf_irr_stop_08.15_dry_yrs_only</w:t>
      </w:r>
      <w:r>
        <w:t xml:space="preserve">) are higher than for their corresponding scenarios with an intervention in all years (</w:t>
      </w:r>
      <w:r>
        <w:rPr>
          <w:rStyle w:val="VerbatimChar"/>
        </w:rPr>
        <w:t xml:space="preserve">alf_irr_stop_07.31</w:t>
      </w:r>
      <w:r>
        <w:t xml:space="preserve"> </w:t>
      </w:r>
      <w:r>
        <w:t xml:space="preserve">and</w:t>
      </w:r>
      <w:r>
        <w:t xml:space="preserve"> </w:t>
      </w:r>
      <w:r>
        <w:rPr>
          <w:rStyle w:val="VerbatimChar"/>
        </w:rPr>
        <w:t xml:space="preserve">alf_irr_stop_08.15</w:t>
      </w:r>
      <w:r>
        <w:t xml:space="preserve">; Table</w:t>
      </w:r>
      <w:r>
        <w:t xml:space="preserve"> </w:t>
      </w:r>
      <w:r>
        <w:t xml:space="preserve">5</w:t>
      </w:r>
      <w:r>
        <w:t xml:space="preserve">).</w:t>
      </w:r>
    </w:p>
    <w:bookmarkEnd w:id="82"/>
    <w:bookmarkStart w:id="83" w:name="Xb48c0b1c357814727cacf50afe35e98b0bf92dd"/>
    <w:p>
      <w:pPr>
        <w:pStyle w:val="Heading2"/>
      </w:pPr>
      <w:r>
        <w:rPr>
          <w:rStyle w:val="SectionNumber"/>
        </w:rPr>
        <w:t xml:space="preserve">5.4</w:t>
      </w:r>
      <w:r>
        <w:tab/>
      </w:r>
      <w:r>
        <w:t xml:space="preserve">Pareto-optimal solution set and GSP priority management actions</w:t>
      </w:r>
    </w:p>
    <w:p>
      <w:pPr>
        <w:pStyle w:val="FirstParagraph"/>
      </w:pPr>
      <w:r>
        <w:t xml:space="preserve">Within the proposed suite of management actions, more than half (25 of 40, including the basecase) fall within the Pareto-optimal set based on the infrastructure category and the 28-year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5</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7</w:t>
      </w:r>
      <w:r>
        <w:t xml:space="preserve">; Table</w:t>
      </w:r>
      <w:r>
        <w:t xml:space="preserve"> </w:t>
      </w:r>
      <w:r>
        <w:t xml:space="preserve">5</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6</w:t>
      </w:r>
      <w:r>
        <w:t xml:space="preserve">). Although the GSP management priorities emphasized infrastructure, in a strict application of these objective functions, both infrastructure-based and regulatory approaches fell within the Pareto-optimal set of management options.</w:t>
      </w:r>
    </w:p>
    <w:bookmarkEnd w:id="83"/>
    <w:bookmarkStart w:id="84" w:name="policy-implications"/>
    <w:p>
      <w:pPr>
        <w:pStyle w:val="Heading2"/>
      </w:pPr>
      <w:r>
        <w:rPr>
          <w:rStyle w:val="SectionNumber"/>
        </w:rPr>
        <w:t xml:space="preserve">5.5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pStyle w:val="Compact"/>
        <w:numPr>
          <w:ilvl w:val="0"/>
          <w:numId w:val="1005"/>
        </w:numPr>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5</w:t>
      </w:r>
      <w:r>
        <w:t xml:space="preserve">).</w:t>
      </w:r>
    </w:p>
    <w:p>
      <w:pPr>
        <w:pStyle w:val="Compact"/>
        <w:numPr>
          <w:ilvl w:val="0"/>
          <w:numId w:val="1005"/>
        </w:numPr>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pStyle w:val="Compact"/>
        <w:numPr>
          <w:ilvl w:val="0"/>
          <w:numId w:val="1005"/>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6</w:t>
      </w:r>
      <w:r>
        <w:t xml:space="preserve">.</w:t>
      </w:r>
    </w:p>
    <w:p>
      <w:pPr>
        <w:pStyle w:val="Compact"/>
        <w:numPr>
          <w:ilvl w:val="0"/>
          <w:numId w:val="1005"/>
        </w:numPr>
      </w:pPr>
      <w:r>
        <w:t xml:space="preserve">In recent years, drought conditions have prompted state regulatory agencies to consider and then impose significant irrigation curtailments</w:t>
      </w:r>
      <w:r>
        <w:t xml:space="preserve"> </w:t>
      </w:r>
      <w:r>
        <w:t xml:space="preserve">(SWRCB 2021)</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5</w:t>
      </w:r>
      <w:r>
        <w:t xml:space="preserve">).</w:t>
      </w:r>
    </w:p>
    <w:bookmarkEnd w:id="84"/>
    <w:bookmarkEnd w:id="85"/>
    <w:bookmarkStart w:id="86" w:name="conclusion"/>
    <w:p>
      <w:pPr>
        <w:pStyle w:val="Heading1"/>
      </w:pPr>
      <w:r>
        <w:rPr>
          <w:rStyle w:val="SectionNumber"/>
        </w:rPr>
        <w:t xml:space="preserve">6</w:t>
      </w:r>
      <w:r>
        <w:tab/>
      </w:r>
      <w:r>
        <w:t xml:space="preserve">Conclusion</w:t>
      </w:r>
    </w:p>
    <w:p>
      <w:pPr>
        <w:pStyle w:val="FirstParagraph"/>
      </w:pPr>
      <w:r>
        <w:t xml:space="preserve">In this study, functions quantifying the achievement of the two management objectives (environmental and agricultural) were applied to 40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7</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86"/>
    <w:bookmarkStart w:id="87" w:name="acknowledgments"/>
    <w:p>
      <w:pPr>
        <w:pStyle w:val="Heading1"/>
      </w:pPr>
      <w:r>
        <w:t xml:space="preserve">Acknowledgments</w:t>
      </w:r>
    </w:p>
    <w:bookmarkEnd w:id="87"/>
    <w:bookmarkStart w:id="137" w:name="references"/>
    <w:p>
      <w:pPr>
        <w:pStyle w:val="Heading1"/>
      </w:pPr>
      <w:r>
        <w:rPr>
          <w:rStyle w:val="SectionNumber"/>
        </w:rPr>
        <w:t xml:space="preserve">7</w:t>
      </w:r>
      <w:r>
        <w:tab/>
      </w:r>
      <w:r>
        <w:t xml:space="preserve">References</w:t>
      </w:r>
    </w:p>
    <w:bookmarkStart w:id="136" w:name="refs"/>
    <w:bookmarkStart w:id="89"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88">
        <w:r>
          <w:rPr>
            <w:rStyle w:val="Hyperlink"/>
          </w:rPr>
          <w:t xml:space="preserve">https://doi.org/10.3389/fclim.2021.719150</w:t>
        </w:r>
      </w:hyperlink>
      <w:r>
        <w:t xml:space="preserve">.</w:t>
      </w:r>
    </w:p>
    <w:bookmarkEnd w:id="89"/>
    <w:bookmarkStart w:id="91" w:name="ref-BrownEtAlHistorical1994"/>
    <w:p>
      <w:pPr>
        <w:pStyle w:val="Bibliography"/>
      </w:pPr>
      <w:r>
        <w:t xml:space="preserve">Brown, Larry R., Peter B. Moyle, and Ronald M. Yoshiyama. 1994.</w:t>
      </w:r>
      <w:r>
        <w:t xml:space="preserve"> </w:t>
      </w:r>
      <w:r>
        <w:t xml:space="preserve">“Historical</w:t>
      </w:r>
      <w:r>
        <w:t xml:space="preserve"> </w:t>
      </w:r>
      <w:r>
        <w:t xml:space="preserve">Decline</w:t>
      </w:r>
      <w:r>
        <w:t xml:space="preserve"> </w:t>
      </w:r>
      <w:r>
        <w:t xml:space="preserve">and</w:t>
      </w:r>
      <w:r>
        <w:t xml:space="preserve"> </w:t>
      </w:r>
      <w:r>
        <w:t xml:space="preserve">Current Status</w:t>
      </w:r>
      <w:r>
        <w:t xml:space="preserve"> </w:t>
      </w:r>
      <w:r>
        <w:t xml:space="preserve">of</w:t>
      </w:r>
      <w:r>
        <w:t xml:space="preserve"> </w:t>
      </w:r>
      <w:r>
        <w:t xml:space="preserve">Coho Salmon</w:t>
      </w:r>
      <w:r>
        <w:t xml:space="preserve"> </w:t>
      </w:r>
      <w:r>
        <w:t xml:space="preserve">in</w:t>
      </w:r>
      <w:r>
        <w:t xml:space="preserve"> </w:t>
      </w:r>
      <w:r>
        <w:t xml:space="preserve">California</w:t>
      </w:r>
      <w:r>
        <w:t xml:space="preserve">.”</w:t>
      </w:r>
      <w:r>
        <w:t xml:space="preserve"> </w:t>
      </w:r>
      <w:r>
        <w:rPr>
          <w:i/>
          <w:iCs/>
        </w:rPr>
        <w:t xml:space="preserve">North American Journal of Fisheries Management</w:t>
      </w:r>
      <w:r>
        <w:t xml:space="preserve"> </w:t>
      </w:r>
      <w:r>
        <w:t xml:space="preserve">14 (2): 237–61.</w:t>
      </w:r>
      <w:r>
        <w:t xml:space="preserve"> </w:t>
      </w:r>
      <w:hyperlink r:id="rId90">
        <w:r>
          <w:rPr>
            <w:rStyle w:val="Hyperlink"/>
          </w:rPr>
          <w:t xml:space="preserve">https://doi.org/10.1577/1548-8675(1994)014&lt;0237:HDACSO&gt;2.3.CO;2</w:t>
        </w:r>
      </w:hyperlink>
      <w:r>
        <w:t xml:space="preserve">.</w:t>
      </w:r>
    </w:p>
    <w:bookmarkEnd w:id="91"/>
    <w:bookmarkStart w:id="92" w:name="X534406a913d453049af97ddf853e5acf00f7d45"/>
    <w:p>
      <w:pPr>
        <w:pStyle w:val="Bibliography"/>
      </w:pPr>
      <w:r>
        <w:t xml:space="preserve">California Department of Fish and Wildlife. 2017.</w:t>
      </w:r>
      <w:r>
        <w:t xml:space="preserve"> </w:t>
      </w:r>
      <w:r>
        <w:t xml:space="preserve">“</w:t>
      </w:r>
      <w:r>
        <w:t xml:space="preserve">INTERIM INSTREAM FLOW CRITERIA FOR THE PROTECTION OF FISHERY RESOURCES IN THE SCOTT RIVER WATERSHED</w:t>
      </w:r>
      <w:r>
        <w:t xml:space="preserve">,</w:t>
      </w:r>
      <w:r>
        <w:t xml:space="preserve"> </w:t>
      </w:r>
      <w:r>
        <w:t xml:space="preserve">SISKIYOU COUNTY</w:t>
      </w:r>
      <w:r>
        <w:t xml:space="preserve">.”</w:t>
      </w:r>
    </w:p>
    <w:bookmarkEnd w:id="92"/>
    <w:bookmarkStart w:id="93" w:name="Xc89eae4adec15389bd12509e9457a9dc8c09d75"/>
    <w:p>
      <w:pPr>
        <w:pStyle w:val="Bibliography"/>
      </w:pPr>
      <w:r>
        <w:t xml:space="preserve">California Department of Fish and Wildlife, NOAA-Fisheries, Scott River Water Trust, Siskiyou Resource Conservation District, and U.S. Forest Service - Klamath National Forest. 2015.</w:t>
      </w:r>
      <w:r>
        <w:t xml:space="preserve"> </w:t>
      </w:r>
      <w:r>
        <w:t xml:space="preserve">“Cooperative</w:t>
      </w:r>
      <w:r>
        <w:t xml:space="preserve"> </w:t>
      </w:r>
      <w:r>
        <w:t xml:space="preserve">Scott River Coho Rescue</w:t>
      </w:r>
      <w:r>
        <w:t xml:space="preserve"> </w:t>
      </w:r>
      <w:r>
        <w:t xml:space="preserve">&amp;</w:t>
      </w:r>
      <w:r>
        <w:t xml:space="preserve"> </w:t>
      </w:r>
      <w:r>
        <w:t xml:space="preserve">Relocation Effort</w:t>
      </w:r>
      <w:r>
        <w:t xml:space="preserve">: 2014</w:t>
      </w:r>
      <w:r>
        <w:t xml:space="preserve"> </w:t>
      </w:r>
      <w:r>
        <w:t xml:space="preserve">Drought Emergency</w:t>
      </w:r>
      <w:r>
        <w:t xml:space="preserve">.”</w:t>
      </w:r>
    </w:p>
    <w:bookmarkEnd w:id="93"/>
    <w:bookmarkStart w:id="94" w:name="X7c5765d4bf46367820355fe718939efb3be661f"/>
    <w:p>
      <w:pPr>
        <w:pStyle w:val="Bibliography"/>
      </w:pPr>
      <w:r>
        <w:t xml:space="preserve">California Department of Water Resources. 2017.</w:t>
      </w:r>
      <w:r>
        <w:t xml:space="preserve"> </w:t>
      </w:r>
      <w:r>
        <w:t xml:space="preserve">“Statewide</w:t>
      </w:r>
      <w:r>
        <w:t xml:space="preserve"> </w:t>
      </w:r>
      <w:r>
        <w:t xml:space="preserve">Crop Mapping</w:t>
      </w:r>
      <w:r>
        <w:t xml:space="preserve"> </w:t>
      </w:r>
      <w:r>
        <w:t xml:space="preserve">- 2016</w:t>
      </w:r>
      <w:r>
        <w:t xml:space="preserve"> </w:t>
      </w:r>
      <w:r>
        <w:t xml:space="preserve">Statewide Crop Mapping GIS Shapefiles</w:t>
      </w:r>
      <w:r>
        <w:t xml:space="preserve"> </w:t>
      </w:r>
      <w:r>
        <w:t xml:space="preserve">-</w:t>
      </w:r>
      <w:r>
        <w:t xml:space="preserve"> </w:t>
      </w:r>
      <w:r>
        <w:t xml:space="preserve">California Natural Resources Agency Open Data</w:t>
      </w:r>
      <w:r>
        <w:t xml:space="preserve">.”</w:t>
      </w:r>
      <w:r>
        <w:t xml:space="preserve"> </w:t>
      </w:r>
      <w:r>
        <w:rPr>
          <w:i/>
          <w:iCs/>
        </w:rPr>
        <w:t xml:space="preserve">2016 Statewide Crop Mapping GIS Shapefiles</w:t>
      </w:r>
      <w:r>
        <w:t xml:space="preserve">. https://data.cnra.ca.gov/dataset/statewide-crop-mapping/resource/3b57898b-f013-487a-b472-17f54311edb5.</w:t>
      </w:r>
    </w:p>
    <w:bookmarkEnd w:id="94"/>
    <w:bookmarkStart w:id="95" w:name="Xe7b7ad2022eadb255e299639b3100f5357e120c"/>
    <w:p>
      <w:pPr>
        <w:pStyle w:val="Bibliography"/>
      </w:pPr>
      <w:r>
        <w:t xml:space="preserve">California State Water Resources Control Board. 1980.</w:t>
      </w:r>
      <w:r>
        <w:t xml:space="preserve"> </w:t>
      </w:r>
      <w:r>
        <w:t xml:space="preserve">“Scott</w:t>
      </w:r>
      <w:r>
        <w:t xml:space="preserve"> </w:t>
      </w:r>
      <w:r>
        <w:t xml:space="preserve">River Adjudication</w:t>
      </w:r>
      <w:r>
        <w:t xml:space="preserve">,</w:t>
      </w:r>
      <w:r>
        <w:t xml:space="preserve"> </w:t>
      </w:r>
      <w:r>
        <w:t xml:space="preserve">Decree No</w:t>
      </w:r>
      <w:r>
        <w:t xml:space="preserve">. 30662.</w:t>
      </w:r>
      <w:r>
        <w:t xml:space="preserve"> </w:t>
      </w:r>
      <w:r>
        <w:t xml:space="preserve">Scott River</w:t>
      </w:r>
      <w:r>
        <w:t xml:space="preserve"> </w:t>
      </w:r>
      <w:r>
        <w:t xml:space="preserve">Stream System,</w:t>
      </w:r>
      <w:r>
        <w:t xml:space="preserve"> </w:t>
      </w:r>
      <w:r>
        <w:t xml:space="preserve">Siskiyou County</w:t>
      </w:r>
      <w:r>
        <w:t xml:space="preserve">.”</w:t>
      </w:r>
      <w:r>
        <w:t xml:space="preserve"> </w:t>
      </w:r>
      <w:r>
        <w:t xml:space="preserve">Superior Court of Siskiyou County.</w:t>
      </w:r>
    </w:p>
    <w:bookmarkEnd w:id="95"/>
    <w:bookmarkStart w:id="96" w:name="X6ef878f889213098c200c5acad35595649e9db2"/>
    <w:p>
      <w:pPr>
        <w:pStyle w:val="Bibliography"/>
      </w:pPr>
      <w:r>
        <w:t xml:space="preserve">California State Water Resources Control Board (SWRCB). 1975.</w:t>
      </w:r>
      <w:r>
        <w:t xml:space="preserve"> </w:t>
      </w:r>
      <w:r>
        <w:t xml:space="preserve">“Report on</w:t>
      </w:r>
      <w:r>
        <w:t xml:space="preserve"> </w:t>
      </w:r>
      <w:r>
        <w:t xml:space="preserve">Hydrogeologic Conditions</w:t>
      </w:r>
      <w:r>
        <w:t xml:space="preserve">,</w:t>
      </w:r>
      <w:r>
        <w:t xml:space="preserve"> </w:t>
      </w:r>
      <w:r>
        <w:t xml:space="preserve">Scott River Valley</w:t>
      </w:r>
      <w:r>
        <w:t xml:space="preserve">,</w:t>
      </w:r>
      <w:r>
        <w:t xml:space="preserve"> </w:t>
      </w:r>
      <w:r>
        <w:t xml:space="preserve">Scott River Valley</w:t>
      </w:r>
      <w:r>
        <w:t xml:space="preserve">.”</w:t>
      </w:r>
    </w:p>
    <w:bookmarkEnd w:id="96"/>
    <w:bookmarkStart w:id="98" w:name="ref-CarterSheafferAlfalfa1983"/>
    <w:p>
      <w:pPr>
        <w:pStyle w:val="Bibliography"/>
      </w:pPr>
      <w:r>
        <w:t xml:space="preserve">Carter, P. R., and C. C. Sheaffer. 1983.</w:t>
      </w:r>
      <w:r>
        <w:t xml:space="preserve"> </w:t>
      </w:r>
      <w:r>
        <w:t xml:space="preserve">“Alfalfa</w:t>
      </w:r>
      <w:r>
        <w:t xml:space="preserve"> </w:t>
      </w:r>
      <w:r>
        <w:t xml:space="preserve">Response</w:t>
      </w:r>
      <w:r>
        <w:t xml:space="preserve"> </w:t>
      </w:r>
      <w:r>
        <w:t xml:space="preserve">to</w:t>
      </w:r>
      <w:r>
        <w:t xml:space="preserve"> </w:t>
      </w:r>
      <w:r>
        <w:t xml:space="preserve">Soil Water Deficits</w:t>
      </w:r>
      <w:r>
        <w:t xml:space="preserve">.</w:t>
      </w:r>
      <w:r>
        <w:t xml:space="preserve"> </w:t>
      </w:r>
      <w:r>
        <w:t xml:space="preserve">I</w:t>
      </w:r>
      <w:r>
        <w:t xml:space="preserve">.</w:t>
      </w:r>
      <w:r>
        <w:t xml:space="preserve"> </w:t>
      </w:r>
      <w:r>
        <w:t xml:space="preserve">Growth</w:t>
      </w:r>
      <w:r>
        <w:t xml:space="preserve">,</w:t>
      </w:r>
      <w:r>
        <w:t xml:space="preserve"> </w:t>
      </w:r>
      <w:r>
        <w:t xml:space="preserve">Forage Quality</w:t>
      </w:r>
      <w:r>
        <w:t xml:space="preserve">,</w:t>
      </w:r>
      <w:r>
        <w:t xml:space="preserve"> </w:t>
      </w:r>
      <w:r>
        <w:t xml:space="preserve">Yield</w:t>
      </w:r>
      <w:r>
        <w:t xml:space="preserve">,</w:t>
      </w:r>
      <w:r>
        <w:t xml:space="preserve"> </w:t>
      </w:r>
      <w:r>
        <w:t xml:space="preserve">Water Use</w:t>
      </w:r>
      <w:r>
        <w:t xml:space="preserve">, and</w:t>
      </w:r>
      <w:r>
        <w:t xml:space="preserve"> </w:t>
      </w:r>
      <w:r>
        <w:t xml:space="preserve">Water</w:t>
      </w:r>
      <w:r>
        <w:t xml:space="preserve">-</w:t>
      </w:r>
      <w:r>
        <w:t xml:space="preserve">Use Efficiency</w:t>
      </w:r>
      <w:r>
        <w:rPr>
          <w:vertAlign w:val="superscript"/>
        </w:rPr>
        <w:t xml:space="preserve">1</w:t>
      </w:r>
      <w:r>
        <w:t xml:space="preserve">.”</w:t>
      </w:r>
      <w:r>
        <w:t xml:space="preserve"> </w:t>
      </w:r>
      <w:r>
        <w:rPr>
          <w:i/>
          <w:iCs/>
        </w:rPr>
        <w:t xml:space="preserve">Crop Science</w:t>
      </w:r>
      <w:r>
        <w:t xml:space="preserve"> </w:t>
      </w:r>
      <w:r>
        <w:t xml:space="preserve">23 (4): 669–75.</w:t>
      </w:r>
      <w:r>
        <w:t xml:space="preserve"> </w:t>
      </w:r>
      <w:hyperlink r:id="rId97">
        <w:r>
          <w:rPr>
            <w:rStyle w:val="Hyperlink"/>
          </w:rPr>
          <w:t xml:space="preserve">https://doi.org/10.2135/cropsci1983.0011183X002300040016x</w:t>
        </w:r>
      </w:hyperlink>
      <w:r>
        <w:t xml:space="preserve">.</w:t>
      </w:r>
    </w:p>
    <w:bookmarkEnd w:id="98"/>
    <w:bookmarkStart w:id="100" w:name="ref-CohonMarksMultiobjective1973"/>
    <w:p>
      <w:pPr>
        <w:pStyle w:val="Bibliography"/>
      </w:pPr>
      <w:r>
        <w:t xml:space="preserve">Cohon, Jared L., and David H. Marks. 1973.</w:t>
      </w:r>
      <w:r>
        <w:t xml:space="preserve"> </w:t>
      </w:r>
      <w:r>
        <w:t xml:space="preserve">“Multiobjective Screening Models and Water Resource Investment.”</w:t>
      </w:r>
      <w:r>
        <w:t xml:space="preserve"> </w:t>
      </w:r>
      <w:r>
        <w:rPr>
          <w:i/>
          <w:iCs/>
        </w:rPr>
        <w:t xml:space="preserve">Water Resources Research</w:t>
      </w:r>
      <w:r>
        <w:t xml:space="preserve"> </w:t>
      </w:r>
      <w:r>
        <w:t xml:space="preserve">9 (4): 826–36.</w:t>
      </w:r>
      <w:r>
        <w:t xml:space="preserve"> </w:t>
      </w:r>
      <w:hyperlink r:id="rId99">
        <w:r>
          <w:rPr>
            <w:rStyle w:val="Hyperlink"/>
          </w:rPr>
          <w:t xml:space="preserve">https://doi.org/10.1029/WR009i004p00826</w:t>
        </w:r>
      </w:hyperlink>
      <w:r>
        <w:t xml:space="preserve">.</w:t>
      </w:r>
    </w:p>
    <w:bookmarkEnd w:id="100"/>
    <w:bookmarkStart w:id="101" w:name="X57acf74f4e6bbb2dbfb24b295bee561f3691de6"/>
    <w:p>
      <w:pPr>
        <w:pStyle w:val="Bibliography"/>
      </w:pP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Klamath Watershed</w:t>
      </w:r>
      <w:r>
        <w:t xml:space="preserve">.”</w:t>
      </w:r>
      <w:r>
        <w:t xml:space="preserve"> </w:t>
      </w:r>
      <w:r>
        <w:t xml:space="preserve">2021. {{NOTICE OF APPROVAL OF EMERGENCY REGULATORY ACTION}}.</w:t>
      </w:r>
    </w:p>
    <w:bookmarkEnd w:id="101"/>
    <w:bookmarkStart w:id="102" w:name="X6facecaac3164717d4e5933b1aebd85f9388655"/>
    <w:p>
      <w:pPr>
        <w:pStyle w:val="Bibliography"/>
      </w:pP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2024. {{NOTICE OF APPROVAL OF EMERGENCY REGULATORY ACTION}}.</w:t>
      </w:r>
    </w:p>
    <w:bookmarkEnd w:id="102"/>
    <w:bookmarkStart w:id="103" w:name="ref-FogliaEtAlScott2013"/>
    <w:p>
      <w:pPr>
        <w:pStyle w:val="Bibliography"/>
      </w:pPr>
      <w:r>
        <w:t xml:space="preserve">Foglia, Laura, Alison McNally, Courtney Hall, Lauren Ledesma, Ryan Hines, and Thomas Harter. 2013.</w:t>
      </w:r>
      <w:r>
        <w:t xml:space="preserve"> </w:t>
      </w:r>
      <w:r>
        <w:t xml:space="preserve">“Scott</w:t>
      </w:r>
      <w:r>
        <w:t xml:space="preserve"> </w:t>
      </w:r>
      <w:r>
        <w:t xml:space="preserve">Valley Integrated Hydrologic Model</w:t>
      </w:r>
      <w:r>
        <w:t xml:space="preserve">:</w:t>
      </w:r>
      <w:r>
        <w:t xml:space="preserve"> </w:t>
      </w:r>
      <w:r>
        <w:t xml:space="preserve">Data Collection</w:t>
      </w:r>
      <w:r>
        <w:t xml:space="preserve">,</w:t>
      </w:r>
      <w:r>
        <w:t xml:space="preserve"> </w:t>
      </w:r>
      <w:r>
        <w:t xml:space="preserve">Analysis</w:t>
      </w:r>
      <w:r>
        <w:t xml:space="preserve">, and</w:t>
      </w:r>
      <w:r>
        <w:t xml:space="preserve"> </w:t>
      </w:r>
      <w:r>
        <w:t xml:space="preserve">Water Budget</w:t>
      </w:r>
      <w:r>
        <w:t xml:space="preserve">.”</w:t>
      </w:r>
      <w:r>
        <w:t xml:space="preserve"> </w:t>
      </w:r>
      <w:r>
        <w:t xml:space="preserve">Davis, CA: North Coast Regional Water Quality Control Board.</w:t>
      </w:r>
    </w:p>
    <w:bookmarkEnd w:id="103"/>
    <w:bookmarkStart w:id="104" w:name="Xff198d1a9510a26c6b6a97c9924d7fdc8be1418"/>
    <w:p>
      <w:pPr>
        <w:pStyle w:val="Bibliography"/>
      </w:pPr>
      <w:r>
        <w:t xml:space="preserve">Fox Canyon Groundwater Management Agency. 2019.</w:t>
      </w:r>
      <w:r>
        <w:t xml:space="preserve"> </w:t>
      </w:r>
      <w:r>
        <w:t xml:space="preserve">“Groundwater</w:t>
      </w:r>
      <w:r>
        <w:t xml:space="preserve"> </w:t>
      </w:r>
      <w:r>
        <w:t xml:space="preserve">Sustainability Plan</w:t>
      </w:r>
      <w:r>
        <w:t xml:space="preserve"> </w:t>
      </w:r>
      <w:r>
        <w:t xml:space="preserve">for the</w:t>
      </w:r>
      <w:r>
        <w:t xml:space="preserve"> </w:t>
      </w:r>
      <w:r>
        <w:t xml:space="preserve">Oxnard Subbasin</w:t>
      </w:r>
      <w:r>
        <w:t xml:space="preserve">.”</w:t>
      </w:r>
      <w:r>
        <w:t xml:space="preserve"> </w:t>
      </w:r>
      <w:r>
        <w:t xml:space="preserve">Ventura, CA: Fox Canyon Groundwater Manegement Agency.</w:t>
      </w:r>
    </w:p>
    <w:bookmarkEnd w:id="104"/>
    <w:bookmarkStart w:id="106"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t xml:space="preserve">.”</w:t>
      </w:r>
      <w:r>
        <w:t xml:space="preserve"> </w:t>
      </w:r>
      <w:r>
        <w:rPr>
          <w:i/>
          <w:iCs/>
        </w:rPr>
        <w:t xml:space="preserve">Journal of the American Water Resources Association</w:t>
      </w:r>
      <w:r>
        <w:t xml:space="preserve"> </w:t>
      </w:r>
      <w:r>
        <w:t xml:space="preserve">36 (3): 483–91.</w:t>
      </w:r>
      <w:r>
        <w:t xml:space="preserve"> </w:t>
      </w:r>
      <w:hyperlink r:id="rId105">
        <w:r>
          <w:rPr>
            <w:rStyle w:val="Hyperlink"/>
          </w:rPr>
          <w:t xml:space="preserve">https://doi.org/10.1111/j.1752-1688.2000.tb04280.x</w:t>
        </w:r>
      </w:hyperlink>
      <w:r>
        <w:t xml:space="preserve">.</w:t>
      </w:r>
    </w:p>
    <w:bookmarkEnd w:id="106"/>
    <w:bookmarkStart w:id="107" w:name="ref-HarterHinesSCOTT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University of California, Davis.</w:t>
      </w:r>
    </w:p>
    <w:bookmarkEnd w:id="107"/>
    <w:bookmarkStart w:id="109" w:name="ref-KapelanEtAlMultiobjective2005"/>
    <w:p>
      <w:pPr>
        <w:pStyle w:val="Bibliography"/>
      </w:pPr>
      <w:r>
        <w:t xml:space="preserve">Kapelan, Zoran S., Dragan A. Savic, and Godfrey A. Walters. 2005.</w:t>
      </w:r>
      <w:r>
        <w:t xml:space="preserve"> </w:t>
      </w:r>
      <w:r>
        <w:t xml:space="preserve">“Multiobjective Design of Water Distribution Systems Under Uncertainty.”</w:t>
      </w:r>
      <w:r>
        <w:t xml:space="preserve"> </w:t>
      </w:r>
      <w:r>
        <w:rPr>
          <w:i/>
          <w:iCs/>
        </w:rPr>
        <w:t xml:space="preserve">Water Resources Research</w:t>
      </w:r>
      <w:r>
        <w:t xml:space="preserve"> </w:t>
      </w:r>
      <w:r>
        <w:t xml:space="preserve">41 (11): 2004WR003787.</w:t>
      </w:r>
      <w:r>
        <w:t xml:space="preserve"> </w:t>
      </w:r>
      <w:hyperlink r:id="rId108">
        <w:r>
          <w:rPr>
            <w:rStyle w:val="Hyperlink"/>
          </w:rPr>
          <w:t xml:space="preserve">https://doi.org/10.1029/2004WR003787</w:t>
        </w:r>
      </w:hyperlink>
      <w:r>
        <w:t xml:space="preserve">.</w:t>
      </w:r>
    </w:p>
    <w:bookmarkEnd w:id="109"/>
    <w:bookmarkStart w:id="111"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10">
        <w:r>
          <w:rPr>
            <w:rStyle w:val="Hyperlink"/>
          </w:rPr>
          <w:t xml:space="preserve">https://doi.org/10.1002/eco.70098</w:t>
        </w:r>
      </w:hyperlink>
      <w:r>
        <w:t xml:space="preserve">.</w:t>
      </w:r>
    </w:p>
    <w:bookmarkEnd w:id="111"/>
    <w:bookmarkStart w:id="113" w:name="ref-MackGeology1958"/>
    <w:p>
      <w:pPr>
        <w:pStyle w:val="Bibliography"/>
      </w:pPr>
      <w:r>
        <w:t xml:space="preserve">Mack, Seymour. 1958.</w:t>
      </w:r>
      <w:r>
        <w:t xml:space="preserve"> </w:t>
      </w:r>
      <w:r>
        <w:t xml:space="preserve">“Geology and Ground-Water Features of</w:t>
      </w:r>
      <w:r>
        <w:t xml:space="preserve"> </w:t>
      </w:r>
      <w:r>
        <w:t xml:space="preserve">Scott Valley</w:t>
      </w:r>
      <w:r>
        <w:t xml:space="preserve">,</w:t>
      </w:r>
      <w:r>
        <w:t xml:space="preserve"> </w:t>
      </w:r>
      <w:r>
        <w:t xml:space="preserve">Siskiyou County</w:t>
      </w:r>
      <w:r>
        <w:t xml:space="preserve">,</w:t>
      </w:r>
      <w:r>
        <w:t xml:space="preserve"> </w:t>
      </w:r>
      <w:r>
        <w:t xml:space="preserve">California</w:t>
      </w:r>
      <w:r>
        <w:t xml:space="preserve">.”</w:t>
      </w:r>
      <w:r>
        <w:t xml:space="preserve"> </w:t>
      </w:r>
      <w:r>
        <w:t xml:space="preserve">Geological {{Survey Water-Supply Paper}} 1462. United States Geological Survey.</w:t>
      </w:r>
      <w:r>
        <w:t xml:space="preserve"> </w:t>
      </w:r>
      <w:hyperlink r:id="rId112">
        <w:r>
          <w:rPr>
            <w:rStyle w:val="Hyperlink"/>
          </w:rPr>
          <w:t xml:space="preserve">https://doi.org/10.3133/wsp1462</w:t>
        </w:r>
      </w:hyperlink>
      <w:r>
        <w:t xml:space="preserve">.</w:t>
      </w:r>
    </w:p>
    <w:bookmarkEnd w:id="113"/>
    <w:bookmarkStart w:id="115" w:name="ref-MahoneyRoodStreamflow1998"/>
    <w:p>
      <w:pPr>
        <w:pStyle w:val="Bibliography"/>
      </w:pPr>
      <w:r>
        <w:t xml:space="preserve">Mahoney, John M., and Stewart B. Rood. 1998.</w:t>
      </w:r>
      <w:r>
        <w:t xml:space="preserve"> </w:t>
      </w:r>
      <w:r>
        <w:t xml:space="preserve">“Streamflow Requirements for Cottonwood Seedling Recruitment—</w:t>
      </w:r>
      <w:r>
        <w:t xml:space="preserve">An</w:t>
      </w:r>
      <w:r>
        <w:t xml:space="preserve"> </w:t>
      </w:r>
      <w:r>
        <w:t xml:space="preserve">Integrative Model.”</w:t>
      </w:r>
      <w:r>
        <w:t xml:space="preserve"> </w:t>
      </w:r>
      <w:r>
        <w:rPr>
          <w:i/>
          <w:iCs/>
        </w:rPr>
        <w:t xml:space="preserve">Wetlands</w:t>
      </w:r>
      <w:r>
        <w:t xml:space="preserve"> </w:t>
      </w:r>
      <w:r>
        <w:t xml:space="preserve">18 (4): 634–45.</w:t>
      </w:r>
      <w:r>
        <w:t xml:space="preserve"> </w:t>
      </w:r>
      <w:hyperlink r:id="rId114">
        <w:r>
          <w:rPr>
            <w:rStyle w:val="Hyperlink"/>
          </w:rPr>
          <w:t xml:space="preserve">https://doi.org/10.1007/BF03161678</w:t>
        </w:r>
      </w:hyperlink>
      <w:r>
        <w:t xml:space="preserve">.</w:t>
      </w:r>
    </w:p>
    <w:bookmarkEnd w:id="115"/>
    <w:bookmarkStart w:id="117" w:name="ref-MonarchiEtAlInteractive1973"/>
    <w:p>
      <w:pPr>
        <w:pStyle w:val="Bibliography"/>
      </w:pPr>
      <w:r>
        <w:t xml:space="preserve">Monarchi, David E., Chester C. Kisiel, and Lucien Duckstein. 1973.</w:t>
      </w:r>
      <w:r>
        <w:t xml:space="preserve"> </w:t>
      </w:r>
      <w:r>
        <w:t xml:space="preserve">“Interactive Multiobjective Programing in Water Resources:</w:t>
      </w:r>
      <w:r>
        <w:t xml:space="preserve"> </w:t>
      </w:r>
      <w:r>
        <w:t xml:space="preserve">A</w:t>
      </w:r>
      <w:r>
        <w:t xml:space="preserve"> </w:t>
      </w:r>
      <w:r>
        <w:t xml:space="preserve">Case Study.”</w:t>
      </w:r>
      <w:r>
        <w:t xml:space="preserve"> </w:t>
      </w:r>
      <w:r>
        <w:rPr>
          <w:i/>
          <w:iCs/>
        </w:rPr>
        <w:t xml:space="preserve">Water Resources Research</w:t>
      </w:r>
      <w:r>
        <w:t xml:space="preserve"> </w:t>
      </w:r>
      <w:r>
        <w:t xml:space="preserve">9 (4): 837–50.</w:t>
      </w:r>
      <w:r>
        <w:t xml:space="preserve"> </w:t>
      </w:r>
      <w:hyperlink r:id="rId116">
        <w:r>
          <w:rPr>
            <w:rStyle w:val="Hyperlink"/>
          </w:rPr>
          <w:t xml:space="preserve">https://doi.org/10.1029/WR009i004p00837</w:t>
        </w:r>
      </w:hyperlink>
      <w:r>
        <w:t xml:space="preserve">.</w:t>
      </w:r>
    </w:p>
    <w:bookmarkEnd w:id="117"/>
    <w:bookmarkStart w:id="119"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18">
        <w:r>
          <w:rPr>
            <w:rStyle w:val="Hyperlink"/>
          </w:rPr>
          <w:t xml:space="preserve">https://doi.org/10.1016/j.envsci.2016.05.006</w:t>
        </w:r>
      </w:hyperlink>
      <w:r>
        <w:t xml:space="preserve">.</w:t>
      </w:r>
    </w:p>
    <w:bookmarkEnd w:id="119"/>
    <w:bookmarkStart w:id="121" w:name="ref-OhlbergerEtAlEffects2018"/>
    <w:p>
      <w:pPr>
        <w:pStyle w:val="Bibliography"/>
      </w:pPr>
      <w:r>
        <w:t xml:space="preserve">Ohlberger, Jan, Thomas W. Buehrens, Samuel J. Brenkman, Patrick Crain, Thomas P. Quinn, and Ray Hilborn. 2018.</w:t>
      </w:r>
      <w:r>
        <w:t xml:space="preserve"> </w:t>
      </w:r>
      <w:r>
        <w:t xml:space="preserve">“Effects of Past and Projected River Discharge Variability on Freshwater Production in an Anadromous Fish.”</w:t>
      </w:r>
      <w:r>
        <w:t xml:space="preserve"> </w:t>
      </w:r>
      <w:r>
        <w:rPr>
          <w:i/>
          <w:iCs/>
        </w:rPr>
        <w:t xml:space="preserve">Freshwater Biology</w:t>
      </w:r>
      <w:r>
        <w:t xml:space="preserve"> </w:t>
      </w:r>
      <w:r>
        <w:t xml:space="preserve">63 (4): 331–40.</w:t>
      </w:r>
      <w:r>
        <w:t xml:space="preserve"> </w:t>
      </w:r>
      <w:hyperlink r:id="rId120">
        <w:r>
          <w:rPr>
            <w:rStyle w:val="Hyperlink"/>
          </w:rPr>
          <w:t xml:space="preserve">https://doi.org/10.1111/fwb.13070</w:t>
        </w:r>
      </w:hyperlink>
      <w:r>
        <w:t xml:space="preserve">.</w:t>
      </w:r>
    </w:p>
    <w:bookmarkEnd w:id="121"/>
    <w:bookmarkStart w:id="122" w:name="X35601437fc25b0fdd92b478f2f9ddeaed3398df"/>
    <w:p>
      <w:pPr>
        <w:pStyle w:val="Bibliography"/>
      </w:pPr>
      <w:r>
        <w:t xml:space="preserve">Scott River Watershed Council. 2018.</w:t>
      </w:r>
      <w:r>
        <w:t xml:space="preserve"> </w:t>
      </w:r>
      <w:r>
        <w:t xml:space="preserve">“Restoring</w:t>
      </w:r>
      <w:r>
        <w:t xml:space="preserve"> </w:t>
      </w:r>
      <w:r>
        <w:t xml:space="preserve">Priority Coho Habitat</w:t>
      </w:r>
      <w:r>
        <w:t xml:space="preserve"> </w:t>
      </w:r>
      <w:r>
        <w:t xml:space="preserve">in the</w:t>
      </w:r>
      <w:r>
        <w:t xml:space="preserve"> </w:t>
      </w:r>
      <w:r>
        <w:t xml:space="preserve">Scott River Watershed Modeling</w:t>
      </w:r>
      <w:r>
        <w:t xml:space="preserve"> </w:t>
      </w:r>
      <w:r>
        <w:t xml:space="preserve">and</w:t>
      </w:r>
      <w:r>
        <w:t xml:space="preserve"> </w:t>
      </w:r>
      <w:r>
        <w:t xml:space="preserve">Planning Report</w:t>
      </w:r>
      <w:r>
        <w:t xml:space="preserve">.”</w:t>
      </w:r>
    </w:p>
    <w:bookmarkEnd w:id="122"/>
    <w:bookmarkStart w:id="123" w:name="X334218043bd9d5b07a848a610917fcfef0168db"/>
    <w:p>
      <w:pPr>
        <w:pStyle w:val="Bibliography"/>
      </w:pPr>
      <w:r>
        <w:t xml:space="preserve">Scott Valley Area Plan Committee. 1980.</w:t>
      </w:r>
      <w:r>
        <w:t xml:space="preserve"> </w:t>
      </w:r>
      <w:r>
        <w:t xml:space="preserve">“Scott</w:t>
      </w:r>
      <w:r>
        <w:t xml:space="preserve"> </w:t>
      </w:r>
      <w:r>
        <w:t xml:space="preserve">Valley Area Plan</w:t>
      </w:r>
      <w:r>
        <w:t xml:space="preserve">.”</w:t>
      </w:r>
      <w:r>
        <w:t xml:space="preserve"> </w:t>
      </w:r>
      <w:r>
        <w:t xml:space="preserve">Siskiyou County.</w:t>
      </w:r>
    </w:p>
    <w:bookmarkEnd w:id="123"/>
    <w:bookmarkStart w:id="124" w:name="ref-SiskiyouCountyScott2021"/>
    <w:p>
      <w:pPr>
        <w:pStyle w:val="Bibliography"/>
      </w:pPr>
      <w:r>
        <w:t xml:space="preserve">Siskiyou County. 2021.</w:t>
      </w:r>
      <w:r>
        <w:t xml:space="preserve"> </w:t>
      </w:r>
      <w:r>
        <w:t xml:space="preserve">“Scott</w:t>
      </w:r>
      <w:r>
        <w:t xml:space="preserve"> </w:t>
      </w:r>
      <w:r>
        <w:t xml:space="preserve">Valley Groundwater Sustainability Plan</w:t>
      </w:r>
      <w:r>
        <w:t xml:space="preserve">.”</w:t>
      </w:r>
    </w:p>
    <w:bookmarkEnd w:id="124"/>
    <w:bookmarkStart w:id="125" w:name="X15105b7917297e4641cb2d2cfd1651756f7bcb0"/>
    <w:p>
      <w:pPr>
        <w:pStyle w:val="Bibliography"/>
      </w:pPr>
      <w:r>
        <w:t xml:space="preserve">Siskiyou County GSA - Scott Valley Groundwater Advisory Committee. 2021.</w:t>
      </w:r>
      <w:r>
        <w:t xml:space="preserve"> </w:t>
      </w:r>
      <w:r>
        <w:t xml:space="preserve">“Siskiyou</w:t>
      </w:r>
      <w:r>
        <w:t xml:space="preserve"> </w:t>
      </w:r>
      <w:r>
        <w:t xml:space="preserve">County Groundwater Sustainability Agency</w:t>
      </w:r>
      <w:r>
        <w:t xml:space="preserve">:</w:t>
      </w:r>
      <w:r>
        <w:t xml:space="preserve"> </w:t>
      </w:r>
      <w:r>
        <w:t xml:space="preserve">Scott Valley Advisory Committee Meeting</w:t>
      </w:r>
      <w:r>
        <w:t xml:space="preserve">.”</w:t>
      </w:r>
      <w:r>
        <w:t xml:space="preserve"> </w:t>
      </w:r>
      <w:r>
        <w:t xml:space="preserve">Fort Jones, CA: Siskiyou County.</w:t>
      </w:r>
    </w:p>
    <w:bookmarkEnd w:id="125"/>
    <w:bookmarkStart w:id="126" w:name="Xa7b10fbb32571a990cee2341e679d296b855974"/>
    <w:p>
      <w:pPr>
        <w:pStyle w:val="Bibliography"/>
      </w:pPr>
      <w:r>
        <w:t xml:space="preserve">STATE WATER RESOURCES CONTROL BOARD. 2024.</w:t>
      </w:r>
      <w:r>
        <w:t xml:space="preserve"> </w:t>
      </w:r>
      <w:r>
        <w:t xml:space="preserve">“</w:t>
      </w:r>
      <w:r>
        <w:t xml:space="preserve">RESOLUTION NO</w:t>
      </w:r>
      <w:r>
        <w:t xml:space="preserve">. 2024-0036:</w:t>
      </w:r>
      <w:r>
        <w:t xml:space="preserve"> </w:t>
      </w:r>
      <w:r>
        <w:t xml:space="preserve">REGARDING FLOW EFFORTS IN THE SCOTT RIVER AND SHASTA RIVER WATERSHEDS</w:t>
      </w:r>
      <w:r>
        <w:t xml:space="preserve">.”</w:t>
      </w:r>
      <w:r>
        <w:t xml:space="preserve"> </w:t>
      </w:r>
      <w:r>
        <w:t xml:space="preserve">2024-0036.</w:t>
      </w:r>
    </w:p>
    <w:bookmarkEnd w:id="126"/>
    <w:bookmarkStart w:id="128" w:name="ref-SundingMeasuring1996"/>
    <w:p>
      <w:pPr>
        <w:pStyle w:val="Bibliography"/>
      </w:pPr>
      <w:r>
        <w:t xml:space="preserve">Sunding, David L. 1996.</w:t>
      </w:r>
      <w:r>
        <w:t xml:space="preserve"> </w:t>
      </w:r>
      <w:r>
        <w:t xml:space="preserve">“Measuring the</w:t>
      </w:r>
      <w:r>
        <w:t xml:space="preserve"> </w:t>
      </w:r>
      <w:r>
        <w:t xml:space="preserve">Marginal Cost</w:t>
      </w:r>
      <w:r>
        <w:t xml:space="preserve"> </w:t>
      </w:r>
      <w:r>
        <w:t xml:space="preserve">of</w:t>
      </w:r>
      <w:r>
        <w:t xml:space="preserve"> </w:t>
      </w:r>
      <w:r>
        <w:t xml:space="preserve">Nonuniform Environmental Regulations</w:t>
      </w:r>
      <w:r>
        <w:t xml:space="preserve">.”</w:t>
      </w:r>
      <w:r>
        <w:t xml:space="preserve"> </w:t>
      </w:r>
      <w:r>
        <w:rPr>
          <w:i/>
          <w:iCs/>
        </w:rPr>
        <w:t xml:space="preserve">American Journal of Agricultural Economics</w:t>
      </w:r>
      <w:r>
        <w:t xml:space="preserve"> </w:t>
      </w:r>
      <w:r>
        <w:t xml:space="preserve">78 (4): 1098–1107.</w:t>
      </w:r>
      <w:r>
        <w:t xml:space="preserve"> </w:t>
      </w:r>
      <w:hyperlink r:id="rId127">
        <w:r>
          <w:rPr>
            <w:rStyle w:val="Hyperlink"/>
          </w:rPr>
          <w:t xml:space="preserve">https://doi.org/10.2307/1243866</w:t>
        </w:r>
      </w:hyperlink>
      <w:r>
        <w:t xml:space="preserve">.</w:t>
      </w:r>
    </w:p>
    <w:bookmarkEnd w:id="128"/>
    <w:bookmarkStart w:id="130" w:name="ref-TolleyEtAlSensitivity2019"/>
    <w:p>
      <w:pPr>
        <w:pStyle w:val="Bibliography"/>
      </w:pPr>
      <w:r>
        <w:t xml:space="preserve">Tolley, D., L. Foglia, and T. Harter. 2019.</w:t>
      </w:r>
      <w:r>
        <w:t xml:space="preserve"> </w:t>
      </w:r>
      <w:r>
        <w:t xml:space="preserve">“Sensitivity</w:t>
      </w:r>
      <w:r>
        <w:t xml:space="preserve"> </w:t>
      </w:r>
      <w:r>
        <w:t xml:space="preserve">Analysis</w:t>
      </w:r>
      <w:r>
        <w:t xml:space="preserve"> </w:t>
      </w:r>
      <w:r>
        <w:t xml:space="preserve">and</w:t>
      </w:r>
      <w:r>
        <w:t xml:space="preserve"> </w:t>
      </w:r>
      <w:r>
        <w:t xml:space="preserve">Calibration</w:t>
      </w:r>
      <w:r>
        <w:t xml:space="preserve"> </w:t>
      </w:r>
      <w:r>
        <w:t xml:space="preserve">of an</w:t>
      </w:r>
      <w:r>
        <w:t xml:space="preserve"> </w:t>
      </w:r>
      <w:r>
        <w:t xml:space="preserve">Integrated Hydrologic Model</w:t>
      </w:r>
      <w:r>
        <w:t xml:space="preserve"> </w:t>
      </w:r>
      <w:r>
        <w:t xml:space="preserve">in an</w:t>
      </w:r>
      <w:r>
        <w:t xml:space="preserve"> </w:t>
      </w:r>
      <w:r>
        <w:t xml:space="preserve">Irrigated Agricultural Basin With</w:t>
      </w:r>
      <w:r>
        <w:t xml:space="preserve"> </w:t>
      </w:r>
      <w:r>
        <w:t xml:space="preserve">a</w:t>
      </w:r>
      <w:r>
        <w:t xml:space="preserve"> </w:t>
      </w:r>
      <w:r>
        <w:t xml:space="preserve">Groundwater-Dependent Ecosystem</w:t>
      </w:r>
      <w:r>
        <w:t xml:space="preserve">.”</w:t>
      </w:r>
      <w:r>
        <w:t xml:space="preserve"> </w:t>
      </w:r>
      <w:r>
        <w:rPr>
          <w:i/>
          <w:iCs/>
        </w:rPr>
        <w:t xml:space="preserve">Water Resources Research</w:t>
      </w:r>
      <w:r>
        <w:t xml:space="preserve"> </w:t>
      </w:r>
      <w:r>
        <w:t xml:space="preserve">55 (9): 7876–7901.</w:t>
      </w:r>
      <w:r>
        <w:t xml:space="preserve"> </w:t>
      </w:r>
      <w:hyperlink r:id="rId129">
        <w:r>
          <w:rPr>
            <w:rStyle w:val="Hyperlink"/>
          </w:rPr>
          <w:t xml:space="preserve">https://doi.org/10.1029/2018WR024209</w:t>
        </w:r>
      </w:hyperlink>
      <w:r>
        <w:t xml:space="preserve">.</w:t>
      </w:r>
    </w:p>
    <w:bookmarkEnd w:id="130"/>
    <w:bookmarkStart w:id="132" w:name="ref-VanSteenbergenPromoting2006"/>
    <w:p>
      <w:pPr>
        <w:pStyle w:val="Bibliography"/>
      </w:pPr>
      <w:r>
        <w:t xml:space="preserve">Van Steenbergen, Frank. 2006.</w:t>
      </w:r>
      <w:r>
        <w:t xml:space="preserve"> </w:t>
      </w:r>
      <w:r>
        <w:t xml:space="preserve">“Promoting Local Management in Groundwater.”</w:t>
      </w:r>
      <w:r>
        <w:t xml:space="preserve"> </w:t>
      </w:r>
      <w:r>
        <w:rPr>
          <w:i/>
          <w:iCs/>
        </w:rPr>
        <w:t xml:space="preserve">Hydrogeology Journal</w:t>
      </w:r>
      <w:r>
        <w:t xml:space="preserve"> </w:t>
      </w:r>
      <w:r>
        <w:t xml:space="preserve">14 (3): 380–91.</w:t>
      </w:r>
      <w:r>
        <w:t xml:space="preserve"> </w:t>
      </w:r>
      <w:hyperlink r:id="rId131">
        <w:r>
          <w:rPr>
            <w:rStyle w:val="Hyperlink"/>
          </w:rPr>
          <w:t xml:space="preserve">https://doi.org/10.1007/s10040-005-0015-y</w:t>
        </w:r>
      </w:hyperlink>
      <w:r>
        <w:t xml:space="preserve">.</w:t>
      </w:r>
    </w:p>
    <w:bookmarkEnd w:id="132"/>
    <w:bookmarkStart w:id="134" w:name="ref-YehBeckerMultiobjective1982"/>
    <w:p>
      <w:pPr>
        <w:pStyle w:val="Bibliography"/>
      </w:pPr>
      <w:r>
        <w:t xml:space="preserve">Yeh, William W-G., and Leonard Becker. 1982.</w:t>
      </w:r>
      <w:r>
        <w:t xml:space="preserve"> </w:t>
      </w:r>
      <w:r>
        <w:t xml:space="preserve">“Multiobjective Analysis of Multireservoir Operations.”</w:t>
      </w:r>
      <w:r>
        <w:t xml:space="preserve"> </w:t>
      </w:r>
      <w:r>
        <w:rPr>
          <w:i/>
          <w:iCs/>
        </w:rPr>
        <w:t xml:space="preserve">Water Resources Research</w:t>
      </w:r>
      <w:r>
        <w:t xml:space="preserve"> </w:t>
      </w:r>
      <w:r>
        <w:t xml:space="preserve">18 (5): 1326–36.</w:t>
      </w:r>
      <w:r>
        <w:t xml:space="preserve"> </w:t>
      </w:r>
      <w:hyperlink r:id="rId133">
        <w:r>
          <w:rPr>
            <w:rStyle w:val="Hyperlink"/>
          </w:rPr>
          <w:t xml:space="preserve">https://doi.org/10.1029/WR018i005p01326</w:t>
        </w:r>
      </w:hyperlink>
      <w:r>
        <w:t xml:space="preserve">.</w:t>
      </w:r>
    </w:p>
    <w:bookmarkEnd w:id="134"/>
    <w:bookmarkStart w:id="135" w:name="X8bf5592004e543b04dfcfc3edb39663c8006d78"/>
    <w:p>
      <w:pPr>
        <w:pStyle w:val="Bibliography"/>
      </w:pPr>
      <w:r>
        <w:t xml:space="preserve">Yolo Subbasin Groundwater Agency. 2022.</w:t>
      </w:r>
      <w:r>
        <w:t xml:space="preserve"> </w:t>
      </w:r>
      <w:r>
        <w:t xml:space="preserve">“Yolo</w:t>
      </w:r>
      <w:r>
        <w:t xml:space="preserve"> </w:t>
      </w:r>
      <w:r>
        <w:t xml:space="preserve">Subbasin Groundwater Sustainability Plan</w:t>
      </w:r>
      <w:r>
        <w:t xml:space="preserve">.”</w:t>
      </w:r>
      <w:r>
        <w:t xml:space="preserve"> </w:t>
      </w:r>
      <w:r>
        <w:t xml:space="preserve">Woodland, CA.</w:t>
      </w:r>
    </w:p>
    <w:bookmarkEnd w:id="135"/>
    <w:bookmarkEnd w:id="136"/>
    <w:p>
      <w:r>
        <w:br w:type="page"/>
      </w:r>
    </w:p>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3" Target="media/rId73.jpg" /><Relationship Type="http://schemas.openxmlformats.org/officeDocument/2006/relationships/hyperlink" Id="rId110" Target="https://doi.org/10.1002/eco.70098" TargetMode="External" /><Relationship Type="http://schemas.openxmlformats.org/officeDocument/2006/relationships/hyperlink" Id="rId114" Target="https://doi.org/10.1007/BF03161678" TargetMode="External" /><Relationship Type="http://schemas.openxmlformats.org/officeDocument/2006/relationships/hyperlink" Id="rId131" Target="https://doi.org/10.1007/s10040-005-0015-y" TargetMode="External" /><Relationship Type="http://schemas.openxmlformats.org/officeDocument/2006/relationships/hyperlink" Id="rId118" Target="https://doi.org/10.1016/j.envsci.2016.05.006" TargetMode="External" /><Relationship Type="http://schemas.openxmlformats.org/officeDocument/2006/relationships/hyperlink" Id="rId108" Target="https://doi.org/10.1029/2004WR003787" TargetMode="External" /><Relationship Type="http://schemas.openxmlformats.org/officeDocument/2006/relationships/hyperlink" Id="rId129" Target="https://doi.org/10.1029/2018WR024209" TargetMode="External" /><Relationship Type="http://schemas.openxmlformats.org/officeDocument/2006/relationships/hyperlink" Id="rId99" Target="https://doi.org/10.1029/WR009i004p00826" TargetMode="External" /><Relationship Type="http://schemas.openxmlformats.org/officeDocument/2006/relationships/hyperlink" Id="rId116" Target="https://doi.org/10.1029/WR009i004p00837" TargetMode="External" /><Relationship Type="http://schemas.openxmlformats.org/officeDocument/2006/relationships/hyperlink" Id="rId133" Target="https://doi.org/10.1029/WR018i005p01326" TargetMode="External" /><Relationship Type="http://schemas.openxmlformats.org/officeDocument/2006/relationships/hyperlink" Id="rId120" Target="https://doi.org/10.1111/fwb.13070" TargetMode="External" /><Relationship Type="http://schemas.openxmlformats.org/officeDocument/2006/relationships/hyperlink" Id="rId105" Target="https://doi.org/10.1111/j.1752-1688.2000.tb04280.x" TargetMode="External" /><Relationship Type="http://schemas.openxmlformats.org/officeDocument/2006/relationships/hyperlink" Id="rId90" Target="https://doi.org/10.1577/1548-8675(1994)014&lt;0237:HDACSO&gt;2.3.CO;2" TargetMode="External" /><Relationship Type="http://schemas.openxmlformats.org/officeDocument/2006/relationships/hyperlink" Id="rId97" Target="https://doi.org/10.2135/cropsci1983.0011183X002300040016x" TargetMode="External" /><Relationship Type="http://schemas.openxmlformats.org/officeDocument/2006/relationships/hyperlink" Id="rId127" Target="https://doi.org/10.2307/1243866" TargetMode="External" /><Relationship Type="http://schemas.openxmlformats.org/officeDocument/2006/relationships/hyperlink" Id="rId112" Target="https://doi.org/10.3133/wsp1462" TargetMode="External" /><Relationship Type="http://schemas.openxmlformats.org/officeDocument/2006/relationships/hyperlink" Id="rId88" Target="https://doi.org/10.3389/fclim.2021.719150" TargetMode="External" /></Relationships>
</file>

<file path=word/_rels/footnotes.xml.rels><?xml version="1.0" encoding="UTF-8"?><Relationships xmlns="http://schemas.openxmlformats.org/package/2006/relationships"><Relationship Type="http://schemas.openxmlformats.org/officeDocument/2006/relationships/hyperlink" Id="rId110" Target="https://doi.org/10.1002/eco.70098" TargetMode="External" /><Relationship Type="http://schemas.openxmlformats.org/officeDocument/2006/relationships/hyperlink" Id="rId114" Target="https://doi.org/10.1007/BF03161678" TargetMode="External" /><Relationship Type="http://schemas.openxmlformats.org/officeDocument/2006/relationships/hyperlink" Id="rId131" Target="https://doi.org/10.1007/s10040-005-0015-y" TargetMode="External" /><Relationship Type="http://schemas.openxmlformats.org/officeDocument/2006/relationships/hyperlink" Id="rId118" Target="https://doi.org/10.1016/j.envsci.2016.05.006" TargetMode="External" /><Relationship Type="http://schemas.openxmlformats.org/officeDocument/2006/relationships/hyperlink" Id="rId108" Target="https://doi.org/10.1029/2004WR003787" TargetMode="External" /><Relationship Type="http://schemas.openxmlformats.org/officeDocument/2006/relationships/hyperlink" Id="rId129" Target="https://doi.org/10.1029/2018WR024209" TargetMode="External" /><Relationship Type="http://schemas.openxmlformats.org/officeDocument/2006/relationships/hyperlink" Id="rId99" Target="https://doi.org/10.1029/WR009i004p00826" TargetMode="External" /><Relationship Type="http://schemas.openxmlformats.org/officeDocument/2006/relationships/hyperlink" Id="rId116" Target="https://doi.org/10.1029/WR009i004p00837" TargetMode="External" /><Relationship Type="http://schemas.openxmlformats.org/officeDocument/2006/relationships/hyperlink" Id="rId133" Target="https://doi.org/10.1029/WR018i005p01326" TargetMode="External" /><Relationship Type="http://schemas.openxmlformats.org/officeDocument/2006/relationships/hyperlink" Id="rId120" Target="https://doi.org/10.1111/fwb.13070" TargetMode="External" /><Relationship Type="http://schemas.openxmlformats.org/officeDocument/2006/relationships/hyperlink" Id="rId105" Target="https://doi.org/10.1111/j.1752-1688.2000.tb04280.x" TargetMode="External" /><Relationship Type="http://schemas.openxmlformats.org/officeDocument/2006/relationships/hyperlink" Id="rId90" Target="https://doi.org/10.1577/1548-8675(1994)014&lt;0237:HDACSO&gt;2.3.CO;2" TargetMode="External" /><Relationship Type="http://schemas.openxmlformats.org/officeDocument/2006/relationships/hyperlink" Id="rId97" Target="https://doi.org/10.2135/cropsci1983.0011183X002300040016x" TargetMode="External" /><Relationship Type="http://schemas.openxmlformats.org/officeDocument/2006/relationships/hyperlink" Id="rId127" Target="https://doi.org/10.2307/1243866" TargetMode="External" /><Relationship Type="http://schemas.openxmlformats.org/officeDocument/2006/relationships/hyperlink" Id="rId112" Target="https://doi.org/10.3133/wsp1462" TargetMode="External" /><Relationship Type="http://schemas.openxmlformats.org/officeDocument/2006/relationships/hyperlink" Id="rId88" Target="https://doi.org/10.3389/fclim.2021.7191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stakeholder-defined portfolio of management options clarifies trade-offs in an active local water planning process</dc:title>
  <dc:creator>Claire Kouba</dc:creator>
  <cp:keywords/>
  <dcterms:created xsi:type="dcterms:W3CDTF">2026-01-07T23:49:52Z</dcterms:created>
  <dcterms:modified xsi:type="dcterms:W3CDTF">2026-01-07T23:49:52Z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2025-11-12</vt:lpwstr>
  </property>
  <property fmtid="{D5CDD505-2E9C-101B-9397-08002B2CF9AE}" pid="4" name="output">
    <vt:lpwstr/>
  </property>
</Properties>
</file>