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60.png" ContentType="image/png"/>
  <Override PartName="/word/media/rId65.png" ContentType="image/pn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investigated</w:t>
      </w:r>
      <w:r>
        <w:t xml:space="preserve"> </w:t>
      </w:r>
      <w:r>
        <w:rPr>
          <w:b/>
          <w:bCs/>
        </w:rPr>
        <w:t xml:space="preserve">[Cite Orloff/Snyder work?]</w:t>
      </w:r>
      <w:r>
        <w:t xml:space="preserve"> </w:t>
      </w:r>
      <w:r>
        <w:t xml:space="preserve">and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reproduction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Importantly, the HB functions developed in this exercise explain only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best-fit statistical model for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However, 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this is explored further in the Discussion section.</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sSub>
          <m:e>
            <m:r>
              <m:t>f</m:t>
            </m:r>
          </m:e>
          <m:sub>
            <m:r>
              <m:t>s</m:t>
            </m:r>
            <m:r>
              <m:t>c</m:t>
            </m:r>
            <m:r>
              <m:t>e</m:t>
            </m:r>
            <m:r>
              <m:t>n</m:t>
            </m:r>
          </m:sub>
        </m:sSub>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evaluate trade-offs between objectives; we use it here to identify quantitatively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and researchers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due to redundancy.</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Additional scenario descriptions are included below in Results and in Supplement A.</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84" w:name="results"/>
    <w:p>
      <w:pPr>
        <w:pStyle w:val="Heading1"/>
      </w:pPr>
      <w:r>
        <w:rPr>
          <w:rStyle w:val="SectionNumber"/>
        </w:rPr>
        <w:t xml:space="preserve">4</w:t>
      </w:r>
      <w:r>
        <w:tab/>
      </w:r>
      <w:r>
        <w:t xml:space="preserve">Results</w:t>
      </w:r>
    </w:p>
    <w:p>
      <w:pPr>
        <w:pStyle w:val="FirstParagraph"/>
      </w:pPr>
      <w:r>
        <w:t xml:space="preserve">As described above, 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Supplemental Material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E</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bookmarkStart w:id="59"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water quality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 see Supplement B for tabulated, untransformed functional flow values).</w:t>
      </w:r>
    </w:p>
    <w:p>
      <w:pPr>
        <w:pStyle w:val="BodyText"/>
      </w:pPr>
      <w:r>
        <w:t xml:space="preserve">The HB formulations represent four ways of answering the question,</w:t>
      </w:r>
      <w:r>
        <w:t xml:space="preserve"> </w:t>
      </w:r>
      <w:r>
        <w:t xml:space="preserve">“how good was this water year for this species, and which flows matter?”</w:t>
      </w:r>
      <w:r>
        <w:t xml:space="preserve"> </w:t>
      </w:r>
      <w:r>
        <w:t xml:space="preserve">For coho, in both absolute and spawner-normalized smolt units, the high-importance flows were fall-to-wet season transition metrics; for units of absolute smolt abundance, the spring recession rate was also important (Supplements B and C , Table 1). For Chinook, in both absolute and spawner-normalized smolt units, the wet season baseflow median magnitude was of greatest importance; for normalized smolt units, maximum spring recession rate was also selected (Supplements D and E, Table 1). Effectively, in the context of LASSO regression, the flows that explain the most variation in smolt production (with minimal overfitting, as determined by k-fold validation) were related to, for coho, the timing of wet season onset and the magnitude of changes in fall flows; and for Chinook, the wet season baseflow.</w:t>
      </w:r>
    </w:p>
    <w:bookmarkEnd w:id="59"/>
    <w:bookmarkStart w:id="64"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w:t>
      </w:r>
      <w:r>
        <w:t xml:space="preserve">and Supplements B-E, Figure 1).</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B." title="" id="61" name="Picture"/>
            <a:graphic>
              <a:graphicData uri="http://schemas.openxmlformats.org/drawingml/2006/picture">
                <pic:pic>
                  <pic:nvPicPr>
                    <pic:cNvPr descr="Graphics%20and%20Supplements/Figure%204.png" id="62" name="Picture"/>
                    <pic:cNvPicPr>
                      <a:picLocks noChangeArrowheads="1" noChangeAspect="1"/>
                    </pic:cNvPicPr>
                  </pic:nvPicPr>
                  <pic:blipFill>
                    <a:blip r:embed="rId6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3" w:name="fig:benefitByWYMainText"/>
      <w:bookmarkEnd w:id="63"/>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B.</w:t>
      </w:r>
    </w:p>
    <w:p>
      <w:pPr>
        <w:pStyle w:val="BodyText"/>
      </w:pPr>
      <w:r>
        <w:t xml:space="preserve">The small effect of some scenarios on HB values implies that these scenarios do not alter the HB function component flows relative to basecase (Supplements B-E, Figure 2). For coho juvenile abundance, in the basecase scenario, it seems that when the HB function predicts a particularly good year (i.e., &gt; 20,000 coho smolt-equiv.), it is driven by a large magnitude fall flow difference, or fall pulse. Conversely, in the years where the HB function predicts a particularly bad year (i.e., ’95, ’98, ’04), it is driven by a rapid first spring recession rate (Supplement B, Figure 2). Conversely, for coho juveniles per spawner (basecase), both good and bad years seem to be largely driven by wet season onset timing (Supplement C, Figure 2).</w:t>
      </w:r>
    </w:p>
    <w:p>
      <w:pPr>
        <w:pStyle w:val="BodyText"/>
      </w:pPr>
      <w:r>
        <w:t xml:space="preserve">In both cases for coho, second fall flow difference makes minor contributions (Supplements B and C , Figure 2), and is assigned a negative coefficient (Table</w:t>
      </w:r>
      <w:r>
        <w:t xml:space="preserve"> </w:t>
      </w:r>
      <w:r>
        <w:t xml:space="preserve">3</w:t>
      </w:r>
      <w:r>
        <w:t xml:space="preserve">).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(Supplements D and E, Figure 2).</w:t>
      </w:r>
    </w:p>
    <w:bookmarkEnd w:id="64"/>
    <w:bookmarkStart w:id="76" w:name="Xd610dcc9f8ae209af31cf7fc51b71ab69b5e9a1"/>
    <w:p>
      <w:pPr>
        <w:pStyle w:val="Heading2"/>
      </w:pPr>
      <w:r>
        <w:rPr>
          <w:rStyle w:val="SectionNumber"/>
        </w:rPr>
        <w:t xml:space="preserve">4.3</w:t>
      </w:r>
      <w:r>
        <w:tab/>
      </w:r>
      <w:r>
        <w:t xml:space="preserve">Environmental-agricultural tradeoffs within and between scenario categories</w:t>
      </w:r>
    </w:p>
    <w:p>
      <w:pPr>
        <w:pStyle w:val="FirstParagraph"/>
      </w:pPr>
      <w:r>
        <w:t xml:space="preserve">The 35-year mean values of HB and ET can be used to map all scenarios on one two-dimensional landscape, which is useful for evaluating trade-offs between objectives (Figure</w:t>
      </w:r>
      <w:r>
        <w:t xml:space="preserve"> </w:t>
      </w:r>
      <w:r>
        <w:t xml:space="preserve">6</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6" name="Picture"/>
            <a:graphic>
              <a:graphicData uri="http://schemas.openxmlformats.org/drawingml/2006/picture">
                <pic:pic>
                  <pic:nvPicPr>
                    <pic:cNvPr descr="Graphics%20and%20Supplements/Figure%205.pn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8" w:name="fig:farmerFishTradeoffFigureMainText"/>
      <w:bookmarkEnd w:id="68"/>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r>
        <w:br w:type="page"/>
      </w:r>
    </w:p>
    <w:p>
      <w:pPr>
        <w:pStyle w:val="TableCaption"/>
      </w:pPr>
      <w:bookmarkStart w:id="69" w:name="tab:scenarioResultsTabMainText"/>
      <w:bookmarkEnd w:id="69"/>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BodyText"/>
      </w:pPr>
      <w:r>
        <w:t xml:space="preserve">In units of coho smolt abundance, three management scenarios actually produce poorer fish outcomes than basecase, but the majority of scenarios produce more favorable flows for smolt production (Figure</w:t>
      </w:r>
      <w:r>
        <w:t xml:space="preserve"> </w:t>
      </w:r>
      <w:r>
        <w:t xml:space="preserve">6</w:t>
      </w:r>
      <w:r>
        <w:t xml:space="preserve">). This is larguly due to scenario impacts on the largest single component of the HB function for coho smolt abundance, first fall flow difference or</w:t>
      </w:r>
      <w:r>
        <w:t xml:space="preserve"> </w:t>
      </w:r>
      <w:r>
        <w:rPr>
          <w:rStyle w:val="VerbatimChar"/>
        </w:rPr>
        <w:t xml:space="preserve">f1_FA_Dif_num</w:t>
      </w:r>
      <w:r>
        <w:t xml:space="preserve">. This metric is calculated as the difference between dry season median discharge and peak fall pulse discharge; in years with no detectable fall pulse flow, this value is set to 0</w:t>
      </w:r>
      <w:r>
        <w:t xml:space="preserve"> </w:t>
      </w:r>
      <w:r>
        <w:t xml:space="preserve">(Carpenter 2024; Baruch et al. 2024)</w:t>
      </w:r>
      <w:r>
        <w:t xml:space="preserve"> </w:t>
      </w:r>
      <w:r>
        <w:t xml:space="preserve">(see also Supplement B, Table 3, and Supplement B, Figure 2).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w:t>
      </w:r>
      <w:r>
        <w:t xml:space="preserve"> </w:t>
      </w:r>
      <w:r>
        <w:t xml:space="preserve">(CDFW 2021)</w:t>
      </w:r>
      <w:r>
        <w:t xml:space="preserve">. Because changes in water use can affect both the dry season minimum and the magnitude of a fall pulse flow, management scenarios may have positive or negative effect on this functional flow, which in turn will influence the total calculated HB value.</w:t>
      </w:r>
      <w:r>
        <w:t xml:space="preserve"> </w:t>
      </w:r>
    </w:p>
    <w:p>
      <w:pPr>
        <w:pStyle w:val="Compact"/>
        <w:numPr>
          <w:ilvl w:val="0"/>
          <w:numId w:val="1006"/>
        </w:numPr>
      </w:pPr>
      <w:r>
        <w:t xml:space="preserve">Chinook plots of fish vs farmer tradeoffs are effectively meaningless, since wet season median flows are largely beyond human control in this undammed watershed. (</w:t>
      </w:r>
      <w:r>
        <w:rPr>
          <w:b/>
          <w:bCs/>
        </w:rPr>
        <w:t xml:space="preserve">for discussion?</w:t>
      </w:r>
      <w:r>
        <w:t xml:space="preserve">)</w:t>
      </w:r>
    </w:p>
    <w:bookmarkStart w:id="70" w:name="small-reservoir"/>
    <w:p>
      <w:pPr>
        <w:pStyle w:val="Heading3"/>
      </w:pPr>
      <w:r>
        <w:rPr>
          <w:rStyle w:val="SectionNumber"/>
        </w:rPr>
        <w:t xml:space="preserve">4.3.1</w:t>
      </w:r>
      <w:r>
        <w:tab/>
      </w:r>
      <w:r>
        <w:t xml:space="preserve">Small Reservoir</w:t>
      </w:r>
    </w:p>
    <w:p>
      <w:pPr>
        <w:pStyle w:val="FirstParagraph"/>
      </w:pPr>
      <w:r>
        <w:t xml:space="preserve">Reservoir scenarios simulate how flows would change if a small reservoir (9 thousand acre-feet, or 11.1 10</w:t>
      </w:r>
      <w:r>
        <w:rPr>
          <w:vertAlign w:val="superscript"/>
        </w:rPr>
        <w:t xml:space="preserve">6</w:t>
      </w:r>
      <w:r>
        <w:t xml:space="preserve"> </w:t>
      </w:r>
      <w:r>
        <w:t xml:space="preserve">m</w:t>
      </w:r>
      <w:r>
        <w:rPr>
          <w:vertAlign w:val="superscript"/>
        </w:rPr>
        <w:t xml:space="preserve">3</w:t>
      </w:r>
      <w:r>
        <w:t xml:space="preserve">), located in the headwaters on one of 3 tributaries, were operated with the following objectives: retain winter flow until full (Dec-Mar), pass along growing season flow (Apr-Aug), and supplement dry season flow (Sep-Nov).</w:t>
      </w:r>
    </w:p>
    <w:p>
      <w:pPr>
        <w:pStyle w:val="BodyText"/>
      </w:pPr>
      <w:r>
        <w:t xml:space="preserve">Somewhat contrary to expectations, reservoir scenarios don’t help coho much, relative to other management options: small reservoirs may not have capacity to add fall flow during dry years when baseflows are lowest (Figure</w:t>
      </w:r>
      <w:r>
        <w:t xml:space="preserve"> </w:t>
      </w:r>
      <w:r>
        <w:t xml:space="preserve">6</w:t>
      </w:r>
      <w:r>
        <w:t xml:space="preserve">, green squares, and Supplements B and C, Figure 3). Reservoir scenarios seem to help Chinook significantly more than coho: even a small reservoir on one tributary appears to dampen wet season stormflows enough to benefit Chinook (Supplements D and E, Figure 3).</w:t>
      </w:r>
    </w:p>
    <w:bookmarkEnd w:id="70"/>
    <w:bookmarkStart w:id="71" w:name="X2217a73426969aa3255f137f1c1e7245c2e41e0"/>
    <w:p>
      <w:pPr>
        <w:pStyle w:val="Heading3"/>
      </w:pPr>
      <w:r>
        <w:rPr>
          <w:rStyle w:val="SectionNumber"/>
        </w:rPr>
        <w:t xml:space="preserve">4.3.2</w:t>
      </w:r>
      <w:r>
        <w:tab/>
      </w:r>
      <w:r>
        <w:t xml:space="preserve">Enhanced Recharge and Irrigation Efficiency</w:t>
      </w:r>
    </w:p>
    <w:p>
      <w:pPr>
        <w:pStyle w:val="FirstParagraph"/>
      </w:pPr>
      <w:r>
        <w:t xml:space="preserve">The two Irrigation Efficiency scenarios simulate widespread adoption of higher-efficiency irrigation technology, such as Low Energy Precision Application (LEPA) or Mid-Elevation Spray Application (MESA) adaptations to spray infrastructure. These upgrades are simulated to result in 10% or 20% greater irrigation efficiency. Efficiency reflects the fraction of applied water used by the plant relative to the total applied (the remainder percolating through the soil to become aquifer recharge).</w:t>
      </w:r>
    </w:p>
    <w:p>
      <w:pPr>
        <w:pStyle w:val="BodyText"/>
      </w:pPr>
      <w:r>
        <w:t xml:space="preserve">The Enhanced Recharge scenario simulates a Managed Aquifer Recharge (MAR) program diverting the maximum permitted diversion rate of 23 cfs (0.65 m</w:t>
      </w:r>
      <w:r>
        <w:rPr>
          <w:vertAlign w:val="superscript"/>
        </w:rPr>
        <w:t xml:space="preserve">3</w:t>
      </w:r>
      <w:r>
        <w:t xml:space="preserve">/sec), or 4151 acre-feet 5.1 10</w:t>
      </w:r>
      <w:r>
        <w:rPr>
          <w:vertAlign w:val="superscript"/>
        </w:rPr>
        <w:t xml:space="preserve">6</w:t>
      </w:r>
      <w:r>
        <w:t xml:space="preserve"> </w:t>
      </w:r>
      <w:r>
        <w:t xml:space="preserve">m</w:t>
      </w:r>
      <w:r>
        <w:rPr>
          <w:vertAlign w:val="superscript"/>
        </w:rPr>
        <w:t xml:space="preserve">3</w:t>
      </w:r>
      <w:r>
        <w:t xml:space="preserve">) total water volume from the Scott River over 90 or 91 days Jan-March (depending on leap year status). This water is applied as excess winter recharge on 32 fields, totaling 5.6 10</w:t>
      </w:r>
      <w:r>
        <w:rPr>
          <w:vertAlign w:val="superscript"/>
        </w:rPr>
        <w:t xml:space="preserve">6</w:t>
      </w:r>
      <w:r>
        <w:t xml:space="preserve"> </w:t>
      </w:r>
      <w:r>
        <w:t xml:space="preserve">m</w:t>
      </w:r>
      <w:r>
        <w:rPr>
          <w:vertAlign w:val="superscript"/>
        </w:rPr>
        <w:t xml:space="preserve">2</w:t>
      </w:r>
      <w:r>
        <w:t xml:space="preserve"> </w:t>
      </w:r>
      <w:r>
        <w:t xml:space="preserve">(1395 acres; see Supplement A for map of recharge areas).</w:t>
      </w:r>
    </w:p>
    <w:p>
      <w:pPr>
        <w:pStyle w:val="BodyText"/>
      </w:pPr>
      <w:r>
        <w:t xml:space="preserve">Scenarios in these two categories have a minimal effect on crop ET (Figure</w:t>
      </w:r>
      <w:r>
        <w:t xml:space="preserve"> </w:t>
      </w:r>
      <w:r>
        <w:t xml:space="preserve">6</w:t>
      </w:r>
      <w:r>
        <w:t xml:space="preserve"> </w:t>
      </w:r>
      <w:r>
        <w:t xml:space="preserve">and Table</w:t>
      </w:r>
      <w:r>
        <w:t xml:space="preserve"> </w:t>
      </w:r>
      <w:r>
        <w:t xml:space="preserve">6</w:t>
      </w:r>
      <w:r>
        <w:t xml:space="preserve">; see also Supplements B-E, Figure 3). The lack of farmer cost is by design; this management strategy is intended to avoid any impacts on growing season operations.</w:t>
      </w:r>
    </w:p>
    <w:p>
      <w:pPr>
        <w:pStyle w:val="BodyText"/>
      </w:pPr>
      <w:r>
        <w:t xml:space="preserve">In all four HB formulations, Enhanced Recharge has a minimal effect, while Irrigation Efficiency has a small positive or negative effect, on environmental benefit. For Irrigation Efficiency, these results may reflect that the practice reduces growing-season recharge to the aquifer as well as stream diversion or well pumping.</w:t>
      </w:r>
      <w:r>
        <w:t xml:space="preserve"> </w:t>
      </w:r>
      <w:r>
        <w:rPr>
          <w:b/>
          <w:bCs/>
        </w:rPr>
        <w:t xml:space="preserve">for discussion? &gt;</w:t>
      </w:r>
      <w:r>
        <w:t xml:space="preserve"> </w:t>
      </w:r>
      <w:r>
        <w:t xml:space="preserve">For Enhanced Recharge, the lack of any fish benefit suggests that any flow increases from winter recharge may dissipate by the end of the dry season, and correspondingly that current maximum permitted surface water diversions are insufficient to improve flow conditions for fish in the fall. The popularity of this management action points to a need (in Scott Valley, and in California and semi-arid agricultural regions more broadly) regarding effective spatial, timing, and water volume elements of an effective and feasible MAR program.</w:t>
      </w:r>
    </w:p>
    <w:bookmarkEnd w:id="71"/>
    <w:bookmarkStart w:id="72" w:name="irrigation-curtailment-alfalfa-all-crops"/>
    <w:p>
      <w:pPr>
        <w:pStyle w:val="Heading3"/>
      </w:pPr>
      <w:r>
        <w:rPr>
          <w:rStyle w:val="SectionNumber"/>
        </w:rPr>
        <w:t xml:space="preserve">4.3.3</w:t>
      </w:r>
      <w:r>
        <w:tab/>
      </w:r>
      <w:r>
        <w:t xml:space="preserve">Irrigation Curtailment (alfalfa; all crops)</w:t>
      </w:r>
    </w:p>
    <w:p>
      <w:pPr>
        <w:pStyle w:val="FirstParagraph"/>
      </w:pPr>
      <w:r>
        <w:t xml:space="preserve">Early cessation of irrigation on alfalfa fields effectively means that growers forgo the harvest of one or more hay cuttings, which can be a significant economic impact for a farm; however, in watershed-wide total ET terms, the effects are relatively small for scenarios in this category (Figure</w:t>
      </w:r>
      <w:r>
        <w:t xml:space="preserve"> </w:t>
      </w:r>
      <w:r>
        <w:t xml:space="preserve">6</w:t>
      </w:r>
      <w:r>
        <w:t xml:space="preserve">, orange diamonds). The second category simulated a blanket curtailment on all irrigation, including on pasture, the other primary crop besides alfalfa (Table</w:t>
      </w:r>
      <w:r>
        <w:t xml:space="preserve"> </w:t>
      </w:r>
      <w:r>
        <w:t xml:space="preserve">1</w:t>
      </w:r>
      <w:r>
        <w:t xml:space="preserve">; Figure</w:t>
      </w:r>
      <w:r>
        <w:t xml:space="preserve"> </w:t>
      </w:r>
      <w:r>
        <w:t xml:space="preserve">6</w:t>
      </w:r>
      <w:r>
        <w:t xml:space="preserve">, gray diamonds). In both categories, cutoff dates for irrigation were August 15 [closest to the basecase alfalfa irrigation cutoff date of September 5;</w:t>
      </w:r>
      <w:r>
        <w:t xml:space="preserve"> </w:t>
      </w:r>
      <w:r>
        <w:t xml:space="preserve">Foglia et al. (2013)</w:t>
      </w:r>
      <w:r>
        <w:t xml:space="preserve">], July 31, and July 15.</w:t>
      </w:r>
    </w:p>
    <w:p>
      <w:pPr>
        <w:pStyle w:val="BodyText"/>
      </w:pPr>
      <w:r>
        <w:t xml:space="preserve">In general, this series of cutoff dates has a progressive effect on fall flows: the earlier the cutoff date, the greater the impact on raising summer low flows, producing earlier fall flow increases, and slowing the spring recession rate (see alfalfa scenario flow results in Supplement A, Figure 2). For Chinook HB units, the impact on HB values is similarly progressive (Supplements D and E, Table 2 and Figure 3), but for coho units, the impact on HB values is more variable, since management scenarios may have a positive or negative effect on a</w:t>
      </w:r>
      <w:r>
        <w:t xml:space="preserve"> </w:t>
      </w:r>
      <w:r>
        <w:rPr>
          <w:rStyle w:val="VerbatimChar"/>
        </w:rPr>
        <w:t xml:space="preserve">f1_FA_Dif_num</w:t>
      </w:r>
      <w:r>
        <w:t xml:space="preserve"> </w:t>
      </w:r>
      <w:r>
        <w:t xml:space="preserve">(see above).</w:t>
      </w:r>
      <w:r>
        <w:t xml:space="preserve"> </w:t>
      </w:r>
    </w:p>
    <w:bookmarkEnd w:id="72"/>
    <w:bookmarkStart w:id="73" w:name="crop-change"/>
    <w:p>
      <w:pPr>
        <w:pStyle w:val="Heading3"/>
      </w:pPr>
      <w:r>
        <w:rPr>
          <w:rStyle w:val="SectionNumber"/>
        </w:rPr>
        <w:t xml:space="preserve">4.3.4</w:t>
      </w:r>
      <w:r>
        <w:tab/>
      </w:r>
      <w:r>
        <w:t xml:space="preserve">Crop Change</w:t>
      </w:r>
    </w:p>
    <w:p>
      <w:pPr>
        <w:pStyle w:val="FirstParagraph"/>
      </w:pPr>
      <w:r>
        <w:t xml:space="preserve">In the Crop Change category, we simulate permanent grain cultivated on acreage that, in the basecase, is cultivated in an alfalfa-grain rotation (7 years alfalfa followed by 1 year of grain). During scenario design, fields were randomly assigned to be under permanent grain until a target acreage was reached: 6, 12, and 14 thousand acres.</w:t>
      </w:r>
    </w:p>
    <w:p>
      <w:pPr>
        <w:pStyle w:val="BodyText"/>
      </w:pPr>
      <w:r>
        <w:t xml:space="preserve">Because permanent grain is harvested once in the mid-to-late growing season, it has lower consumptive water use per year than an alfalfa field with perennial growth and multiple harvests. Thus, increasing grain acreage yields progressive HB increase for coho, and a progressive HB decrease for Chinook (Figure @ref(fig:farmerFishTradeoffFigureMainText and (Table</w:t>
      </w:r>
      <w:r>
        <w:t xml:space="preserve"> </w:t>
      </w:r>
      <w:r>
        <w:t xml:space="preserve">6</w:t>
      </w:r>
      <w:r>
        <w:t xml:space="preserve">)). As mentioned before, the ET values in the Crop Change category are challenging to compare directly to those in other categories (see Discussion).</w:t>
      </w:r>
      <w:r>
        <w:t xml:space="preserve"> </w:t>
      </w:r>
    </w:p>
    <w:p>
      <w:pPr>
        <w:pStyle w:val="Compact"/>
        <w:numPr>
          <w:ilvl w:val="0"/>
          <w:numId w:val="1007"/>
        </w:numPr>
      </w:pPr>
      <w:r>
        <w:rPr>
          <w:b/>
          <w:bCs/>
        </w:rPr>
        <w:t xml:space="preserve">for discussion</w:t>
      </w:r>
      <w:r>
        <w:t xml:space="preserve"> </w:t>
      </w:r>
      <w:r>
        <w:t xml:space="preserve">Assuming that a yearly alfalfa harvest is worth more than a yearly grain harvest, a widespread conversion to permanent grain could reduce profits in Scott Valley; however, permanent grain might provide more certainty and potentially better economic yield if the choice were between the Crop Change scenarios and frequent mid-season irrigation cutoffs (of alfalfa or all crops).</w:t>
      </w:r>
    </w:p>
    <w:bookmarkEnd w:id="73"/>
    <w:bookmarkStart w:id="74" w:name="low-flow-diversion-limits"/>
    <w:p>
      <w:pPr>
        <w:pStyle w:val="Heading3"/>
      </w:pPr>
      <w:r>
        <w:rPr>
          <w:rStyle w:val="SectionNumber"/>
        </w:rPr>
        <w:t xml:space="preserve">4.3.5</w:t>
      </w:r>
      <w:r>
        <w:tab/>
      </w:r>
      <w:r>
        <w:t xml:space="preserve">Low Flow Diversion Limits</w:t>
      </w:r>
    </w:p>
    <w:p>
      <w:pPr>
        <w:pStyle w:val="FirstParagraph"/>
      </w:pPr>
      <w:r>
        <w:t xml:space="preserve">In the basecase,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w:t>
      </w:r>
      <w:r>
        <w:t xml:space="preserve"> </w:t>
      </w:r>
      <w:r>
        <w:t xml:space="preserve">(SWRCB 2024a)</w:t>
      </w:r>
      <w:r>
        <w:t xml:space="preserve"> </w:t>
      </w:r>
      <w:r>
        <w:t xml:space="preserve">(Figure</w:t>
      </w:r>
      <w:r>
        <w:t xml:space="preserve"> </w:t>
      </w:r>
      <w:r>
        <w:t xml:space="preserve">6</w:t>
      </w:r>
      <w:r>
        <w:t xml:space="preserve"> </w:t>
      </w:r>
      <w:r>
        <w:t xml:space="preserve">and Table</w:t>
      </w:r>
      <w:r>
        <w:t xml:space="preserve"> </w:t>
      </w:r>
      <w:r>
        <w:t xml:space="preserve">6</w:t>
      </w:r>
      <w:r>
        <w:t xml:space="preserve">).</w:t>
      </w:r>
    </w:p>
    <w:p>
      <w:pPr>
        <w:pStyle w:val="BodyText"/>
      </w:pPr>
      <w:r>
        <w:t xml:space="preserve">Preservation of low flows seems to have a small agricultural cost, indicating that crop water deficits due to this practice may be small on average. However, it also has only a small positive environmental benefit, suggesting that targeting low flows may not have a substantial influence on all relevant parts on the hydrograph.</w:t>
      </w:r>
    </w:p>
    <w:bookmarkEnd w:id="74"/>
    <w:bookmarkStart w:id="75" w:name="native-vegetation"/>
    <w:p>
      <w:pPr>
        <w:pStyle w:val="Heading3"/>
      </w:pPr>
      <w:r>
        <w:rPr>
          <w:rStyle w:val="SectionNumber"/>
        </w:rPr>
        <w:t xml:space="preserve">4.3.6</w:t>
      </w:r>
      <w:r>
        <w:tab/>
      </w:r>
      <w:r>
        <w:t xml:space="preserve">Native Vegetation</w:t>
      </w:r>
    </w:p>
    <w:p>
      <w:pPr>
        <w:pStyle w:val="FirstParagraph"/>
      </w:pPr>
      <w:r>
        <w:t xml:space="preserve">The two categories of Native Vegetation scenario (NatVegL and NatVegH, for low and and high ET) are two end-member answers to the question: if currently-cultivated land were converted to native vegetation, what water consumption pattern would replace it?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two NatVeg scenarios generate higher simulated FJ streamflow in most months of the model period.</w:t>
      </w:r>
    </w:p>
    <w:p>
      <w:pPr>
        <w:pStyle w:val="BodyText"/>
      </w:pPr>
      <w:r>
        <w:t xml:space="preserve">For both coho and Chinook, as we would expect, increasing acreage of native vegetation reduces total crop ET (Figure</w:t>
      </w:r>
      <w:r>
        <w:t xml:space="preserve"> </w:t>
      </w:r>
      <w:r>
        <w:t xml:space="preserve">6</w:t>
      </w:r>
      <w:r>
        <w:t xml:space="preserve"> </w:t>
      </w:r>
      <w:r>
        <w:t xml:space="preserve">and Table</w:t>
      </w:r>
      <w:r>
        <w:t xml:space="preserve"> </w:t>
      </w:r>
      <w:r>
        <w:t xml:space="preserve">6</w:t>
      </w:r>
      <w:r>
        <w:t xml:space="preserve">; see also Supplements B-E, Figure 3). For coho (juvenile abundance), the effect on the environmental benefit is not strictly monotonic, but generally, more native vegetation produces higher HB values, and low-ET vegetation produces higher HB values than high-ET vegetation (Supplements B and C , Figure 3). For Chinook, the environmental effects of native vegetation scenarios are more variable (Supplpments D and E, Figure 3)</w:t>
      </w:r>
    </w:p>
    <w:bookmarkEnd w:id="75"/>
    <w:bookmarkEnd w:id="76"/>
    <w:bookmarkStart w:id="81" w:name="X452f0639db2ebbe2cd3177f14e96530f2d1a15a"/>
    <w:p>
      <w:pPr>
        <w:pStyle w:val="Heading2"/>
      </w:pPr>
      <w:r>
        <w:rPr>
          <w:rStyle w:val="SectionNumber"/>
        </w:rPr>
        <w:t xml:space="preserve">4.4</w:t>
      </w:r>
      <w:r>
        <w:tab/>
      </w:r>
      <w:r>
        <w:t xml:space="preserve">Infrastructure objective and Pareto-optimal set</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the five infrastructure categories 0-4. Some differences emerge when using coho juvenile abundance units (Figure</w:t>
      </w:r>
      <w:r>
        <w:t xml:space="preserve"> </w:t>
      </w:r>
      <w:r>
        <w:t xml:space="preserve">7</w:t>
      </w:r>
      <w:r>
        <w:t xml:space="preserve">; see also Supplements B, Figure 5) versus the other three HB units evaluated here (Supplements C-E, Figure 5), but overall patterns are similar. Among all 4 HB formulations, categories containing at least one Pareto-optimal solution were:</w:t>
      </w:r>
    </w:p>
    <w:p>
      <w:pPr>
        <w:pStyle w:val="Compact"/>
        <w:numPr>
          <w:ilvl w:val="0"/>
          <w:numId w:val="1008"/>
        </w:numPr>
      </w:pPr>
      <w:r>
        <w:t xml:space="preserve">Reservoir (3 of 3 scenarios)</w:t>
      </w:r>
    </w:p>
    <w:p>
      <w:pPr>
        <w:pStyle w:val="Compact"/>
        <w:numPr>
          <w:ilvl w:val="0"/>
          <w:numId w:val="1008"/>
        </w:numPr>
      </w:pPr>
      <w:r>
        <w:t xml:space="preserve">FlowLims (0-1 of 1)</w:t>
      </w:r>
    </w:p>
    <w:p>
      <w:pPr>
        <w:pStyle w:val="Compact"/>
        <w:numPr>
          <w:ilvl w:val="0"/>
          <w:numId w:val="1008"/>
        </w:numPr>
      </w:pPr>
      <w:r>
        <w:t xml:space="preserve">IrrEff (0-1 of 2)</w:t>
      </w:r>
    </w:p>
    <w:p>
      <w:pPr>
        <w:pStyle w:val="Compact"/>
        <w:numPr>
          <w:ilvl w:val="0"/>
          <w:numId w:val="1008"/>
        </w:numPr>
      </w:pPr>
      <w:r>
        <w:t xml:space="preserve">NatVeg low-ET (for coho) and high-ET (for Chinook) (1 of 4, full conversion only)</w:t>
      </w:r>
    </w:p>
    <w:p>
      <w:pPr>
        <w:pStyle w:val="Compact"/>
        <w:numPr>
          <w:ilvl w:val="0"/>
          <w:numId w:val="1008"/>
        </w:numPr>
      </w:pPr>
      <w:r>
        <w:t xml:space="preserve">AlfIrr (2-3 of 3), and</w:t>
      </w:r>
    </w:p>
    <w:p>
      <w:pPr>
        <w:pStyle w:val="Compact"/>
        <w:numPr>
          <w:ilvl w:val="0"/>
          <w:numId w:val="1008"/>
        </w:numPr>
      </w:pPr>
      <w:r>
        <w:t xml:space="preserve">Curtail (2-3 of 3).</w:t>
      </w:r>
    </w:p>
    <w:p>
      <w:pPr>
        <w:pStyle w:val="CaptionedFigure"/>
      </w:pPr>
      <w:r>
        <w:drawing>
          <wp:inline>
            <wp:extent cx="4267200" cy="4075288"/>
            <wp:effectExtent b="0" l="0" r="0" t="0"/>
            <wp:docPr descr="Figure 7:  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 ‘best’ corner) is highlighted with a red arrow." title="" id="78" name="Picture"/>
            <a:graphic>
              <a:graphicData uri="http://schemas.openxmlformats.org/drawingml/2006/picture">
                <pic:pic>
                  <pic:nvPicPr>
                    <pic:cNvPr descr="Graphics%20and%20Supplements/hbf%20et%20infra%20plot3d_2026.02.19.jpg" id="79" name="Picture"/>
                    <pic:cNvPicPr>
                      <a:picLocks noChangeArrowheads="1" noChangeAspect="1"/>
                    </pic:cNvPicPr>
                  </pic:nvPicPr>
                  <pic:blipFill>
                    <a:blip r:embed="rId77"/>
                    <a:stretch>
                      <a:fillRect/>
                    </a:stretch>
                  </pic:blipFill>
                  <pic:spPr bwMode="auto">
                    <a:xfrm>
                      <a:off x="0" y="0"/>
                      <a:ext cx="4267200" cy="4075288"/>
                    </a:xfrm>
                    <a:prstGeom prst="rect">
                      <a:avLst/>
                    </a:prstGeom>
                    <a:noFill/>
                    <a:ln w="9525">
                      <a:noFill/>
                      <a:headEnd/>
                      <a:tailEnd/>
                    </a:ln>
                  </pic:spPr>
                </pic:pic>
              </a:graphicData>
            </a:graphic>
          </wp:inline>
        </w:drawing>
      </w:r>
    </w:p>
    <w:p>
      <w:pPr>
        <w:pStyle w:val="ImageCaption"/>
      </w:pPr>
      <w:bookmarkStart w:id="80" w:name="fig:farmerFishInfraFigure3D"/>
      <w:bookmarkEnd w:id="80"/>
      <w:r>
        <w:t xml:space="preserve">Figure 7:</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Figure 6. The corner corresponding to optimal values of all objective functions (the</w:t>
      </w:r>
      <w:r>
        <w:t xml:space="preserve"> </w:t>
      </w:r>
      <w:r>
        <w:t xml:space="preserve">‘best’</w:t>
      </w:r>
      <w:r>
        <w:t xml:space="preserve"> </w:t>
      </w:r>
      <w:r>
        <w:t xml:space="preserve">corner) is highlighted with a red arrow.</w:t>
      </w:r>
    </w:p>
    <w:p>
      <w:pPr>
        <w:pStyle w:val="BodyText"/>
      </w:pPr>
      <w:r>
        <w:t xml:space="preserve">For HB function in coho juvenile abundance units, the Pareto-optimal set of management actions (i.e., the scenarios with an objective/category value that cannot be improved upon without sacrificing value in another objective/category) includes 11 of the 35 simulated scenarios (Table</w:t>
      </w:r>
      <w:r>
        <w:t xml:space="preserve"> </w:t>
      </w:r>
      <w:r>
        <w:t xml:space="preserve">6</w:t>
      </w:r>
      <w:r>
        <w:t xml:space="preserve">; Figure</w:t>
      </w:r>
      <w:r>
        <w:t xml:space="preserve"> </w:t>
      </w:r>
      <w:r>
        <w:t xml:space="preserve">7</w:t>
      </w:r>
      <w:r>
        <w:t xml:space="preserve">). This set includes the basecase, as it is the only scenario with an infrastructure category of 0 (no change needed); it includes five regulatory scenarios in category 1 (no new infrastructure needed); it includes two scenarios from category 2 (1-2 years timeline); and it includes all three reservoir scenarios, as they trace a small trade-off curve within their own category (5+ years timeline).</w:t>
      </w:r>
    </w:p>
    <w:p>
      <w:pPr>
        <w:pStyle w:val="BodyText"/>
      </w:pPr>
      <w:r>
        <w:t xml:space="preserve">Several categories (such as Alfalfa Irrigation) include Pareto-optimal and suboptimal scenarios, suggesting that the details of implementation may be more important than selecting any one strategy in determining management impact. Also, the Pareto-optimality of Crop Change scenarios is difficult to evaluate here, since the relationship between total ET and conceptual farmer benefit is different than in the remainder of the scenarios.</w:t>
      </w:r>
    </w:p>
    <w:bookmarkEnd w:id="81"/>
    <w:bookmarkStart w:id="83" w:name="comparison-to-gsp-priorities"/>
    <w:p>
      <w:pPr>
        <w:pStyle w:val="Heading2"/>
      </w:pPr>
      <w:r>
        <w:rPr>
          <w:rStyle w:val="SectionNumber"/>
        </w:rPr>
        <w:t xml:space="preserve">4.5</w:t>
      </w:r>
      <w:r>
        <w:tab/>
      </w:r>
      <w:r>
        <w:t xml:space="preserve">Comparison to GSP Priorities</w:t>
      </w:r>
    </w:p>
    <w:p>
      <w:pPr>
        <w:pStyle w:val="FirstParagraph"/>
      </w:pPr>
      <w:r>
        <w:t xml:space="preserve">To determine if the strict application of objective functions would produce different management priorities than the public policy development process that took place 2018-2021, we made a high-level, conceptual comparison (Table</w:t>
      </w:r>
      <w:r>
        <w:t xml:space="preserve"> </w:t>
      </w:r>
      <w:r>
        <w:t xml:space="preserve">7</w:t>
      </w:r>
      <w:r>
        <w:t xml:space="preserve">) of the Pareto-optimal set of management actions and the management actions and projects listed for consideration in the GSP</w:t>
      </w:r>
      <w:r>
        <w:t xml:space="preserve"> </w:t>
      </w:r>
      <w:r>
        <w:t xml:space="preserve">(Siskiyou County 2021)</w:t>
      </w:r>
      <w:r>
        <w:t xml:space="preserve">.</w:t>
      </w:r>
    </w:p>
    <w:p>
      <w:pPr>
        <w:pStyle w:val="BodyText"/>
      </w:pPr>
      <w:r>
        <w:t xml:space="preserve">Tier I and II scenarios, assigned highest priority and considered implementable in the near term and medium term, respectively, tend to be associated with higher crop ET values (e.g., six out of seven scenarios with &gt; 114 10</w:t>
      </w:r>
      <w:r>
        <w:rPr>
          <w:vertAlign w:val="superscript"/>
        </w:rPr>
        <w:t xml:space="preserve">6</w:t>
      </w:r>
      <w:r>
        <w:t xml:space="preserve"> </w:t>
      </w:r>
      <w:r>
        <w:t xml:space="preserve">m</w:t>
      </w:r>
      <w:r>
        <w:rPr>
          <w:vertAlign w:val="superscript"/>
        </w:rPr>
        <w:t xml:space="preserve">3</w:t>
      </w:r>
      <w:r>
        <w:t xml:space="preserve">), reflecting the community’s commitment to avoid negative impacts on growers. With one exception, the scenarios with relatively high environmental benefit (e.g., &gt; 7.9 10</w:t>
      </w:r>
      <w:r>
        <w:rPr>
          <w:vertAlign w:val="superscript"/>
        </w:rPr>
        <w:t xml:space="preserve">3</w:t>
      </w:r>
      <w:r>
        <w:t xml:space="preserve"> </w:t>
      </w:r>
      <w:r>
        <w:t xml:space="preserve">coho smolt-equiv. HB value) are in Tier III, reflecting that they are technically and/or politically more challenging than Tiers I and II, and thus considered potentially implementable in the long-term.</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TableCaption"/>
      </w:pPr>
      <w:bookmarkStart w:id="82" w:name="tab:gspMgmtList"/>
      <w:bookmarkEnd w:id="82"/>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Range/10^6</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7.85-8.45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7.86-8.06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3"/>
    <w:bookmarkEnd w:id="84"/>
    <w:bookmarkStart w:id="89" w:name="discussion"/>
    <w:p>
      <w:pPr>
        <w:pStyle w:val="Heading1"/>
      </w:pPr>
      <w:r>
        <w:rPr>
          <w:rStyle w:val="SectionNumber"/>
        </w:rPr>
        <w:t xml:space="preserve">5</w:t>
      </w:r>
      <w:r>
        <w:tab/>
      </w:r>
      <w:r>
        <w:t xml:space="preserve">Discussion</w:t>
      </w:r>
    </w:p>
    <w:bookmarkStart w:id="85" w:name="X36cbf7c8750cd854ae19409930ca35269b38594"/>
    <w:p>
      <w:pPr>
        <w:pStyle w:val="Heading2"/>
      </w:pPr>
      <w:r>
        <w:rPr>
          <w:rStyle w:val="SectionNumber"/>
        </w:rPr>
        <w:t xml:space="preserve">5.1</w:t>
      </w:r>
      <w:r>
        <w:tab/>
      </w:r>
      <w:r>
        <w:t xml:space="preserve">Alternative options for the environmental objective function</w:t>
      </w:r>
    </w:p>
    <w:p>
      <w:pPr>
        <w:pStyle w:val="FirstParagraph"/>
      </w:pPr>
      <w:r>
        <w:t xml:space="preserve">This study uses a physical model to predict changes in flow, and a statistical model to extrapolate these changes into ecological impacts. However, even within just one watershed, there are many other possible ways to design an environmental benefit objective function based on a statistical model.</w:t>
      </w:r>
    </w:p>
    <w:p>
      <w:pPr>
        <w:pStyle w:val="BodyText"/>
      </w:pPr>
      <w:r>
        <w:t xml:space="preserve">Regardless of the design, the first requirement is sufficient data. The present study is based off of 14 to 19 years of ecological observations (depending on which units are selected)</w:t>
      </w:r>
      <w:r>
        <w:t xml:space="preserve"> </w:t>
      </w:r>
      <w:r>
        <w:t xml:space="preserve">(Kouba et al. 2025)</w:t>
      </w:r>
      <w:r>
        <w:t xml:space="preserve">. Hydrologic data is often relatively abundant, with ecological observations as the limiting factor; the authors recommend at least a decade of ecological data, ideally covering all water year types, to build a new hydrologic-ecological relationship.</w:t>
      </w:r>
    </w:p>
    <w:p>
      <w:pPr>
        <w:pStyle w:val="BodyText"/>
      </w:pPr>
      <w:r>
        <w:t xml:space="preserve">Although salmon are often considered a</w:t>
      </w:r>
      <w:r>
        <w:t xml:space="preserve"> </w:t>
      </w:r>
      <w:r>
        <w:t xml:space="preserve">“keystone species”</w:t>
      </w:r>
      <w:r>
        <w:t xml:space="preserve"> </w:t>
      </w:r>
      <w:r>
        <w:t xml:space="preserve">(Mills and Doak 1993)</w:t>
      </w:r>
      <w:r>
        <w:t xml:space="preserve">, one obvious alternative to a salmon-based HB function is to base it on another suitable aquatic species. Two candidates in the Scott River watershed would be steelhead trout or potentially Pacific lamprey. Suitability depend on a strong known or suspected relationship between flow and an observable ecological outcome. Another alternative would be to investigate the specific hydrology that supports groundwater-dependent ecosystems; i.e., flowrates associated with sufficient spatial habitat in specific reaches, or groundwater elevation supporting riparian vegetation. All of these options are</w:t>
      </w:r>
      <w:r>
        <w:t xml:space="preserve"> </w:t>
      </w:r>
      <w:r>
        <w:t xml:space="preserve">“bottom-up”</w:t>
      </w:r>
      <w:r>
        <w:t xml:space="preserve"> </w:t>
      </w:r>
      <w:r>
        <w:t xml:space="preserve">descriptions</w:t>
      </w:r>
      <w:r>
        <w:t xml:space="preserve"> </w:t>
      </w:r>
      <w:r>
        <w:t xml:space="preserve">(Tharme 2003)</w:t>
      </w:r>
      <w:r>
        <w:t xml:space="preserve"> </w:t>
      </w:r>
      <w:r>
        <w:t xml:space="preserve">of relationships between flow and isolated ecological functions; still another option would be to base the HB functon on a</w:t>
      </w:r>
      <w:r>
        <w:t xml:space="preserve"> </w:t>
      </w:r>
      <w:r>
        <w:t xml:space="preserve">“top-down”</w:t>
      </w:r>
      <w:r>
        <w:t xml:space="preserve"> </w:t>
      </w:r>
      <w:r>
        <w:t xml:space="preserve">method, such as indices of alteration, that aims to preserve</w:t>
      </w:r>
      <w:r>
        <w:t xml:space="preserve"> </w:t>
      </w:r>
      <w:r>
        <w:rPr>
          <w:i/>
          <w:iCs/>
        </w:rPr>
        <w:t xml:space="preserve">all</w:t>
      </w:r>
      <w:r>
        <w:t xml:space="preserve"> </w:t>
      </w:r>
      <w:r>
        <w:t xml:space="preserve">ecological functions of the unimpaired stream</w:t>
      </w:r>
      <w:r>
        <w:t xml:space="preserve"> </w:t>
      </w:r>
      <w:r>
        <w:t xml:space="preserve">(e.g., Richter et al. 1996; Poff et al. 1997; discussed further in Kouba et al. 2025)</w:t>
      </w:r>
      <w:r>
        <w:t xml:space="preserve">.</w:t>
      </w:r>
    </w:p>
    <w:p>
      <w:pPr>
        <w:pStyle w:val="BodyText"/>
      </w:pPr>
      <w:r>
        <w:t xml:space="preserve">Finally, it is worth noting that the utility of the environmental function is somewhat dependent on which flows are considered important. While the Chinook HB function is valuable in highlighting which flows are of highest importance statistically, Chinook plots of fish versus farmer tradeoffs are effectively meaningless, since wet season median flows are largely beyond human control in this undammed watershed.</w:t>
      </w:r>
    </w:p>
    <w:bookmarkEnd w:id="85"/>
    <w:bookmarkStart w:id="86" w:name="trade-offs-among-all-three-objectives"/>
    <w:p>
      <w:pPr>
        <w:pStyle w:val="Heading2"/>
      </w:pPr>
      <w:r>
        <w:rPr>
          <w:rStyle w:val="SectionNumber"/>
        </w:rPr>
        <w:t xml:space="preserve">5.2</w:t>
      </w:r>
      <w:r>
        <w:tab/>
      </w:r>
      <w:r>
        <w:t xml:space="preserve">Trade-offs among all three objectives</w:t>
      </w:r>
    </w:p>
    <w:p>
      <w:pPr>
        <w:pStyle w:val="FirstParagraph"/>
      </w:pPr>
      <w:r>
        <w:t xml:space="preserve">For all HB formulations, reservoirs and regulatory scenarios (curtailment, alfalfa irrigation, diversion limits) were the categories with highest fraction of Pareto-optimal scenarios (Table</w:t>
      </w:r>
      <w:r>
        <w:t xml:space="preserve"> </w:t>
      </w:r>
      <w:r>
        <w:t xml:space="preserve">6</w:t>
      </w:r>
      <w:r>
        <w:t xml:space="preserve">; Figure</w:t>
      </w:r>
      <w:r>
        <w:t xml:space="preserve"> </w:t>
      </w:r>
      <w:r>
        <w:t xml:space="preserve">7</w:t>
      </w:r>
      <w:r>
        <w:t xml:space="preserve">). This suggests that the regulatory scenarios in category 1 (no new infrastructure needed) define an arc of trade-offs between environmental benefit and agricultural cost, and the low-to-moderate infrastructure cost scenarios (categories 2 and 3) do not improve on this. Among the set of options considered here, it takes a high infrastructure cost (reservoir scenarios) to escape the trade-offs defined in the regulatory scenario categories.</w:t>
      </w:r>
    </w:p>
    <w:p>
      <w:pPr>
        <w:pStyle w:val="BodyText"/>
      </w:pPr>
      <w:r>
        <w:t xml:space="preserve">It’s clear that design details (date of implementation, number of acres affected) produce greater variation within scenario categories than between categories, and so it may well be possible to design, for instance, a Pareto-optimal enhanced recharge scenario for this watershed, if the recharge areas and total water volume diverted were altered. The current popularity of enhanced recharge</w:t>
      </w:r>
      <w:r>
        <w:t xml:space="preserve"> </w:t>
      </w:r>
      <w:r>
        <w:t xml:space="preserve">(e.g., CNRA et al. 2022)</w:t>
      </w:r>
      <w:r>
        <w:t xml:space="preserve"> </w:t>
      </w:r>
      <w:r>
        <w:t xml:space="preserve">points to a need (in Scott Valley, and in California and semi-arid agricultural regions more broadly) regarding effective spatial, timing, and water volume elements of an effective and feasible MAR program.</w:t>
      </w:r>
    </w:p>
    <w:p>
      <w:pPr>
        <w:pStyle w:val="BodyText"/>
      </w:pPr>
      <w:r>
        <w:t xml:space="preserve">Additionally, it is difficult to evaluate the total ET value, and thus the Pareto-optimality, of scenarios in the Crop Change category. If we assume, based on current practices, that a yearly alfalfa harvest is worth more than a yearly grain harvest, a widespread conversion to permanent grain could reduce profits in Scott Valley; however, permanent grain might provide more certainty and potentially better economic yield if the choice were between the widespread conversion to permanent grain and frequent mid-season irrigation cutoffs (on alfalfa or all crops).</w:t>
      </w:r>
    </w:p>
    <w:bookmarkEnd w:id="86"/>
    <w:bookmarkStart w:id="87" w:name="Xb48c0b1c357814727cacf50afe35e98b0bf92dd"/>
    <w:p>
      <w:pPr>
        <w:pStyle w:val="Heading2"/>
      </w:pPr>
      <w:r>
        <w:rPr>
          <w:rStyle w:val="SectionNumber"/>
        </w:rPr>
        <w:t xml:space="preserve">5.3</w:t>
      </w:r>
      <w:r>
        <w:tab/>
      </w:r>
      <w:r>
        <w:t xml:space="preserve">Pareto-optimal solution set and GSP priority management actions</w:t>
      </w:r>
    </w:p>
    <w:p>
      <w:pPr>
        <w:pStyle w:val="FirstParagraph"/>
      </w:pPr>
      <w:r>
        <w:t xml:space="preserve">Within the proposed suite of management actions, across all four HB formulations, approximately half (10-13 of 25) fall within the Pareto-optimal set, based on the cost proxy and the 35-year average values of two objective functions (Supplements B-E, Figure 5 and Table 2). (As mentioned above, Pareto-suboptimal status is less certain in the case of the Crop Change scenario.)</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and minimal farmer cost, in a strict application of these objective functions, regulatory approaches were fell within the Pareto-optimal set of management options.</w:t>
      </w:r>
    </w:p>
    <w:bookmarkEnd w:id="87"/>
    <w:bookmarkStart w:id="88" w:name="policy-implications"/>
    <w:p>
      <w:pPr>
        <w:pStyle w:val="Heading2"/>
      </w:pPr>
      <w:r>
        <w:rPr>
          <w:rStyle w:val="SectionNumber"/>
        </w:rPr>
        <w:t xml:space="preserve">5.4</w:t>
      </w:r>
      <w:r>
        <w:tab/>
      </w:r>
      <w:r>
        <w:t xml:space="preserve">Policy implications</w:t>
      </w:r>
    </w:p>
    <w:p>
      <w:pPr>
        <w:pStyle w:val="FirstParagraph"/>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When combined with summarizing objective functions, these results create a landscape of possible management alternatives, which can support evaluations of what is</w:t>
      </w:r>
      <w:r>
        <w:t xml:space="preserve"> </w:t>
      </w:r>
      <w:r>
        <w:t xml:space="preserve">“reasonable”</w:t>
      </w:r>
      <w:r>
        <w:t xml:space="preserve"> </w:t>
      </w:r>
      <w:r>
        <w:t xml:space="preserve">under SGMA.</w:t>
      </w:r>
    </w:p>
    <w:p>
      <w:pPr>
        <w:pStyle w:val="Compact"/>
        <w:numPr>
          <w:ilvl w:val="0"/>
          <w:numId w:val="1009"/>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9"/>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8"/>
    <w:bookmarkEnd w:id="89"/>
    <w:bookmarkStart w:id="90"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90"/>
    <w:bookmarkStart w:id="91" w:name="acknowledgments"/>
    <w:p>
      <w:pPr>
        <w:pStyle w:val="Heading1"/>
      </w:pPr>
      <w:r>
        <w:t xml:space="preserve">Acknowledgments</w:t>
      </w:r>
    </w:p>
    <w:bookmarkEnd w:id="91"/>
    <w:bookmarkStart w:id="159" w:name="references"/>
    <w:p>
      <w:pPr>
        <w:pStyle w:val="Heading1"/>
      </w:pPr>
      <w:r>
        <w:rPr>
          <w:rStyle w:val="SectionNumber"/>
        </w:rPr>
        <w:t xml:space="preserve">7</w:t>
      </w:r>
      <w:r>
        <w:tab/>
      </w:r>
      <w:r>
        <w:t xml:space="preserve">References</w:t>
      </w:r>
    </w:p>
    <w:bookmarkStart w:id="158" w:name="refs"/>
    <w:bookmarkStart w:id="92"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2"/>
    <w:bookmarkStart w:id="94" w:name="ref-BaruchEtAlMimicking2024"/>
    <w:p>
      <w:pPr>
        <w:pStyle w:val="Bibliography"/>
      </w:pPr>
      <w:r>
        <w:t xml:space="preserve">Baruch, Ethan M., Sarah M. Yarnell, Theodore E. Grantham, Jessica R. Ayers, Andrew L. Rypel, and Robert A. Lusardi. 2024.</w:t>
      </w:r>
      <w:r>
        <w:t xml:space="preserve"> </w:t>
      </w:r>
      <w:r>
        <w:t xml:space="preserve">“Mimicking Functional Elements of the Natural Flow Regime Promotes Native Fish Recovery in a Regulated River.”</w:t>
      </w:r>
      <w:r>
        <w:t xml:space="preserve"> </w:t>
      </w:r>
      <w:r>
        <w:rPr>
          <w:i/>
          <w:iCs/>
        </w:rPr>
        <w:t xml:space="preserve">Ecological Applications</w:t>
      </w:r>
      <w:r>
        <w:t xml:space="preserve"> </w:t>
      </w:r>
      <w:r>
        <w:t xml:space="preserve">34 (6): e3013.</w:t>
      </w:r>
      <w:r>
        <w:t xml:space="preserve"> </w:t>
      </w:r>
      <w:hyperlink r:id="rId93">
        <w:r>
          <w:rPr>
            <w:rStyle w:val="Hyperlink"/>
          </w:rPr>
          <w:t xml:space="preserve">https://doi.org/10.1002/eap.3013</w:t>
        </w:r>
      </w:hyperlink>
      <w:r>
        <w:t xml:space="preserve">.</w:t>
      </w:r>
    </w:p>
    <w:bookmarkEnd w:id="94"/>
    <w:bookmarkStart w:id="96"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95">
        <w:r>
          <w:rPr>
            <w:rStyle w:val="Hyperlink"/>
          </w:rPr>
          <w:t xml:space="preserve">https://doi.org/10.3389/fclim.2021.719150</w:t>
        </w:r>
      </w:hyperlink>
      <w:r>
        <w:t xml:space="preserve">.</w:t>
      </w:r>
    </w:p>
    <w:bookmarkEnd w:id="96"/>
    <w:bookmarkStart w:id="98"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7">
        <w:r>
          <w:rPr>
            <w:rStyle w:val="Hyperlink"/>
          </w:rPr>
          <w:t xml:space="preserve">https://doi.org/10.1577/1548-8675(1994)014&lt;0237:HDACSO&gt;2.3.CO;2</w:t>
        </w:r>
      </w:hyperlink>
      <w:r>
        <w:t xml:space="preserve">.</w:t>
      </w:r>
    </w:p>
    <w:bookmarkEnd w:id="98"/>
    <w:bookmarkStart w:id="99" w:name="ref-CDFWInfluence2021"/>
    <w:p>
      <w:pPr>
        <w:pStyle w:val="Bibliography"/>
      </w:pPr>
      <w:r>
        <w:t xml:space="preserve">California Department of Fish and Wildlife. 2021.</w:t>
      </w:r>
      <w:r>
        <w:t xml:space="preserve"> </w:t>
      </w:r>
      <w:r>
        <w:t xml:space="preserve">“Appendix 2:</w:t>
      </w:r>
      <w:r>
        <w:t xml:space="preserve"> </w:t>
      </w:r>
      <w:r>
        <w:t xml:space="preserve">Influence</w:t>
      </w:r>
      <w:r>
        <w:t xml:space="preserve"> </w:t>
      </w:r>
      <w:r>
        <w:t xml:space="preserve">of</w:t>
      </w:r>
      <w:r>
        <w:t xml:space="preserve"> </w:t>
      </w:r>
      <w:r>
        <w:t xml:space="preserve">Scott River</w:t>
      </w:r>
      <w:r>
        <w:t xml:space="preserve"> </w:t>
      </w:r>
      <w:r>
        <w:t xml:space="preserve">in-Stream Flow on the Distribution and Migration Timing of Fall</w:t>
      </w:r>
      <w:r>
        <w:t xml:space="preserve"> </w:t>
      </w:r>
      <w:r>
        <w:t xml:space="preserve">Chinook Salmon</w:t>
      </w:r>
      <w:r>
        <w:t xml:space="preserve"> </w:t>
      </w:r>
      <w:r>
        <w:t xml:space="preserve">and</w:t>
      </w:r>
      <w:r>
        <w:t xml:space="preserve"> </w:t>
      </w:r>
      <w:r>
        <w:t xml:space="preserve">Coho Salmon</w:t>
      </w:r>
      <w:r>
        <w:t xml:space="preserve">.”</w:t>
      </w:r>
    </w:p>
    <w:bookmarkEnd w:id="99"/>
    <w:bookmarkStart w:id="100"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100"/>
    <w:bookmarkStart w:id="101" w:name="ref-CNRAEtAlCalifornias2022"/>
    <w:p>
      <w:pPr>
        <w:pStyle w:val="Bibliography"/>
      </w:pPr>
      <w:r>
        <w:t xml:space="preserve">California Natural Resources Agency, California For All, California Department of Water Resources, California Water Boards, California Environmental Protection Agency, and California Department of Food &amp; Agriculture. 2022.</w:t>
      </w:r>
      <w:r>
        <w:t xml:space="preserve"> </w:t>
      </w:r>
      <w:r>
        <w:t xml:space="preserve">“</w:t>
      </w:r>
      <w:r>
        <w:t xml:space="preserve">CALIFORNIA</w:t>
      </w:r>
      <w:r>
        <w:t xml:space="preserve">’</w:t>
      </w:r>
      <w:r>
        <w:t xml:space="preserve">S WATER SUPPLY STRATEGY</w:t>
      </w:r>
      <w:r>
        <w:t xml:space="preserve">:</w:t>
      </w:r>
      <w:r>
        <w:t xml:space="preserve"> </w:t>
      </w:r>
      <w:r>
        <w:t xml:space="preserve">Adapting</w:t>
      </w:r>
      <w:r>
        <w:t xml:space="preserve"> </w:t>
      </w:r>
      <w:r>
        <w:t xml:space="preserve">to a</w:t>
      </w:r>
      <w:r>
        <w:t xml:space="preserve"> </w:t>
      </w:r>
      <w:r>
        <w:t xml:space="preserve">Hotter</w:t>
      </w:r>
      <w:r>
        <w:t xml:space="preserve">,</w:t>
      </w:r>
      <w:r>
        <w:t xml:space="preserve"> </w:t>
      </w:r>
      <w:r>
        <w:t xml:space="preserve">Drier Future</w:t>
      </w:r>
      <w:r>
        <w:t xml:space="preserve">.”</w:t>
      </w:r>
    </w:p>
    <w:bookmarkEnd w:id="101"/>
    <w:bookmarkStart w:id="102"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02"/>
    <w:bookmarkStart w:id="103"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03"/>
    <w:bookmarkStart w:id="105"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04">
        <w:r>
          <w:rPr>
            <w:rStyle w:val="Hyperlink"/>
          </w:rPr>
          <w:t xml:space="preserve">https://doi.org/10.2135/cropsci1983.0011183X002300040016x</w:t>
        </w:r>
      </w:hyperlink>
      <w:r>
        <w:t xml:space="preserve">.</w:t>
      </w:r>
    </w:p>
    <w:bookmarkEnd w:id="105"/>
    <w:bookmarkStart w:id="107"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6">
        <w:r>
          <w:rPr>
            <w:rStyle w:val="Hyperlink"/>
          </w:rPr>
          <w:t xml:space="preserve">https://doi.org/10.1029/WR009i004p00826</w:t>
        </w:r>
      </w:hyperlink>
      <w:r>
        <w:t xml:space="preserve">.</w:t>
      </w:r>
    </w:p>
    <w:bookmarkEnd w:id="107"/>
    <w:bookmarkStart w:id="108"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8"/>
    <w:bookmarkStart w:id="109"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9"/>
    <w:bookmarkStart w:id="111"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10">
        <w:r>
          <w:rPr>
            <w:rStyle w:val="Hyperlink"/>
          </w:rPr>
          <w:t xml:space="preserve">https://doi.org/10.1111/j.1752-1688.2000.tb04280.x</w:t>
        </w:r>
      </w:hyperlink>
      <w:r>
        <w:t xml:space="preserve">.</w:t>
      </w:r>
    </w:p>
    <w:bookmarkEnd w:id="111"/>
    <w:bookmarkStart w:id="112"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12"/>
    <w:bookmarkStart w:id="114"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3">
        <w:r>
          <w:rPr>
            <w:rStyle w:val="Hyperlink"/>
          </w:rPr>
          <w:t xml:space="preserve">https://doi.org/10.1029/2004WR003787</w:t>
        </w:r>
      </w:hyperlink>
      <w:r>
        <w:t xml:space="preserve">.</w:t>
      </w:r>
    </w:p>
    <w:bookmarkEnd w:id="114"/>
    <w:bookmarkStart w:id="115"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15"/>
    <w:bookmarkStart w:id="117"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6">
        <w:r>
          <w:rPr>
            <w:rStyle w:val="Hyperlink"/>
          </w:rPr>
          <w:t xml:space="preserve">https://doi.org/10.1002/eco.70098</w:t>
        </w:r>
      </w:hyperlink>
      <w:r>
        <w:t xml:space="preserve">.</w:t>
      </w:r>
    </w:p>
    <w:bookmarkEnd w:id="117"/>
    <w:bookmarkStart w:id="119"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8">
        <w:r>
          <w:rPr>
            <w:rStyle w:val="Hyperlink"/>
          </w:rPr>
          <w:t xml:space="preserve">https://doi.org/10.3133/wsp1462</w:t>
        </w:r>
      </w:hyperlink>
      <w:r>
        <w:t xml:space="preserve">.</w:t>
      </w:r>
    </w:p>
    <w:bookmarkEnd w:id="119"/>
    <w:bookmarkStart w:id="120"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20"/>
    <w:bookmarkStart w:id="121"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21"/>
    <w:bookmarkStart w:id="122"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22"/>
    <w:bookmarkStart w:id="123"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23"/>
    <w:bookmarkStart w:id="125"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24">
        <w:r>
          <w:rPr>
            <w:rStyle w:val="Hyperlink"/>
          </w:rPr>
          <w:t xml:space="preserve">https://doi.org/10.1007/BF03161678</w:t>
        </w:r>
      </w:hyperlink>
      <w:r>
        <w:t xml:space="preserve">.</w:t>
      </w:r>
    </w:p>
    <w:bookmarkEnd w:id="125"/>
    <w:bookmarkStart w:id="126"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26"/>
    <w:bookmarkStart w:id="128" w:name="ref-MillsDoakKeystoneSpecies1993"/>
    <w:p>
      <w:pPr>
        <w:pStyle w:val="Bibliography"/>
      </w:pPr>
      <w:r>
        <w:t xml:space="preserve">Mills, L. Scott, and Daniel F. Doak. 1993.</w:t>
      </w:r>
      <w:r>
        <w:t xml:space="preserve"> </w:t>
      </w:r>
      <w:r>
        <w:t xml:space="preserve">“The</w:t>
      </w:r>
      <w:r>
        <w:t xml:space="preserve"> </w:t>
      </w:r>
      <w:r>
        <w:t xml:space="preserve">Keystone-Species Concept</w:t>
      </w:r>
      <w:r>
        <w:t xml:space="preserve"> </w:t>
      </w:r>
      <w:r>
        <w:t xml:space="preserve">in</w:t>
      </w:r>
      <w:r>
        <w:t xml:space="preserve"> </w:t>
      </w:r>
      <w:r>
        <w:t xml:space="preserve">Ecology</w:t>
      </w:r>
      <w:r>
        <w:t xml:space="preserve"> </w:t>
      </w:r>
      <w:r>
        <w:t xml:space="preserve">and</w:t>
      </w:r>
      <w:r>
        <w:t xml:space="preserve"> </w:t>
      </w:r>
      <w:r>
        <w:t xml:space="preserve">Conservation</w:t>
      </w:r>
      <w:r>
        <w:t xml:space="preserve">.”</w:t>
      </w:r>
      <w:r>
        <w:t xml:space="preserve"> </w:t>
      </w:r>
      <w:r>
        <w:rPr>
          <w:i/>
          <w:iCs/>
        </w:rPr>
        <w:t xml:space="preserve">BioScience</w:t>
      </w:r>
      <w:r>
        <w:t xml:space="preserve"> </w:t>
      </w:r>
      <w:r>
        <w:t xml:space="preserve">43 (4): 219–24.</w:t>
      </w:r>
      <w:r>
        <w:t xml:space="preserve"> </w:t>
      </w:r>
      <w:hyperlink r:id="rId127">
        <w:r>
          <w:rPr>
            <w:rStyle w:val="Hyperlink"/>
          </w:rPr>
          <w:t xml:space="preserve">https://doi.org/10.2307/1312122</w:t>
        </w:r>
      </w:hyperlink>
      <w:r>
        <w:t xml:space="preserve">.</w:t>
      </w:r>
    </w:p>
    <w:bookmarkEnd w:id="128"/>
    <w:bookmarkStart w:id="130"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29">
        <w:r>
          <w:rPr>
            <w:rStyle w:val="Hyperlink"/>
          </w:rPr>
          <w:t xml:space="preserve">https://doi.org/10.1029/WR009i004p00837</w:t>
        </w:r>
      </w:hyperlink>
      <w:r>
        <w:t xml:space="preserve">.</w:t>
      </w:r>
    </w:p>
    <w:bookmarkEnd w:id="130"/>
    <w:bookmarkStart w:id="131"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31"/>
    <w:bookmarkStart w:id="133"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32">
        <w:r>
          <w:rPr>
            <w:rStyle w:val="Hyperlink"/>
          </w:rPr>
          <w:t xml:space="preserve">https://doi.org/10.1016/j.envsci.2016.05.006</w:t>
        </w:r>
      </w:hyperlink>
      <w:r>
        <w:t xml:space="preserve">.</w:t>
      </w:r>
    </w:p>
    <w:bookmarkEnd w:id="133"/>
    <w:bookmarkStart w:id="134"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34"/>
    <w:bookmarkStart w:id="136"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35">
        <w:r>
          <w:rPr>
            <w:rStyle w:val="Hyperlink"/>
          </w:rPr>
          <w:t xml:space="preserve">https://doi.org/10.1016/j.jhydrol.2020.124787</w:t>
        </w:r>
      </w:hyperlink>
      <w:r>
        <w:t xml:space="preserve">.</w:t>
      </w:r>
    </w:p>
    <w:bookmarkEnd w:id="136"/>
    <w:bookmarkStart w:id="138" w:name="ref-PoffEtAlNatural1997"/>
    <w:p>
      <w:pPr>
        <w:pStyle w:val="Bibliography"/>
      </w:pPr>
      <w:r>
        <w:t xml:space="preserve">Poff, N. LeRoy, J. David Allan, Mark B. Bain, James R. Karr, Karen L. Prestegaard, Brian D. Richter, Richard E. Sparks, and Julie C. Stromberg. 1997.</w:t>
      </w:r>
      <w:r>
        <w:t xml:space="preserve"> </w:t>
      </w:r>
      <w:r>
        <w:t xml:space="preserve">“The</w:t>
      </w:r>
      <w:r>
        <w:t xml:space="preserve"> </w:t>
      </w:r>
      <w:r>
        <w:t xml:space="preserve">Natural Flow Regime</w:t>
      </w:r>
      <w:r>
        <w:t xml:space="preserve">.”</w:t>
      </w:r>
      <w:r>
        <w:t xml:space="preserve"> </w:t>
      </w:r>
      <w:r>
        <w:rPr>
          <w:i/>
          <w:iCs/>
        </w:rPr>
        <w:t xml:space="preserve">BioScience</w:t>
      </w:r>
      <w:r>
        <w:t xml:space="preserve"> </w:t>
      </w:r>
      <w:r>
        <w:t xml:space="preserve">47 (11): 769–84.</w:t>
      </w:r>
      <w:r>
        <w:t xml:space="preserve"> </w:t>
      </w:r>
      <w:hyperlink r:id="rId137">
        <w:r>
          <w:rPr>
            <w:rStyle w:val="Hyperlink"/>
          </w:rPr>
          <w:t xml:space="preserve">https://doi.org/10.2307/1313099</w:t>
        </w:r>
      </w:hyperlink>
      <w:r>
        <w:t xml:space="preserve">.</w:t>
      </w:r>
    </w:p>
    <w:bookmarkEnd w:id="138"/>
    <w:bookmarkStart w:id="140" w:name="ref-RichterEtAlMethod1996"/>
    <w:p>
      <w:pPr>
        <w:pStyle w:val="Bibliography"/>
      </w:pPr>
      <w:r>
        <w:t xml:space="preserve">Richter, Brian D., Jeffrey V. Baumgartner, Jennifer Powell, and David P. Braun. 1996.</w:t>
      </w:r>
      <w:r>
        <w:t xml:space="preserve"> </w:t>
      </w:r>
      <w:r>
        <w:t xml:space="preserve">“A</w:t>
      </w:r>
      <w:r>
        <w:t xml:space="preserve"> </w:t>
      </w:r>
      <w:r>
        <w:t xml:space="preserve">Method</w:t>
      </w:r>
      <w:r>
        <w:t xml:space="preserve"> </w:t>
      </w:r>
      <w:r>
        <w:t xml:space="preserve">for</w:t>
      </w:r>
      <w:r>
        <w:t xml:space="preserve"> </w:t>
      </w:r>
      <w:r>
        <w:t xml:space="preserve">Assessing Hydrologic Alteration</w:t>
      </w:r>
      <w:r>
        <w:t xml:space="preserve"> </w:t>
      </w:r>
      <w:r>
        <w:t xml:space="preserve">Within</w:t>
      </w:r>
      <w:r>
        <w:t xml:space="preserve"> </w:t>
      </w:r>
      <w:r>
        <w:t xml:space="preserve">Ecosystems</w:t>
      </w:r>
      <w:r>
        <w:t xml:space="preserve">.”</w:t>
      </w:r>
      <w:r>
        <w:t xml:space="preserve"> </w:t>
      </w:r>
      <w:r>
        <w:rPr>
          <w:i/>
          <w:iCs/>
        </w:rPr>
        <w:t xml:space="preserve">Conservation Biology</w:t>
      </w:r>
      <w:r>
        <w:t xml:space="preserve"> </w:t>
      </w:r>
      <w:r>
        <w:t xml:space="preserve">10 (4): 1163–74.</w:t>
      </w:r>
      <w:r>
        <w:t xml:space="preserve"> </w:t>
      </w:r>
      <w:hyperlink r:id="rId139">
        <w:r>
          <w:rPr>
            <w:rStyle w:val="Hyperlink"/>
          </w:rPr>
          <w:t xml:space="preserve">https://doi.org/10.1046/j.1523-1739.1996.10041163.x</w:t>
        </w:r>
      </w:hyperlink>
      <w:r>
        <w:t xml:space="preserve">.</w:t>
      </w:r>
    </w:p>
    <w:bookmarkEnd w:id="140"/>
    <w:bookmarkStart w:id="141"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41"/>
    <w:bookmarkStart w:id="142"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42"/>
    <w:bookmarkStart w:id="143"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43"/>
    <w:bookmarkStart w:id="144"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44"/>
    <w:bookmarkStart w:id="145"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45"/>
    <w:bookmarkStart w:id="146"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46"/>
    <w:bookmarkStart w:id="148" w:name="ref-TharmeGlobal2003"/>
    <w:p>
      <w:pPr>
        <w:pStyle w:val="Bibliography"/>
      </w:pPr>
      <w:r>
        <w:t xml:space="preserve">Tharme, R. E. 2003.</w:t>
      </w:r>
      <w:r>
        <w:t xml:space="preserve"> </w:t>
      </w:r>
      <w:r>
        <w:t xml:space="preserve">“A Global Perspective on Environmental Flow Assessment:</w:t>
      </w:r>
      <w:r>
        <w:t xml:space="preserve"> </w:t>
      </w:r>
      <w:r>
        <w:t xml:space="preserve">Emerging</w:t>
      </w:r>
      <w:r>
        <w:t xml:space="preserve"> </w:t>
      </w:r>
      <w:r>
        <w:t xml:space="preserve">Trends in the Development and Application of Environmental Flow Methodologies for Rivers.”</w:t>
      </w:r>
      <w:r>
        <w:t xml:space="preserve"> </w:t>
      </w:r>
      <w:r>
        <w:rPr>
          <w:i/>
          <w:iCs/>
        </w:rPr>
        <w:t xml:space="preserve">River Research and Applications</w:t>
      </w:r>
      <w:r>
        <w:t xml:space="preserve"> </w:t>
      </w:r>
      <w:r>
        <w:t xml:space="preserve">19 (5-6): 397–441.</w:t>
      </w:r>
      <w:r>
        <w:t xml:space="preserve"> </w:t>
      </w:r>
      <w:hyperlink r:id="rId147">
        <w:r>
          <w:rPr>
            <w:rStyle w:val="Hyperlink"/>
          </w:rPr>
          <w:t xml:space="preserve">https://doi.org/10.1002/rra.736</w:t>
        </w:r>
      </w:hyperlink>
      <w:r>
        <w:t xml:space="preserve">.</w:t>
      </w:r>
    </w:p>
    <w:bookmarkEnd w:id="148"/>
    <w:bookmarkStart w:id="150"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49">
        <w:r>
          <w:rPr>
            <w:rStyle w:val="Hyperlink"/>
          </w:rPr>
          <w:t xml:space="preserve">https://doi.org/10.1029/2018WR024209</w:t>
        </w:r>
      </w:hyperlink>
      <w:r>
        <w:t xml:space="preserve">.</w:t>
      </w:r>
    </w:p>
    <w:bookmarkEnd w:id="150"/>
    <w:bookmarkStart w:id="152"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51">
        <w:r>
          <w:rPr>
            <w:rStyle w:val="Hyperlink"/>
          </w:rPr>
          <w:t xml:space="preserve">https://doi.org/10.1007/s10040-005-0015-y</w:t>
        </w:r>
      </w:hyperlink>
      <w:r>
        <w:t xml:space="preserve">.</w:t>
      </w:r>
    </w:p>
    <w:bookmarkEnd w:id="152"/>
    <w:bookmarkStart w:id="154"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53">
        <w:r>
          <w:rPr>
            <w:rStyle w:val="Hyperlink"/>
          </w:rPr>
          <w:t xml:space="preserve">https://doi.org/10.1093/biosci/biv102</w:t>
        </w:r>
      </w:hyperlink>
      <w:r>
        <w:t xml:space="preserve">.</w:t>
      </w:r>
    </w:p>
    <w:bookmarkEnd w:id="154"/>
    <w:bookmarkStart w:id="156"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55">
        <w:r>
          <w:rPr>
            <w:rStyle w:val="Hyperlink"/>
          </w:rPr>
          <w:t xml:space="preserve">https://doi.org/10.1029/WR018i005p01326</w:t>
        </w:r>
      </w:hyperlink>
      <w:r>
        <w:t xml:space="preserve">.</w:t>
      </w:r>
    </w:p>
    <w:bookmarkEnd w:id="156"/>
    <w:bookmarkStart w:id="157"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57"/>
    <w:bookmarkEnd w:id="158"/>
    <w:p>
      <w:r>
        <w:br w:type="page"/>
      </w:r>
    </w:p>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7" Target="media/rId77.jpg" /><Relationship Type="http://schemas.openxmlformats.org/officeDocument/2006/relationships/hyperlink" Id="rId93" Target="https://doi.org/10.1002/eap.3013" TargetMode="External" /><Relationship Type="http://schemas.openxmlformats.org/officeDocument/2006/relationships/hyperlink" Id="rId116" Target="https://doi.org/10.1002/eco.70098" TargetMode="External" /><Relationship Type="http://schemas.openxmlformats.org/officeDocument/2006/relationships/hyperlink" Id="rId147" Target="https://doi.org/10.1002/rra.736" TargetMode="External" /><Relationship Type="http://schemas.openxmlformats.org/officeDocument/2006/relationships/hyperlink" Id="rId124" Target="https://doi.org/10.1007/BF03161678" TargetMode="External" /><Relationship Type="http://schemas.openxmlformats.org/officeDocument/2006/relationships/hyperlink" Id="rId151" Target="https://doi.org/10.1007/s10040-005-0015-y" TargetMode="External" /><Relationship Type="http://schemas.openxmlformats.org/officeDocument/2006/relationships/hyperlink" Id="rId132" Target="https://doi.org/10.1016/j.envsci.2016.05.006" TargetMode="External" /><Relationship Type="http://schemas.openxmlformats.org/officeDocument/2006/relationships/hyperlink" Id="rId135" Target="https://doi.org/10.1016/j.jhydrol.2020.124787" TargetMode="External" /><Relationship Type="http://schemas.openxmlformats.org/officeDocument/2006/relationships/hyperlink" Id="rId113" Target="https://doi.org/10.1029/2004WR003787" TargetMode="External" /><Relationship Type="http://schemas.openxmlformats.org/officeDocument/2006/relationships/hyperlink" Id="rId149" Target="https://doi.org/10.1029/2018WR024209" TargetMode="External" /><Relationship Type="http://schemas.openxmlformats.org/officeDocument/2006/relationships/hyperlink" Id="rId106" Target="https://doi.org/10.1029/WR009i004p00826" TargetMode="External" /><Relationship Type="http://schemas.openxmlformats.org/officeDocument/2006/relationships/hyperlink" Id="rId129" Target="https://doi.org/10.1029/WR009i004p00837" TargetMode="External" /><Relationship Type="http://schemas.openxmlformats.org/officeDocument/2006/relationships/hyperlink" Id="rId155" Target="https://doi.org/10.1029/WR018i005p01326" TargetMode="External" /><Relationship Type="http://schemas.openxmlformats.org/officeDocument/2006/relationships/hyperlink" Id="rId139" Target="https://doi.org/10.1046/j.1523-1739.1996.10041163.x" TargetMode="External" /><Relationship Type="http://schemas.openxmlformats.org/officeDocument/2006/relationships/hyperlink" Id="rId153" Target="https://doi.org/10.1093/biosci/biv102" TargetMode="External" /><Relationship Type="http://schemas.openxmlformats.org/officeDocument/2006/relationships/hyperlink" Id="rId110" Target="https://doi.org/10.1111/j.1752-1688.2000.tb04280.x" TargetMode="External" /><Relationship Type="http://schemas.openxmlformats.org/officeDocument/2006/relationships/hyperlink" Id="rId97" Target="https://doi.org/10.1577/1548-8675(1994)014&lt;0237:HDACSO&gt;2.3.CO;2" TargetMode="External" /><Relationship Type="http://schemas.openxmlformats.org/officeDocument/2006/relationships/hyperlink" Id="rId104" Target="https://doi.org/10.2135/cropsci1983.0011183X002300040016x" TargetMode="External" /><Relationship Type="http://schemas.openxmlformats.org/officeDocument/2006/relationships/hyperlink" Id="rId127" Target="https://doi.org/10.2307/1312122" TargetMode="External" /><Relationship Type="http://schemas.openxmlformats.org/officeDocument/2006/relationships/hyperlink" Id="rId137" Target="https://doi.org/10.2307/1313099" TargetMode="External" /><Relationship Type="http://schemas.openxmlformats.org/officeDocument/2006/relationships/hyperlink" Id="rId118" Target="https://doi.org/10.3133/wsp1462" TargetMode="External" /><Relationship Type="http://schemas.openxmlformats.org/officeDocument/2006/relationships/hyperlink" Id="rId95"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2/eap.3013" TargetMode="External" /><Relationship Type="http://schemas.openxmlformats.org/officeDocument/2006/relationships/hyperlink" Id="rId116" Target="https://doi.org/10.1002/eco.70098" TargetMode="External" /><Relationship Type="http://schemas.openxmlformats.org/officeDocument/2006/relationships/hyperlink" Id="rId147" Target="https://doi.org/10.1002/rra.736" TargetMode="External" /><Relationship Type="http://schemas.openxmlformats.org/officeDocument/2006/relationships/hyperlink" Id="rId124" Target="https://doi.org/10.1007/BF03161678" TargetMode="External" /><Relationship Type="http://schemas.openxmlformats.org/officeDocument/2006/relationships/hyperlink" Id="rId151" Target="https://doi.org/10.1007/s10040-005-0015-y" TargetMode="External" /><Relationship Type="http://schemas.openxmlformats.org/officeDocument/2006/relationships/hyperlink" Id="rId132" Target="https://doi.org/10.1016/j.envsci.2016.05.006" TargetMode="External" /><Relationship Type="http://schemas.openxmlformats.org/officeDocument/2006/relationships/hyperlink" Id="rId135" Target="https://doi.org/10.1016/j.jhydrol.2020.124787" TargetMode="External" /><Relationship Type="http://schemas.openxmlformats.org/officeDocument/2006/relationships/hyperlink" Id="rId113" Target="https://doi.org/10.1029/2004WR003787" TargetMode="External" /><Relationship Type="http://schemas.openxmlformats.org/officeDocument/2006/relationships/hyperlink" Id="rId149" Target="https://doi.org/10.1029/2018WR024209" TargetMode="External" /><Relationship Type="http://schemas.openxmlformats.org/officeDocument/2006/relationships/hyperlink" Id="rId106" Target="https://doi.org/10.1029/WR009i004p00826" TargetMode="External" /><Relationship Type="http://schemas.openxmlformats.org/officeDocument/2006/relationships/hyperlink" Id="rId129" Target="https://doi.org/10.1029/WR009i004p00837" TargetMode="External" /><Relationship Type="http://schemas.openxmlformats.org/officeDocument/2006/relationships/hyperlink" Id="rId155" Target="https://doi.org/10.1029/WR018i005p01326" TargetMode="External" /><Relationship Type="http://schemas.openxmlformats.org/officeDocument/2006/relationships/hyperlink" Id="rId139" Target="https://doi.org/10.1046/j.1523-1739.1996.10041163.x" TargetMode="External" /><Relationship Type="http://schemas.openxmlformats.org/officeDocument/2006/relationships/hyperlink" Id="rId153" Target="https://doi.org/10.1093/biosci/biv102" TargetMode="External" /><Relationship Type="http://schemas.openxmlformats.org/officeDocument/2006/relationships/hyperlink" Id="rId110" Target="https://doi.org/10.1111/j.1752-1688.2000.tb04280.x" TargetMode="External" /><Relationship Type="http://schemas.openxmlformats.org/officeDocument/2006/relationships/hyperlink" Id="rId97" Target="https://doi.org/10.1577/1548-8675(1994)014&lt;0237:HDACSO&gt;2.3.CO;2" TargetMode="External" /><Relationship Type="http://schemas.openxmlformats.org/officeDocument/2006/relationships/hyperlink" Id="rId104" Target="https://doi.org/10.2135/cropsci1983.0011183X002300040016x" TargetMode="External" /><Relationship Type="http://schemas.openxmlformats.org/officeDocument/2006/relationships/hyperlink" Id="rId127" Target="https://doi.org/10.2307/1312122" TargetMode="External" /><Relationship Type="http://schemas.openxmlformats.org/officeDocument/2006/relationships/hyperlink" Id="rId137" Target="https://doi.org/10.2307/1313099" TargetMode="External" /><Relationship Type="http://schemas.openxmlformats.org/officeDocument/2006/relationships/hyperlink" Id="rId118" Target="https://doi.org/10.3133/wsp1462" TargetMode="External" /><Relationship Type="http://schemas.openxmlformats.org/officeDocument/2006/relationships/hyperlink" Id="rId95"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2026-03-09T23:58:09Z</dcterms:created>
  <dcterms:modified xsi:type="dcterms:W3CDTF">2026-03-09T23:58:09Z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