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1.png" ContentType="image/png"/>
  <Override PartName="/word/media/rId35.png" ContentType="image/pn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D: Results with Hydrologic Benefit Function based on Chinook juvenile abundance</w:t>
      </w:r>
    </w:p>
    <w:p>
      <w:pPr>
        <w:pStyle w:val="Author"/>
      </w:pPr>
      <w:r>
        <w:t xml:space="preserve">Claire Kouba</w:t>
      </w:r>
    </w:p>
    <w:p>
      <w:pPr>
        <w:pStyle w:val="Date"/>
      </w:pPr>
      <w:r>
        <w:t xml:space="preserve">2026-02-13</w:t>
      </w:r>
    </w:p>
    <w:bookmarkStart w:id="20" w:name="Xc1dc9abca028fec832449c8b3278bba7a4a4322"/>
    <w:p>
      <w:pPr>
        <w:pStyle w:val="Heading1"/>
      </w:pPr>
      <w:r>
        <w:rPr>
          <w:rStyle w:val="SectionNumber"/>
        </w:rPr>
        <w:t xml:space="preserve">1</w:t>
      </w:r>
      <w:r>
        <w:tab/>
      </w:r>
      <w:r>
        <w:t xml:space="preserve">Methodological details of Hydrologic Benefit function formulations (Supplements B-E)</w:t>
      </w:r>
    </w:p>
    <w:p>
      <w:pPr>
        <w:pStyle w:val="FirstParagraph"/>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p>
      <w:pPr>
        <w:pStyle w:val="BodyText"/>
      </w:pPr>
      <w:r>
        <w:t xml:space="preserve">For each species, across all statistical methods, the coefficients for any single predictor were consistently negative or positive; e.g., more coho reproduction was consistently associated with</w:t>
      </w:r>
      <w:r>
        <w:t xml:space="preserve"> </w:t>
      </w:r>
      <w:r>
        <w:rPr>
          <w:i/>
          <w:iCs/>
        </w:rPr>
        <w:t xml:space="preserve">earlier</w:t>
      </w:r>
      <w:r>
        <w:t xml:space="preserve"> </w:t>
      </w:r>
      <w:r>
        <w:t xml:space="preserve">fall reconnection.</w:t>
      </w:r>
    </w:p>
    <w:bookmarkEnd w:id="20"/>
    <w:bookmarkStart w:id="30" w:name="X2be74faca95e385d6a9c62d58e67d2aaf8e8157"/>
    <w:p>
      <w:pPr>
        <w:pStyle w:val="Heading1"/>
      </w:pPr>
      <w:r>
        <w:rPr>
          <w:rStyle w:val="SectionNumber"/>
        </w:rPr>
        <w:t xml:space="preserve">2</w:t>
      </w:r>
      <w:r>
        <w:tab/>
      </w:r>
      <w:r>
        <w:t xml:space="preserve">HB coefficients, component contributions, and annual values</w:t>
      </w:r>
    </w:p>
    <w:p>
      <w:pPr>
        <w:pStyle w:val="TableCaption"/>
      </w:pPr>
      <w:bookmarkStart w:id="21" w:name="tab:coefTab01"/>
      <w:bookmarkEnd w:id="21"/>
      <w:r>
        <w:t xml:space="preserve">Table 1:</w:t>
      </w:r>
      <w:r>
        <w:t xml:space="preserve"> </w:t>
      </w:r>
      <w:r>
        <w:t xml:space="preserve">Coefficients for the Hydrologic Benefit function, an emperical estimate of ecological services provided to Chinook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w1_Wet_BFL_Mag_50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wet season baseflows (as eggs and hatchlings)</w:t>
            </w:r>
          </w:p>
        </w:tc>
      </w:tr>
    </w:tbl>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23" name="Picture"/>
            <a:graphic>
              <a:graphicData uri="http://schemas.openxmlformats.org/drawingml/2006/picture">
                <pic:pic>
                  <pic:nvPicPr>
                    <pic:cNvPr descr="Graphics%20and%20Supplements/Figure%2011.png" id="24" name="Picture"/>
                    <pic:cNvPicPr>
                      <a:picLocks noChangeArrowheads="1" noChangeAspect="1"/>
                    </pic:cNvPicPr>
                  </pic:nvPicPr>
                  <pic:blipFill>
                    <a:blip r:embed="rId22"/>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25" w:name="fig:benefitByWY01"/>
      <w:bookmarkEnd w:id="25"/>
      <w:r>
        <w:t xml:space="preserve">Figure 1:</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CaptionedFigure"/>
      </w:pPr>
      <w:r>
        <w:drawing>
          <wp:inline>
            <wp:extent cx="5334000" cy="4000499"/>
            <wp:effectExtent b="0" l="0" r="0" t="0"/>
            <wp:docPr descr="Figure 2:  For the basecase scenario, contributions to annual Hydrologic Benefit function values, by functional flow metric (see Table 1 above; intercept values not shown)." title="" id="27" name="Picture"/>
            <a:graphic>
              <a:graphicData uri="http://schemas.openxmlformats.org/drawingml/2006/picture">
                <pic:pic>
                  <pic:nvPicPr>
                    <pic:cNvPr descr="Graphics%20and%20Supplements/Figure%2012.png" id="28" name="Picture"/>
                    <pic:cNvPicPr>
                      <a:picLocks noChangeArrowheads="1" noChangeAspect="1"/>
                    </pic:cNvPicPr>
                  </pic:nvPicPr>
                  <pic:blipFill>
                    <a:blip r:embed="rId2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29" w:name="fig:HBComponents"/>
      <w:bookmarkEnd w:id="29"/>
      <w:r>
        <w:t xml:space="preserve">Figure 2:</w:t>
      </w:r>
      <w:r>
        <w:t xml:space="preserve"> </w:t>
      </w:r>
      <w:r>
        <w:t xml:space="preserve"> </w:t>
      </w:r>
      <w:r>
        <w:t xml:space="preserve">For the basecase scenario, contributions to annual Hydrologic Benefit function values, by functional flow metric (see Table 1 above; intercept values not shown).</w:t>
      </w:r>
    </w:p>
    <w:p>
      <w:r>
        <w:br w:type="page"/>
      </w:r>
    </w:p>
    <w:bookmarkEnd w:id="30"/>
    <w:bookmarkStart w:id="39" w:name="trade-offs-and-efficiency"/>
    <w:p>
      <w:pPr>
        <w:pStyle w:val="Heading1"/>
      </w:pPr>
      <w:r>
        <w:rPr>
          <w:rStyle w:val="SectionNumber"/>
        </w:rPr>
        <w:t xml:space="preserve">3</w:t>
      </w:r>
      <w:r>
        <w:tab/>
      </w:r>
      <w:r>
        <w:t xml:space="preserve">Trade-offs and efficiency</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32" name="Picture"/>
            <a:graphic>
              <a:graphicData uri="http://schemas.openxmlformats.org/drawingml/2006/picture">
                <pic:pic>
                  <pic:nvPicPr>
                    <pic:cNvPr descr="Graphics%20and%20Supplements/Figure%2013.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34" w:name="fig:farmerFishTradeoffFigure01"/>
      <w:bookmarkEnd w:id="34"/>
      <w:r>
        <w:t xml:space="preserve">Figure 3:</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36" name="Picture"/>
            <a:graphic>
              <a:graphicData uri="http://schemas.openxmlformats.org/drawingml/2006/picture">
                <pic:pic>
                  <pic:nvPicPr>
                    <pic:cNvPr descr="Graphics%20and%20Supplements/Figure%2015.png" id="37" name="Picture"/>
                    <pic:cNvPicPr>
                      <a:picLocks noChangeArrowheads="1" noChangeAspect="1"/>
                    </pic:cNvPicPr>
                  </pic:nvPicPr>
                  <pic:blipFill>
                    <a:blip r:embed="rId3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38" w:name="fig:efficiency01"/>
      <w:bookmarkEnd w:id="38"/>
      <w:r>
        <w:t xml:space="preserve">Figure 4:</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39"/>
    <w:bookmarkStart w:id="44" w:name="three-objectives-and-pareto-optimal-set"/>
    <w:p>
      <w:pPr>
        <w:pStyle w:val="Heading1"/>
      </w:pPr>
      <w:r>
        <w:rPr>
          <w:rStyle w:val="SectionNumber"/>
        </w:rPr>
        <w:t xml:space="preserve">4</w:t>
      </w:r>
      <w:r>
        <w:tab/>
      </w:r>
      <w:r>
        <w:t xml:space="preserve">Three objectives and Pareto-optimal set</w:t>
      </w:r>
    </w:p>
    <w:p>
      <w:pPr>
        <w:pStyle w:val="CaptionedFigure"/>
      </w:pPr>
      <w:r>
        <w:drawing>
          <wp:inline>
            <wp:extent cx="4267200" cy="4141694"/>
            <wp:effectExtent b="0" l="0" r="0" t="0"/>
            <wp:docPr descr="Figure 5:  A three-dimensional scatter plot of the objective function values for basecase and 24 management scenarios, averaged over 35 water years (1991-2025). Larger spheres are shown for the Pareto-optimal set of scenarios. Scenario colors correspond to legend in Supplement Figures 3 and 4. The corner corresponding to optimal values of all objective functions (the ‘best’ corner) is highlighted with a red arrow." title="" id="41" name="Picture"/>
            <a:graphic>
              <a:graphicData uri="http://schemas.openxmlformats.org/drawingml/2006/picture">
                <pic:pic>
                  <pic:nvPicPr>
                    <pic:cNvPr descr="Graphics%20and%20Supplements/hbf%20et%20infra%20plot3d_2026.03.06_chinook%20juv.jpg" id="42" name="Picture"/>
                    <pic:cNvPicPr>
                      <a:picLocks noChangeArrowheads="1" noChangeAspect="1"/>
                    </pic:cNvPicPr>
                  </pic:nvPicPr>
                  <pic:blipFill>
                    <a:blip r:embed="rId40"/>
                    <a:stretch>
                      <a:fillRect/>
                    </a:stretch>
                  </pic:blipFill>
                  <pic:spPr bwMode="auto">
                    <a:xfrm>
                      <a:off x="0" y="0"/>
                      <a:ext cx="4267200" cy="4141694"/>
                    </a:xfrm>
                    <a:prstGeom prst="rect">
                      <a:avLst/>
                    </a:prstGeom>
                    <a:noFill/>
                    <a:ln w="9525">
                      <a:noFill/>
                      <a:headEnd/>
                      <a:tailEnd/>
                    </a:ln>
                  </pic:spPr>
                </pic:pic>
              </a:graphicData>
            </a:graphic>
          </wp:inline>
        </w:drawing>
      </w:r>
    </w:p>
    <w:p>
      <w:pPr>
        <w:pStyle w:val="ImageCaption"/>
      </w:pPr>
      <w:bookmarkStart w:id="43" w:name="fig:farmerFishInfraFigure3DSupp"/>
      <w:bookmarkEnd w:id="43"/>
      <w:r>
        <w:t xml:space="preserve">Figure 5:</w:t>
      </w:r>
      <w:r>
        <w:t xml:space="preserve"> </w:t>
      </w:r>
      <w:r>
        <w:t xml:space="preserve"> </w:t>
      </w:r>
      <w:r>
        <w:t xml:space="preserve">A three-dimensional scatter plot of the objective function values for basecase and 24 management scenarios, averaged over 35 water years (1991-2025). Larger spheres are shown for the Pareto-optimal set of scenarios. Scenario colors correspond to legend in Supplement Figures 3 and 4. The corner corresponding to optimal values of all objective functions (the</w:t>
      </w:r>
      <w:r>
        <w:t xml:space="preserve"> </w:t>
      </w:r>
      <w:r>
        <w:t xml:space="preserve">‘best’</w:t>
      </w:r>
      <w:r>
        <w:t xml:space="preserve"> </w:t>
      </w:r>
      <w:r>
        <w:t xml:space="preserve">corner) is highlighted with a red arrow.</w:t>
      </w:r>
    </w:p>
    <w:p>
      <w:r>
        <w:br w:type="page"/>
      </w:r>
    </w:p>
    <w:bookmarkEnd w:id="44"/>
    <w:bookmarkStart w:id="46" w:name="scenario-results-table"/>
    <w:p>
      <w:pPr>
        <w:pStyle w:val="Heading1"/>
      </w:pPr>
      <w:r>
        <w:rPr>
          <w:rStyle w:val="SectionNumber"/>
        </w:rPr>
        <w:t xml:space="preserve">5</w:t>
      </w:r>
      <w:r>
        <w:tab/>
      </w:r>
      <w:r>
        <w:t xml:space="preserve">Scenario Results Table</w:t>
      </w:r>
    </w:p>
    <w:p>
      <w:pPr>
        <w:pStyle w:val="TableCaption"/>
      </w:pPr>
      <w:bookmarkStart w:id="45" w:name="tab:scenarioResultsTab01"/>
      <w:bookmarkEnd w:id="45"/>
      <w:r>
        <w:t xml:space="preserve">Table 2:</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1.15</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255.73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r>
        <w:br w:type="page"/>
      </w:r>
    </w:p>
    <w:bookmarkEnd w:id="46"/>
    <w:bookmarkStart w:id="51" w:name="functional-flow-metrics"/>
    <w:p>
      <w:pPr>
        <w:pStyle w:val="Heading1"/>
      </w:pPr>
      <w:r>
        <w:rPr>
          <w:rStyle w:val="SectionNumber"/>
        </w:rPr>
        <w:t xml:space="preserve">6</w:t>
      </w:r>
      <w:r>
        <w:tab/>
      </w:r>
      <w:r>
        <w:t xml:space="preserve">Functional Flow Metrics</w:t>
      </w:r>
    </w:p>
    <w:p>
      <w:pPr>
        <w:pStyle w:val="FirstParagraph"/>
      </w:pPr>
      <w:r>
        <w:t xml:space="preserve">Annual values of the functional flow metrics highlighted in this Hydrologic Benefit function are tabulated below. The basecase and alfalfa irrigation scenarios are used as examples; for a graph of each scenario’s impact on simulated Fort Jones daily average flow, see Supplement E, Figure 2.</w:t>
      </w:r>
    </w:p>
    <w:p>
      <w:r>
        <w:br w:type="page"/>
      </w:r>
    </w:p>
    <w:p>
      <w:pPr>
        <w:pStyle w:val="TableCaption"/>
      </w:pPr>
      <w:bookmarkStart w:id="47" w:name="tab:funcFlowValsTab01"/>
      <w:bookmarkEnd w:id="47"/>
      <w:r>
        <w:t xml:space="preserve">Table 3:</w:t>
      </w:r>
      <w:r>
        <w:t xml:space="preserve"> </w:t>
      </w:r>
      <w:r>
        <w:t xml:space="preserve">For functional flow w1_Wet_BFL_Mag_50: Annual functional flow values, for example scenarios, based on simulated Fort Jones daily average flow, which influence Hydrologic Benefit Function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brood_year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alf_curtail_08.15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alf_curtail_07.31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alf_curtail_07.15</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1,219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939</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907</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557</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960</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318</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1,305</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1,443</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338</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249</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262</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655</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868</w:t>
            </w:r>
          </w:p>
        </w:tc>
      </w:tr>
      <w:tr>
        <w:trPr>
          <w:trHeight w:val="36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1,309</w:t>
            </w:r>
          </w:p>
        </w:tc>
      </w:tr>
    </w:tbl>
    <w:p>
      <w:r>
        <w:br w:type="page"/>
      </w:r>
    </w:p>
    <w:p>
      <w:r>
        <w:br w:type="page"/>
      </w:r>
    </w:p>
    <w:p>
      <w:r>
        <w:br w:type="page"/>
      </w:r>
    </w:p>
    <w:bookmarkStart w:id="50" w:name="refs"/>
    <w:bookmarkStart w:id="49"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48">
        <w:r>
          <w:rPr>
            <w:rStyle w:val="Hyperlink"/>
          </w:rPr>
          <w:t xml:space="preserve">https://doi.org/10.1002/eco.70098</w:t>
        </w:r>
      </w:hyperlink>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0" Target="media/rId40.jpg" /><Relationship Type="http://schemas.openxmlformats.org/officeDocument/2006/relationships/hyperlink" Id="rId48" Target="https://doi.org/10.1002/eco.70098"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02/eco.700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D: Results with Hydrologic Benefit Function based on Chinook juvenile abundance</dc:title>
  <dc:creator>Claire Kouba</dc:creator>
  <cp:keywords/>
  <dcterms:created xsi:type="dcterms:W3CDTF">2026-03-09T18:11:20Z</dcterms:created>
  <dcterms:modified xsi:type="dcterms:W3CDTF">2026-03-09T18:11:20Z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