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0EF22" w14:textId="77777777" w:rsidR="00855EC5" w:rsidRDefault="00000000">
      <w:pPr>
        <w:pStyle w:val="Title"/>
      </w:pPr>
      <w:r>
        <w:t>Farms, fish, and cost: stakeholder-driven scenario design and objective functions clarify trade-offs in an active local water planning process, Northern California</w:t>
      </w:r>
    </w:p>
    <w:p w14:paraId="28B2BEC0" w14:textId="2ADB91FF" w:rsidR="00855EC5" w:rsidRDefault="00000000">
      <w:pPr>
        <w:pStyle w:val="Author"/>
      </w:pPr>
      <w:r>
        <w:t>Claire Kouba</w:t>
      </w:r>
      <w:r w:rsidR="009C5CCE">
        <w:t>, Laura Foglia, Leland Scantlebury, Thomas Harter</w:t>
      </w:r>
    </w:p>
    <w:p w14:paraId="6C4C8598" w14:textId="77777777" w:rsidR="00855EC5" w:rsidRDefault="00000000">
      <w:pPr>
        <w:pStyle w:val="Date"/>
      </w:pPr>
      <w:r>
        <w:t>2026-05-12</w:t>
      </w:r>
    </w:p>
    <w:p w14:paraId="4EADFAC0" w14:textId="77777777" w:rsidR="00855EC5" w:rsidRDefault="00000000">
      <w:pPr>
        <w:pStyle w:val="Heading1"/>
      </w:pPr>
      <w:bookmarkStart w:id="0" w:name="abstract"/>
      <w:r>
        <w:t>Abstract</w:t>
      </w:r>
    </w:p>
    <w:p w14:paraId="03796C33" w14:textId="77777777" w:rsidR="00855EC5" w:rsidRDefault="00000000">
      <w:pPr>
        <w:pStyle w:val="FirstParagraph"/>
      </w:pPr>
      <w:r>
        <w:t>In rural semi-arid places, water needs of agriculture and ecosystems are often in complex competition, particularly in connected surface- and groundwater systems. Managing this trade-off with buy-in from the local community requires an understanding of “reasonable” options and trade-offs. In this study, we propose that combining hydrologic models with stakeholder-driven design of both management scenarios and objective functions can 1) identify a politically-relevant, computationally feasible set of scenarios; 2) build a management “landscape” of outcomes to assess reasonableness of any one scenario; and 3) clarify water use trade-offs.</w:t>
      </w:r>
    </w:p>
    <w:p w14:paraId="643888D6" w14:textId="77777777" w:rsidR="00855EC5" w:rsidRDefault="00000000">
      <w:pPr>
        <w:pStyle w:val="BodyText"/>
      </w:pPr>
      <w:r>
        <w:t>We test this in Scott Valley,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based on stakeholder input, which were simulated using an existing integrated surface- and groundwater model. We found that, among the set of options considered here, it takes a high infrastructure cost (i.e., reservoir scenarios) to escape the trade-offs defined in the lower-cost regulatory scenario categories. Furthermore, although the existing GSP management priorities emphasized minimal agricultural water cuts, the Pareto-optimal set of management actions included many regulatory approaches and high-cost reservoirs. This work demonstrates that basin-specific, stakeholder-informed scenario design and objective functions can increase the value of existing hydrologic models, and can help clarify trade-offs in ongoing local water planning efforts.</w:t>
      </w:r>
    </w:p>
    <w:p w14:paraId="67E66F4D" w14:textId="77777777" w:rsidR="00855EC5" w:rsidRDefault="00000000">
      <w:r>
        <w:br w:type="page"/>
      </w:r>
    </w:p>
    <w:p w14:paraId="0E48DCF4" w14:textId="77777777" w:rsidR="00855EC5" w:rsidRDefault="00000000">
      <w:pPr>
        <w:pStyle w:val="Heading1"/>
      </w:pPr>
      <w:bookmarkStart w:id="1" w:name="introduction"/>
      <w:bookmarkEnd w:id="0"/>
      <w:r>
        <w:rPr>
          <w:rStyle w:val="SectionNumber"/>
        </w:rPr>
        <w:lastRenderedPageBreak/>
        <w:t>1</w:t>
      </w:r>
      <w:r>
        <w:tab/>
        <w:t>Introduction</w:t>
      </w:r>
    </w:p>
    <w:p w14:paraId="1C513969" w14:textId="77777777" w:rsidR="00855EC5" w:rsidRDefault="00000000">
      <w:pPr>
        <w:pStyle w:val="FirstParagraph"/>
      </w:pPr>
      <w:r>
        <w:t>Sustainable use and management of water resources, in an era of climate change and increasing human water consumption (Williams et al. 2020; Rodell et al. 2018), requires an interdisciplinary understanding of connected socio-hydrologic systems (Reuss 1992; Di Baldassarre et al. 2019). One such interdisciplinary approach is water resources systems analysis (WRSA), which involves applying optimization methods to water resource planning (Maass et al. 1962; Cohon and Marks 1975; C. M. Brown et al. 2015). The utility of such studies typically depends on robust definitions of the “objective function(s)”, which summarize and quantify the desired outcome(s) of the proposed project or management scenario (Gorelick 1983). In practice, classical WRSA approaches have been criticized as being too removed from stakeholder concerns (e.g., Rogers and Fiering 1986).</w:t>
      </w:r>
    </w:p>
    <w:p w14:paraId="73143088" w14:textId="77777777" w:rsidR="00855EC5" w:rsidRDefault="00000000">
      <w:pPr>
        <w:pStyle w:val="BodyText"/>
      </w:pPr>
      <w:r>
        <w:t>This is unfortunate, because effective climate adaptation in the water sector, in its many facets – e.g., securing water and food supplies, updating infrastructure to reduce flood and drought risk, and preserving ecosystem function – depends on local implementation (Dietz, Ostrom, and Stern 2003; Ostrom 2015; Herzberg 2020). Local water managers face a complex regulatory landscape and serve diverse stakeholders, and typically have unmet knowledge needs (Bork and Hirokawa 2021; Nordgren, Stults, and Meerow 2016).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 (Freeman 2000). Efforts to resolve this science-practitioner gap include traditional cooperative extension research (Wang 2014) and more recent transdisciplinary collaborative approaches (Knapp et al. 2019; Sahneh et al. 2021).</w:t>
      </w:r>
    </w:p>
    <w:p w14:paraId="6896C4DE" w14:textId="77777777" w:rsidR="00855EC5" w:rsidRDefault="00000000">
      <w:pPr>
        <w:pStyle w:val="BodyText"/>
      </w:pPr>
      <w:r>
        <w:t>A further limitation of WRSA is that much of modern water management involves balancing multiple competing objectives (e.g., Cardwell, Jager, and Sale 1996; Jager and Rose 2003; Sun et al. 2018), yet, even with modern methods like genetic optimization algorithms or surrogate modeling, multi-objective optimization (or identification of a Pareto-optimal set) using a complex model is often computationally prohibitive (Labadie 2004; Kapelan, Savic, and Walters 2005; Wu et al. 2015). We propose that even without applying advanced optimization methods, the careful development and application of locally-tailored objective functions can clarify trade-offs and add value to public discourse surrounding local water management. Furthermore, because a full randomized sampling of the decision space facing water managers would demand exorbitant computational resources (such as which of several projects or policies to implement, in which areas, on what timeframe), stakeholder-driven scenario design can yield a (computationally-tractable) set of simulated management scenarios that are effectively pre-screened by stakeholders for political and approximate technical feasibility.</w:t>
      </w:r>
    </w:p>
    <w:p w14:paraId="7B0B7567" w14:textId="77777777" w:rsidR="00855EC5" w:rsidRDefault="00000000">
      <w:pPr>
        <w:pStyle w:val="BodyText"/>
      </w:pPr>
      <w:r>
        <w:t xml:space="preserve">In this study, we take advantage of the authors’ involvement with an existing informal transdisciplinary collaboratory – a water resource planning process that includes development and maintenance of an integrated surface- and groundwater model and local, regional and statewide stakeholder engagement – to test the utility of introducing </w:t>
      </w:r>
      <w:r>
        <w:lastRenderedPageBreak/>
        <w:t>quantitative objective functions into the public prioritization of groundwater management alternatives in a case study jurisdiction. Specifically,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and potentially new insights about the holistic management option landscape.</w:t>
      </w:r>
    </w:p>
    <w:p w14:paraId="01A3DAD2" w14:textId="77777777" w:rsidR="00855EC5" w:rsidRDefault="00000000">
      <w:pPr>
        <w:pStyle w:val="Heading1"/>
      </w:pPr>
      <w:bookmarkStart w:id="2" w:name="X1d0ab14f4559910db365e3bb8ee13a97d99320e"/>
      <w:bookmarkEnd w:id="1"/>
      <w:r>
        <w:rPr>
          <w:rStyle w:val="SectionNumber"/>
        </w:rPr>
        <w:t>2</w:t>
      </w:r>
      <w:r>
        <w:tab/>
        <w:t>Background: Case study and GSP development</w:t>
      </w:r>
    </w:p>
    <w:p w14:paraId="060E5B12" w14:textId="77777777" w:rsidR="00855EC5" w:rsidRDefault="00000000">
      <w:pPr>
        <w:pStyle w:val="FirstParagraph"/>
      </w:pPr>
      <w:r>
        <w:t>In our study area, the intermontane rural Scott Valley in northern California (Figure 1), the county government, diverse public stakeholders, and state regulatory agencies spent five years (DWR 2023)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 developed in collaboration with the community, the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14:paraId="6FC87E87" w14:textId="77777777" w:rsidR="00855EC5" w:rsidRDefault="00000000">
      <w:pPr>
        <w:pStyle w:val="BodyText"/>
      </w:pPr>
      <w:r>
        <w:t>Differences between stakeholders in what is considered an acceptable trade-off are common in policy decisions (Monarchi, Kisiel, and Duckstein 1973). Consequently, multi-objective optimization studies often avoid proposing a single optimal solution; instead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Monarchi,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This study avoids this computationally-prohibitive exercise by selecting a set of simulated management scenarios proposed by stakeholders during GSP development, effectively a feasibility pre-screening step.</w:t>
      </w:r>
    </w:p>
    <w:p w14:paraId="79AB0732" w14:textId="77777777" w:rsidR="00855EC5" w:rsidRDefault="00000000">
      <w:pPr>
        <w:pStyle w:val="CaptionedFigure"/>
      </w:pPr>
      <w:r>
        <w:rPr>
          <w:noProof/>
        </w:rPr>
        <w:lastRenderedPageBreak/>
        <w:drawing>
          <wp:inline distT="0" distB="0" distL="0" distR="0" wp14:anchorId="0052E605" wp14:editId="074F0FC2">
            <wp:extent cx="5334000" cy="6477000"/>
            <wp:effectExtent l="0" t="0" r="0" b="0"/>
            <wp:docPr id="23"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4" name="Picture" descr="Graphics%20and%20Supplements/Ch.%202%20Scott%20valley%20setting%20and%20land%20use.png"/>
                    <pic:cNvPicPr>
                      <a:picLocks noChangeAspect="1" noChangeArrowheads="1"/>
                    </pic:cNvPicPr>
                  </pic:nvPicPr>
                  <pic:blipFill>
                    <a:blip r:embed="rId5"/>
                    <a:stretch>
                      <a:fillRect/>
                    </a:stretch>
                  </pic:blipFill>
                  <pic:spPr bwMode="auto">
                    <a:xfrm>
                      <a:off x="0" y="0"/>
                      <a:ext cx="5334000" cy="6477000"/>
                    </a:xfrm>
                    <a:prstGeom prst="rect">
                      <a:avLst/>
                    </a:prstGeom>
                    <a:noFill/>
                    <a:ln w="9525">
                      <a:noFill/>
                      <a:headEnd/>
                      <a:tailEnd/>
                    </a:ln>
                  </pic:spPr>
                </pic:pic>
              </a:graphicData>
            </a:graphic>
          </wp:inline>
        </w:drawing>
      </w:r>
    </w:p>
    <w:p w14:paraId="313FF763" w14:textId="77777777" w:rsidR="00855EC5" w:rsidRDefault="00000000">
      <w:pPr>
        <w:pStyle w:val="ImageCaption"/>
      </w:pPr>
      <w:bookmarkStart w:id="3" w:name="fig:scottLanduseMap"/>
      <w:bookmarkEnd w:id="3"/>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7E024BEE" w14:textId="77777777" w:rsidR="00855EC5" w:rsidRDefault="00000000">
      <w:pPr>
        <w:pStyle w:val="Heading2"/>
      </w:pPr>
      <w:bookmarkStart w:id="4" w:name="hydrography-and-climate"/>
      <w:r>
        <w:rPr>
          <w:rStyle w:val="SectionNumber"/>
        </w:rPr>
        <w:lastRenderedPageBreak/>
        <w:t>2.1</w:t>
      </w:r>
      <w:r>
        <w:tab/>
        <w:t>Hydrography and climate</w:t>
      </w:r>
    </w:p>
    <w:p w14:paraId="3927E7CA" w14:textId="77777777" w:rsidR="00855EC5"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4AF413D0" w14:textId="77777777" w:rsidR="00855EC5"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10A8EDD4" w14:textId="77777777" w:rsidR="00855EC5" w:rsidRDefault="00000000">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3BB89AA2" w14:textId="77777777" w:rsidR="00855EC5" w:rsidRDefault="00000000">
      <w:pPr>
        <w:pStyle w:val="CaptionedFigure"/>
      </w:pPr>
      <w:r>
        <w:rPr>
          <w:noProof/>
        </w:rPr>
        <w:lastRenderedPageBreak/>
        <w:drawing>
          <wp:inline distT="0" distB="0" distL="0" distR="0" wp14:anchorId="7F1C32F5" wp14:editId="77DBD308">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341110AB" w14:textId="77777777" w:rsidR="00855EC5" w:rsidRDefault="00000000">
      <w:pPr>
        <w:pStyle w:val="ImageCaption"/>
      </w:pPr>
      <w:bookmarkStart w:id="5" w:name="fig:precipAndTempFigure"/>
      <w:bookmarkEnd w:id="5"/>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0DB94578" w14:textId="77777777" w:rsidR="00855EC5" w:rsidRDefault="00000000">
      <w:pPr>
        <w:pStyle w:val="Heading2"/>
      </w:pPr>
      <w:bookmarkStart w:id="6" w:name="land-and-water-uses"/>
      <w:bookmarkEnd w:id="4"/>
      <w:r>
        <w:rPr>
          <w:rStyle w:val="SectionNumber"/>
        </w:rPr>
        <w:t>2.2</w:t>
      </w:r>
      <w:r>
        <w:tab/>
        <w:t>Land and water uses</w:t>
      </w:r>
    </w:p>
    <w:p w14:paraId="17AABBCD" w14:textId="77777777" w:rsidR="00855EC5" w:rsidRDefault="00000000">
      <w:pPr>
        <w:pStyle w:val="FirstParagraph"/>
      </w:pPr>
      <w:r>
        <w:t>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 (Siskiyou County 2021).</w:t>
      </w:r>
    </w:p>
    <w:p w14:paraId="0BF36B96" w14:textId="77777777" w:rsidR="00855EC5"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1473113E" w14:textId="77777777" w:rsidR="00855EC5"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periodically curtailed to preserve flows for aquatic species (SWRCB 2021, 2024a, 2024b).</w:t>
      </w:r>
    </w:p>
    <w:p w14:paraId="1D693065" w14:textId="77777777" w:rsidR="00855EC5" w:rsidRDefault="00000000">
      <w:pPr>
        <w:pStyle w:val="TableCaption"/>
      </w:pPr>
      <w:bookmarkStart w:id="7" w:name="tab:scottLanduseTable"/>
      <w:bookmarkEnd w:id="7"/>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855EC5" w14:paraId="30B9FC44"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72675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F4180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9A13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855EC5" w14:paraId="79E3C124" w14:textId="77777777" w:rsidTr="00855EC5">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955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1263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4C0C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855EC5" w14:paraId="3AD27468"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58D2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A31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F98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855EC5" w14:paraId="5EF5575D"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8A00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136F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819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855EC5" w14:paraId="309C7BAF"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573C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6C5A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A3C6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855EC5" w14:paraId="7A6D40FF"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1C5D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0683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B7B1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855EC5" w14:paraId="2103F2DD"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3605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48EA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15F5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855EC5" w14:paraId="2EFB6144"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C2B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34D7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067D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855EC5" w14:paraId="534D731F" w14:textId="77777777" w:rsidTr="00855EC5">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F4B3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54AD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49CB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855EC5" w14:paraId="3CEB4D06" w14:textId="77777777" w:rsidTr="00855EC5">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6472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24634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0293C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29F6A6F6" w14:textId="77777777" w:rsidR="00855EC5" w:rsidRDefault="00000000">
      <w:pPr>
        <w:pStyle w:val="Heading3"/>
      </w:pPr>
      <w:bookmarkStart w:id="8" w:name="environmental-stream-flows"/>
      <w:r>
        <w:rPr>
          <w:rStyle w:val="SectionNumber"/>
        </w:rPr>
        <w:t>2.2.1</w:t>
      </w:r>
      <w:r>
        <w:tab/>
        <w:t>Environmental stream flows</w:t>
      </w:r>
    </w:p>
    <w:p w14:paraId="767005A7" w14:textId="77777777" w:rsidR="00855EC5"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(L. R. Brown, Moyle, and Yoshiyama 1994).</w:t>
      </w:r>
    </w:p>
    <w:p w14:paraId="4295D326" w14:textId="77777777" w:rsidR="00855EC5" w:rsidRDefault="00000000">
      <w:pPr>
        <w:pStyle w:val="BodyText"/>
      </w:pPr>
      <w:r>
        <w:t>To complete their life cycle, coho salmon require several key functional flows in the Scott Valley freshwater stream system (Kouba et al. 2025), including the following:</w:t>
      </w:r>
    </w:p>
    <w:p w14:paraId="08D23FD6" w14:textId="77777777" w:rsidR="00855EC5" w:rsidRDefault="00000000">
      <w:pPr>
        <w:pStyle w:val="Compact"/>
        <w:numPr>
          <w:ilvl w:val="0"/>
          <w:numId w:val="2"/>
        </w:numPr>
      </w:pPr>
      <w:r>
        <w:t>Fall flows, increasing after the dry season in response to early wet season storms, that are sufficient to provide coho spawners access to preferred spawning reaches within the fall-run time window;</w:t>
      </w:r>
    </w:p>
    <w:p w14:paraId="04E79EDB" w14:textId="77777777" w:rsidR="00855EC5" w:rsidRDefault="00000000">
      <w:pPr>
        <w:pStyle w:val="Compact"/>
        <w:numPr>
          <w:ilvl w:val="0"/>
          <w:numId w:val="2"/>
        </w:numPr>
      </w:pPr>
      <w:r>
        <w:t>Flows providing habitat for rearing juvenile salmon for their ~12-15 months of freshwater residence; and</w:t>
      </w:r>
    </w:p>
    <w:p w14:paraId="44C5EE2E" w14:textId="77777777" w:rsidR="00855EC5" w:rsidRDefault="00000000">
      <w:pPr>
        <w:pStyle w:val="Compact"/>
        <w:numPr>
          <w:ilvl w:val="0"/>
          <w:numId w:val="2"/>
        </w:numPr>
      </w:pPr>
      <w:r>
        <w:lastRenderedPageBreak/>
        <w:t>Sufficient flow in the spring for yearling smolts to migrate to the ocean.</w:t>
      </w:r>
    </w:p>
    <w:p w14:paraId="784F4482" w14:textId="77777777" w:rsidR="00855EC5" w:rsidRDefault="00000000">
      <w:pPr>
        <w:pStyle w:val="FirstParagraph"/>
      </w:pPr>
      <w:r>
        <w:t>While Chinook also require fall flows for spawning, their specific flow requirements are somewhat distinct from coho due to their different life histories:</w:t>
      </w:r>
    </w:p>
    <w:p w14:paraId="14041B5A" w14:textId="77777777" w:rsidR="00855EC5" w:rsidRDefault="00000000">
      <w:pPr>
        <w:pStyle w:val="Compact"/>
        <w:numPr>
          <w:ilvl w:val="0"/>
          <w:numId w:val="3"/>
        </w:numPr>
      </w:pPr>
      <w:r>
        <w:t>Chinook juveniles spend less than one year in the freshwater environment (Agrawal et al. 2005), while coho overwinter and typically migrate to the ocean at 1+ years old (Moyle 2002; McMahon 1983);</w:t>
      </w:r>
    </w:p>
    <w:p w14:paraId="7C9A035D" w14:textId="77777777" w:rsidR="00855EC5" w:rsidRDefault="00000000">
      <w:pPr>
        <w:pStyle w:val="Compact"/>
        <w:numPr>
          <w:ilvl w:val="0"/>
          <w:numId w:val="3"/>
        </w:numPr>
      </w:pPr>
      <w:r>
        <w:t>Chinook tend to spawn earlier in the fall than coho (Knechtle and Giudice 2020; Magranet 2015, 2017);</w:t>
      </w:r>
    </w:p>
    <w:p w14:paraId="3B80056A" w14:textId="77777777" w:rsidR="00855EC5" w:rsidRDefault="00000000">
      <w:pPr>
        <w:pStyle w:val="Compact"/>
        <w:numPr>
          <w:ilvl w:val="0"/>
          <w:numId w:val="3"/>
        </w:numPr>
      </w:pPr>
      <w:r>
        <w:t>Chinook prefer to spawn in the main stem of the Scott River, while coho prefer to spawn in tributaries (e.g., Magranet 2018; Magranet and Yokel 2017), making juvenile Chinook salmon more vulnerable than coho to egg burial or bed scour during high-flow storm conditions.</w:t>
      </w:r>
    </w:p>
    <w:p w14:paraId="395C8C73" w14:textId="77777777" w:rsidR="00855EC5" w:rsidRDefault="00000000">
      <w:pPr>
        <w:pStyle w:val="FirstParagraph"/>
      </w:pPr>
      <w:r>
        <w:t>Different functional flows are needed by other species, such as cottonwood trees, which require flood-stage flows to disperse their seeds (Mahoney and Rood 1998); but in this work we focus on coho and Chinook salmon as two examples in developing a single-species environmental objective function. Alternative objective function formulations are discussed in later sections.</w:t>
      </w:r>
    </w:p>
    <w:p w14:paraId="2E84E28F" w14:textId="77777777" w:rsidR="00855EC5" w:rsidRDefault="00000000">
      <w:pPr>
        <w:pStyle w:val="Heading3"/>
      </w:pPr>
      <w:bookmarkStart w:id="9" w:name="agricultural-water-demand"/>
      <w:bookmarkEnd w:id="8"/>
      <w:r>
        <w:rPr>
          <w:rStyle w:val="SectionNumber"/>
        </w:rPr>
        <w:t>2.2.2</w:t>
      </w:r>
      <w:r>
        <w:tab/>
        <w:t>Agricultural water demand</w:t>
      </w:r>
    </w:p>
    <w:p w14:paraId="3AF44611" w14:textId="77777777" w:rsidR="00855EC5" w:rsidRDefault="00000000">
      <w:pPr>
        <w:pStyle w:val="FirstParagraph"/>
      </w:pPr>
      <w:r>
        <w:t>Agricultural water demand in Scott Valley has been investigated (Snyder, Orang, and Matyac 2002) and simulated for a historical model period of Oct. 1, 1990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4830C3E8" w14:textId="77777777" w:rsidR="00855EC5" w:rsidRDefault="00000000">
      <w:pPr>
        <w:pStyle w:val="BodyText"/>
      </w:pPr>
      <w:r>
        <w:t>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11D86AEF" w14:textId="77777777" w:rsidR="00855EC5"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and public meeting deliberations in 2018-2021.</w:t>
      </w:r>
    </w:p>
    <w:p w14:paraId="368B0986" w14:textId="77777777" w:rsidR="00855EC5" w:rsidRDefault="00000000">
      <w:pPr>
        <w:pStyle w:val="CaptionedFigure"/>
      </w:pPr>
      <w:r>
        <w:rPr>
          <w:noProof/>
        </w:rPr>
        <w:lastRenderedPageBreak/>
        <w:drawing>
          <wp:inline distT="0" distB="0" distL="0" distR="0" wp14:anchorId="473BDC82" wp14:editId="5E8731C7">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0EF92416" w14:textId="77777777" w:rsidR="00855EC5" w:rsidRDefault="00000000">
      <w:pPr>
        <w:pStyle w:val="ImageCaption"/>
      </w:pPr>
      <w:bookmarkStart w:id="10" w:name="fig:avgWaterBudgetFig"/>
      <w:bookmarkEnd w:id="10"/>
      <w:r>
        <w:t>Figure 3:  Average monthly water budget for the soil zone, simulated with SVIHM, for the model simulation period (water years 1991-2018). Positive and negative values indicate average net monthly fluxes into and out of the soil zone, respectively.</w:t>
      </w:r>
    </w:p>
    <w:p w14:paraId="06EA21A2" w14:textId="77777777" w:rsidR="00855EC5" w:rsidRDefault="00000000">
      <w:pPr>
        <w:pStyle w:val="CaptionedFigure"/>
      </w:pPr>
      <w:r>
        <w:rPr>
          <w:noProof/>
        </w:rPr>
        <w:drawing>
          <wp:inline distT="0" distB="0" distL="0" distR="0" wp14:anchorId="038D953C" wp14:editId="69A2CE86">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5F18FBD2" w14:textId="77777777" w:rsidR="00855EC5" w:rsidRDefault="00000000">
      <w:pPr>
        <w:pStyle w:val="ImageCaption"/>
      </w:pPr>
      <w:bookmarkStart w:id="11" w:name="fig:annualSWBMBudget"/>
      <w:bookmarkEnd w:id="11"/>
      <w:r>
        <w:t>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p w14:paraId="5C819B6D" w14:textId="77777777" w:rsidR="00855EC5" w:rsidRDefault="00000000">
      <w:pPr>
        <w:pStyle w:val="Heading2"/>
      </w:pPr>
      <w:bookmarkStart w:id="12" w:name="gsp-development"/>
      <w:bookmarkEnd w:id="6"/>
      <w:bookmarkEnd w:id="9"/>
      <w:r>
        <w:rPr>
          <w:rStyle w:val="SectionNumber"/>
        </w:rPr>
        <w:lastRenderedPageBreak/>
        <w:t>2.3</w:t>
      </w:r>
      <w:r>
        <w:tab/>
        <w:t>GSP development</w:t>
      </w:r>
    </w:p>
    <w:p w14:paraId="73349344" w14:textId="77777777" w:rsidR="00855EC5" w:rsidRDefault="00000000">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 The plan was subsequently subject to statewide public review and regulatory review by the California State Department of Water Resources (CDWR). In their approval, CDWR suggested several necessary improvements to be addressed by 2027, including a clearer definition of what would constitute an undesirable result for groundwater-related stream depletion, while acknowledging that the science supporting these definitions was still developing (DWR 2023).</w:t>
      </w:r>
    </w:p>
    <w:p w14:paraId="43027C68" w14:textId="77777777" w:rsidR="00855EC5" w:rsidRDefault="00000000">
      <w:pPr>
        <w:pStyle w:val="BodyText"/>
      </w:pPr>
      <w:r>
        <w:t>SGMA requires each local GSA to define sustainability in the negative, by quantifying and then avoiding “undesirable results” that would be “significant and unreasonable”. The central undesirable result in Scott Valley is streamflow depletion due to groundwater pumping. Consequently, a central challenge of GSP development was balancing demands and determining the amount of (estimated) streamflow depletion that the GSA should aim to reverse, by accounting for environmental water demand versus the degree of water security that was owed to local agriculture.</w:t>
      </w:r>
    </w:p>
    <w:p w14:paraId="516B806A" w14:textId="77777777" w:rsidR="00855EC5" w:rsidRDefault="00000000">
      <w:pPr>
        <w:pStyle w:val="BodyText"/>
      </w:pPr>
      <w:r>
        <w:t>During GSP development, 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 (Tolley, Foglia, and Harter 2019), as described below in Section 3.3.</w:t>
      </w:r>
    </w:p>
    <w:p w14:paraId="242A4C29" w14:textId="77777777" w:rsidR="00855EC5" w:rsidRDefault="00000000">
      <w:pPr>
        <w:pStyle w:val="Heading1"/>
      </w:pPr>
      <w:bookmarkStart w:id="13" w:name="methods"/>
      <w:bookmarkEnd w:id="2"/>
      <w:bookmarkEnd w:id="12"/>
      <w:r>
        <w:rPr>
          <w:rStyle w:val="SectionNumber"/>
        </w:rPr>
        <w:t>3</w:t>
      </w:r>
      <w:r>
        <w:tab/>
        <w:t>Methods</w:t>
      </w:r>
    </w:p>
    <w:p w14:paraId="05B878B8" w14:textId="77777777" w:rsidR="00855EC5" w:rsidRDefault="00000000">
      <w:pPr>
        <w:pStyle w:val="FirstParagraph"/>
      </w:pPr>
      <w:r>
        <w:t>After 2021, we expanded on this public planning effort with a research study, based on the suite of management scenarios designed for the GSP, in the hopes that it could inform water management decisions during 5-year GSP updates over the coming decades.</w:t>
      </w:r>
    </w:p>
    <w:p w14:paraId="10FBEAB0" w14:textId="77777777" w:rsidR="00855EC5" w:rsidRDefault="00000000">
      <w:pPr>
        <w:pStyle w:val="BodyText"/>
      </w:pPr>
      <w:r>
        <w:t>In particular, we developed two quantitative objective functions and one categorical objective proxy to evaluate the management scenarios developed for the GSP. The three objectives were:</w:t>
      </w:r>
    </w:p>
    <w:p w14:paraId="2B670C20" w14:textId="77777777" w:rsidR="00855EC5" w:rsidRDefault="00000000">
      <w:pPr>
        <w:pStyle w:val="Compact"/>
        <w:numPr>
          <w:ilvl w:val="0"/>
          <w:numId w:val="4"/>
        </w:numPr>
      </w:pPr>
      <w:r>
        <w:t>maximize specific environmental flows,</w:t>
      </w:r>
    </w:p>
    <w:p w14:paraId="2B48E538" w14:textId="77777777" w:rsidR="00855EC5" w:rsidRDefault="00000000">
      <w:pPr>
        <w:pStyle w:val="Compact"/>
        <w:numPr>
          <w:ilvl w:val="0"/>
          <w:numId w:val="4"/>
        </w:numPr>
      </w:pPr>
      <w:r>
        <w:t>maintain current levels of agricultural productivity (represented as minimizing reduction in agricultural water use), and</w:t>
      </w:r>
    </w:p>
    <w:p w14:paraId="268E54A9" w14:textId="77777777" w:rsidR="00855EC5" w:rsidRDefault="00000000">
      <w:pPr>
        <w:pStyle w:val="Compact"/>
        <w:numPr>
          <w:ilvl w:val="0"/>
          <w:numId w:val="4"/>
        </w:numPr>
      </w:pPr>
      <w:r>
        <w:lastRenderedPageBreak/>
        <w:t>minimize new infrastructure costs (represented as a categorical infrastructure/feasibility proxy) (Table 2).</w:t>
      </w:r>
    </w:p>
    <w:p w14:paraId="3D529D87" w14:textId="77777777" w:rsidR="00855EC5" w:rsidRDefault="00000000">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25721E7C" w14:textId="77777777" w:rsidR="00855EC5" w:rsidRDefault="00000000">
      <w:pPr>
        <w:pStyle w:val="TableCaption"/>
      </w:pPr>
      <w:bookmarkStart w:id="14" w:name="tab:objFunctionTable"/>
      <w:bookmarkEnd w:id="14"/>
      <w:r>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855EC5" w14:paraId="0C68E2A4"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0837B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F2C7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855EC5" w14:paraId="034F948E" w14:textId="77777777" w:rsidTr="00855EC5">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5D2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1AE7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855EC5" w14:paraId="5BA996D5" w14:textId="77777777" w:rsidTr="00855EC5">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2C65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F6DF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855EC5" w14:paraId="675A1EFD" w14:textId="77777777" w:rsidTr="00855EC5">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C52E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451F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0763C613" w14:textId="77777777" w:rsidR="00855EC5" w:rsidRDefault="00000000">
      <w:pPr>
        <w:pStyle w:val="Heading2"/>
      </w:pPr>
      <w:bookmarkStart w:id="15" w:name="objective-functions"/>
      <w:r>
        <w:rPr>
          <w:rStyle w:val="SectionNumber"/>
        </w:rPr>
        <w:t>3.1</w:t>
      </w:r>
      <w:r>
        <w:tab/>
        <w:t>Objective functions</w:t>
      </w:r>
    </w:p>
    <w:p w14:paraId="19B28B8A" w14:textId="77777777" w:rsidR="00855EC5" w:rsidRDefault="00000000">
      <w:pPr>
        <w:pStyle w:val="Heading3"/>
      </w:pPr>
      <w:bookmarkStart w:id="16" w:name="hydrologic-benefit-function"/>
      <w:r>
        <w:rPr>
          <w:rStyle w:val="SectionNumber"/>
        </w:rPr>
        <w:t>3.1.1</w:t>
      </w:r>
      <w:r>
        <w:tab/>
        <w:t>Hydrologic Benefit function</w:t>
      </w:r>
    </w:p>
    <w:p w14:paraId="719FEF4B" w14:textId="77777777" w:rsidR="00855EC5" w:rsidRDefault="00000000">
      <w:pPr>
        <w:pStyle w:val="FirstParagraph"/>
      </w:pPr>
      <w:r>
        <w:t>Conceptually, the Hydrologic Benefit (HB) function aims to answer the question: to what degree does this water year provide enough flow, at the right time, for this species?</w:t>
      </w:r>
    </w:p>
    <w:p w14:paraId="1FABF900" w14:textId="77777777" w:rsidR="00855EC5" w:rsidRDefault="00000000">
      <w:pPr>
        <w:pStyle w:val="BodyText"/>
      </w:pPr>
      <w:r>
        <w:t>In a previous study, we empirically identified hydrograph features of high importance to Scott River coho and Chinook, based on correlations between hydrology and ecological observations such as outmigrating juvenile abundance (Kouba et al. 2025). The HB function is represented as a linear combination of these high-importance annual functional flow values.</w:t>
      </w:r>
    </w:p>
    <w:p w14:paraId="237C2615" w14:textId="77777777" w:rsidR="00855EC5" w:rsidRDefault="00000000">
      <w:pPr>
        <w:pStyle w:val="BodyText"/>
      </w:pPr>
      <w:r>
        <w:t xml:space="preserve">Functional flows are set of streamflow metrics related to the timing, amplitude, and duration of flow phenomena (Yarnell et al. 2015; Patterson et al. 2020; Carpenter 2024). In the HB function, these were weighted according to their power to predict coho and Chinook outcomes, such as smolt production or smolt production normalized per female spawner. The combination of these weighted metrics can be interpreted as a prediction of coho reproduction that is empirically </w:t>
      </w:r>
      <w:r>
        <w:rPr>
          <w:i/>
          <w:iCs/>
        </w:rPr>
        <w:t>associated with</w:t>
      </w:r>
      <w:r>
        <w:t xml:space="preserve"> and appears to be </w:t>
      </w:r>
      <w:r>
        <w:rPr>
          <w:i/>
          <w:iCs/>
        </w:rPr>
        <w:t>supported by</w:t>
      </w:r>
      <w:r>
        <w:t xml:space="preserve"> hydrologic factors. Importantly, the HB functions developed in this exercise explain only about </w:t>
      </w:r>
      <w:r>
        <w:rPr>
          <w:i/>
          <w:iCs/>
        </w:rPr>
        <w:t>40% to 60%</w:t>
      </w:r>
      <w:r>
        <w:t xml:space="preserve"> of variation in observed smolt abundance, and the remaining 60%-40% of variation is assumed related to other life conditions, e.g., number of returning spawners, water quality, food resources, and internal fishery population dynamics (Kouba et al. 2025).</w:t>
      </w:r>
    </w:p>
    <w:p w14:paraId="6CCDA621" w14:textId="77777777" w:rsidR="00855EC5" w:rsidRDefault="00000000">
      <w:pPr>
        <w:pStyle w:val="BodyText"/>
      </w:pPr>
      <w:r>
        <w:lastRenderedPageBreak/>
        <w:t>There are many different possible HB function formulations; one example HB function is included below and three additional formulations are explored in Supplemental Material. These four HB functions correspond to the best-fit statistical model for two species (coho and Chinook) as measured using two different units of annual salmon reproduction (outmigrating smolt abundance and normalized smolt-per-adult-spawner in the relevant brood year). See Supplemental Material for more HB function design information.</w:t>
      </w:r>
    </w:p>
    <w:p w14:paraId="286B2A2A" w14:textId="77777777" w:rsidR="00855EC5" w:rsidRDefault="00000000">
      <w:pPr>
        <w:pStyle w:val="BodyText"/>
      </w:pPr>
      <w:r>
        <w:t>The example HB function highlighted here is based on coho juvenile outmigrant abundance. It predicts that a higher number of coho smolt produced (coho smolt-equivalent) is related to higher fall flows during a cohort’s parents’ spawning, lower fall flows during a cohort’s time as overwintering yearlings, and a slower spring recession during outmigration (see coefficient values in Table 3).</w:t>
      </w:r>
    </w:p>
    <w:p w14:paraId="323D4F92" w14:textId="77777777" w:rsidR="00855EC5" w:rsidRDefault="00000000">
      <w:pPr>
        <w:pStyle w:val="TableCaption"/>
      </w:pPr>
      <w:bookmarkStart w:id="17" w:name="tab:coefTabMainText"/>
      <w:bookmarkEnd w:id="17"/>
      <w:r>
        <w:t>Table 3: Coefficients for the Hydrologic Benefit function, an emperical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855EC5" w14:paraId="7F4B3F1C"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2645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7112D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EC677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855EC5" w14:paraId="0911836E" w14:textId="77777777" w:rsidTr="00855EC5">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11C6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C097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3F6D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855EC5" w14:paraId="7187DD26" w14:textId="77777777" w:rsidTr="00855EC5">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BC70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F875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75A1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855EC5" w14:paraId="1A145BAF" w14:textId="77777777" w:rsidTr="00855EC5">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BEED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7A26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EF90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855EC5" w14:paraId="06C70563" w14:textId="77777777" w:rsidTr="00855EC5">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0E0FD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822E4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353F3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1C2669BA" w14:textId="77777777" w:rsidR="00855EC5" w:rsidRDefault="00000000">
      <w:pPr>
        <w:pStyle w:val="BodyText"/>
      </w:pPr>
      <w:r>
        <w:t>Functional flow metrics informing the HB function were calculated from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using signal processing algorithms developed by the California Environmental Flows Framework (Yarnell et al. 2015; Patterson et al. 2020; Carpenter 2024). One key model result of the historical basecase scenario in SVIHM is a </w:t>
      </w:r>
      <w:r>
        <w:rPr>
          <w:i/>
          <w:iCs/>
        </w:rPr>
        <w:t>simulated</w:t>
      </w:r>
      <w:r>
        <w:t xml:space="preserve">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To control for this,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making them directly comparable to HB values derived from the simulated FJ flow records in the hypothetical management scenarios. </w:t>
      </w:r>
    </w:p>
    <w:p w14:paraId="08B2D858" w14:textId="77777777" w:rsidR="00855EC5" w:rsidRDefault="00000000">
      <w:pPr>
        <w:pStyle w:val="Heading3"/>
      </w:pPr>
      <w:bookmarkStart w:id="18" w:name="Xb6ca5dd654202e76d1db9f1bc12c98cced9d6aa"/>
      <w:bookmarkEnd w:id="16"/>
      <w:r>
        <w:rPr>
          <w:rStyle w:val="SectionNumber"/>
        </w:rPr>
        <w:t>3.1.2</w:t>
      </w:r>
      <w:r>
        <w:tab/>
        <w:t>ET volume function (agricultural benefit proxy)</w:t>
      </w:r>
    </w:p>
    <w:p w14:paraId="50225E4B" w14:textId="77777777" w:rsidR="00855EC5" w:rsidRDefault="00000000">
      <w:pPr>
        <w:pStyle w:val="FirstParagraph"/>
      </w:pPr>
      <w:r>
        <w:t xml:space="preserve">The annual crop ET volume, which is explicitly simulated in the hydrologic model, is used here as a proxy for agricultural productivity. Other options for framing the agricultural water use objective function include crop yields and total revenue, which may be of greater </w:t>
      </w:r>
      <w:r>
        <w:lastRenderedPageBreak/>
        <w:t>concern to stakeholders; however, annual crop ET was selected because the impacts of reduced water availability on yield or revenue will likely vary by grower and over time.</w:t>
      </w:r>
    </w:p>
    <w:p w14:paraId="5188312C" w14:textId="77777777" w:rsidR="00855EC5" w:rsidRDefault="00000000">
      <w:pPr>
        <w:pStyle w:val="BodyText"/>
      </w:pPr>
      <w:r>
        <w:t>Additionally, for alfalfa and pasture, which continue growing as long as water is available, a strong relationship between crop ET and yield is assumed (Carter and Sheaffer 1983). However, we assume that grain, another important local crop, has a different relationship than alfalfa between ET and revenue, as grain is harvested once per year in mid-to-late summer and alfalfa is harvested three to four times per year in this region (Harter and Hines 2008). This makes interpretation of the agricultural objective functions more complicated for three crop change scenarios in which alfalfa is converted to grain; this is explored further in the Discussion section.</w:t>
      </w:r>
    </w:p>
    <w:p w14:paraId="70D33B39" w14:textId="77777777" w:rsidR="00855EC5" w:rsidRDefault="00000000">
      <w:pPr>
        <w:pStyle w:val="Heading3"/>
      </w:pPr>
      <w:bookmarkStart w:id="19" w:name="Xfd5664932b25b1108017cbc6e0e75c8014ecd36"/>
      <w:bookmarkEnd w:id="18"/>
      <w:r>
        <w:rPr>
          <w:rStyle w:val="SectionNumber"/>
        </w:rPr>
        <w:t>3.1.3</w:t>
      </w:r>
      <w:r>
        <w:tab/>
        <w:t>Proxy for scenario infrastructure investment</w:t>
      </w:r>
    </w:p>
    <w:p w14:paraId="7293FC87" w14:textId="77777777" w:rsidR="00855EC5"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324BCCF1" w14:textId="77777777" w:rsidR="00855EC5" w:rsidRDefault="00000000">
      <w:pPr>
        <w:pStyle w:val="Compact"/>
        <w:numPr>
          <w:ilvl w:val="0"/>
          <w:numId w:val="5"/>
        </w:numPr>
      </w:pPr>
      <w:r>
        <w:t>No feasibility barriers (basecase; maintain current practices)</w:t>
      </w:r>
    </w:p>
    <w:p w14:paraId="210203CF" w14:textId="77777777" w:rsidR="00855EC5" w:rsidRDefault="00000000">
      <w:pPr>
        <w:pStyle w:val="Compact"/>
        <w:numPr>
          <w:ilvl w:val="0"/>
          <w:numId w:val="5"/>
        </w:numPr>
      </w:pPr>
      <w:r>
        <w:t>Implementable with current infrastructure</w:t>
      </w:r>
    </w:p>
    <w:p w14:paraId="6558CFE6" w14:textId="77777777" w:rsidR="00855EC5" w:rsidRDefault="00000000">
      <w:pPr>
        <w:pStyle w:val="Compact"/>
        <w:numPr>
          <w:ilvl w:val="0"/>
          <w:numId w:val="5"/>
        </w:numPr>
      </w:pPr>
      <w:r>
        <w:t>Requires new infrastructure that would take 1-2 years to build</w:t>
      </w:r>
    </w:p>
    <w:p w14:paraId="1B2C9122" w14:textId="77777777" w:rsidR="00855EC5" w:rsidRDefault="00000000">
      <w:pPr>
        <w:pStyle w:val="Compact"/>
        <w:numPr>
          <w:ilvl w:val="0"/>
          <w:numId w:val="5"/>
        </w:numPr>
      </w:pPr>
      <w:r>
        <w:t>Requires new infrastructure that would take 3-5 years to build</w:t>
      </w:r>
    </w:p>
    <w:p w14:paraId="17C89261" w14:textId="77777777" w:rsidR="00855EC5" w:rsidRDefault="00000000">
      <w:pPr>
        <w:pStyle w:val="Compact"/>
        <w:numPr>
          <w:ilvl w:val="0"/>
          <w:numId w:val="5"/>
        </w:numPr>
      </w:pPr>
      <w:r>
        <w:t>Requires new infrastructure that would take 5+ years to build</w:t>
      </w:r>
    </w:p>
    <w:p w14:paraId="04A46297" w14:textId="77777777" w:rsidR="00855EC5" w:rsidRDefault="00000000">
      <w:pPr>
        <w:pStyle w:val="FirstParagraph"/>
      </w:pPr>
      <w:r>
        <w:t>This reflects the first-order understanding that, for example, building a reservoir (assigned to category 4) will take more effort and resources in terms of permitting and construction than widespread installation of higher-efficiency irrigation technology (assigned to category 2). See Table 6 for full list of assigned categories.</w:t>
      </w:r>
    </w:p>
    <w:p w14:paraId="3166FC0B" w14:textId="77777777" w:rsidR="00855EC5" w:rsidRDefault="00000000">
      <w:pPr>
        <w:pStyle w:val="Heading2"/>
      </w:pPr>
      <w:bookmarkStart w:id="20" w:name="analyses-of-objective-function-values"/>
      <w:bookmarkEnd w:id="15"/>
      <w:bookmarkEnd w:id="19"/>
      <w:r>
        <w:rPr>
          <w:rStyle w:val="SectionNumber"/>
        </w:rPr>
        <w:t>3.2</w:t>
      </w:r>
      <w:r>
        <w:tab/>
        <w:t>Analyses of objective function values</w:t>
      </w:r>
    </w:p>
    <w:p w14:paraId="56E00CE2" w14:textId="77777777" w:rsidR="00855EC5" w:rsidRDefault="00000000">
      <w:pPr>
        <w:pStyle w:val="Heading3"/>
      </w:pPr>
      <w:bookmarkStart w:id="21" w:name="trade-off-efficiency"/>
      <w:r>
        <w:rPr>
          <w:rStyle w:val="SectionNumber"/>
        </w:rPr>
        <w:t>3.2.1</w:t>
      </w:r>
      <w:r>
        <w:tab/>
        <w:t>Trade-off efficiency</w:t>
      </w:r>
    </w:p>
    <w:p w14:paraId="6C5B209A" w14:textId="77777777" w:rsidR="00855EC5" w:rsidRDefault="00000000">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oMath>
      <w:r>
        <w:t>, is unitless (i.e., it has units of smolt-equiv. per smolt-equiv. / million m</w:t>
      </w:r>
      <w:r>
        <w:rPr>
          <w:vertAlign w:val="superscript"/>
        </w:rPr>
        <w:t>3</w:t>
      </w:r>
      <w:r>
        <w:t xml:space="preserve"> per million m</w:t>
      </w:r>
      <w:r>
        <w:rPr>
          <w:vertAlign w:val="superscript"/>
        </w:rPr>
        <w:t>3</w:t>
      </w:r>
      <w:r>
        <w:t>) (see equations below).</w:t>
      </w:r>
    </w:p>
    <w:p w14:paraId="7EFEA05D" w14:textId="77777777" w:rsidR="00855EC5" w:rsidRDefault="00000000">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095B09B2" w14:textId="77777777" w:rsidR="00855EC5"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048FB986" w14:textId="77777777" w:rsidR="00855EC5" w:rsidRDefault="00000000">
      <w:pPr>
        <w:pStyle w:val="FirstParagraph"/>
      </w:pPr>
      <m:oMathPara>
        <m:oMathParaPr>
          <m:jc m:val="center"/>
        </m:oMathParaPr>
        <m:oMath>
          <m:r>
            <w:rPr>
              <w:rFonts w:ascii="Cambria Math" w:hAnsi="Cambria Math"/>
            </w:rPr>
            <w:lastRenderedPageBreak/>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18CD0493" w14:textId="77777777" w:rsidR="00855EC5" w:rsidRDefault="00000000">
      <w:pPr>
        <w:pStyle w:val="Heading3"/>
      </w:pPr>
      <w:bookmarkStart w:id="22" w:name="pareto-optimal-set-of-management-actions"/>
      <w:bookmarkEnd w:id="21"/>
      <w:r>
        <w:rPr>
          <w:rStyle w:val="SectionNumber"/>
        </w:rPr>
        <w:t>3.2.2</w:t>
      </w:r>
      <w:r>
        <w:tab/>
        <w:t>Pareto-optimal set of management actions</w:t>
      </w:r>
    </w:p>
    <w:p w14:paraId="0C354C67" w14:textId="77777777" w:rsidR="00855EC5" w:rsidRDefault="00000000">
      <w:pPr>
        <w:pStyle w:val="FirstParagraph"/>
      </w:pPr>
      <w:r>
        <w:t>After calculating the objective function values for each scenario, we applied a simple algorithm to identify the Pareto-optimal set of scenarios (Pareto 1896).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evaluate trade-offs between objectives; we use it here to identify quantitatively suboptimal scenarios.</w:t>
      </w:r>
    </w:p>
    <w:p w14:paraId="73C0CC74" w14:textId="77777777" w:rsidR="00855EC5" w:rsidRDefault="00000000">
      <w:pPr>
        <w:pStyle w:val="Heading2"/>
      </w:pPr>
      <w:bookmarkStart w:id="23" w:name="hydrologic-model-summary"/>
      <w:bookmarkEnd w:id="20"/>
      <w:bookmarkEnd w:id="22"/>
      <w:r>
        <w:rPr>
          <w:rStyle w:val="SectionNumber"/>
        </w:rPr>
        <w:t>3.3</w:t>
      </w:r>
      <w:r>
        <w:tab/>
        <w:t>Hydrologic model summary</w:t>
      </w:r>
    </w:p>
    <w:p w14:paraId="46707175" w14:textId="77777777" w:rsidR="00855EC5" w:rsidRDefault="00000000">
      <w:pPr>
        <w:pStyle w:val="FirstParagraph"/>
      </w:pPr>
      <w:r>
        <w:t>The Scott Valley Integrated Hydrologic Model (SVIHM) (2019) is a surface and groundwater model driven by tributary stream inflows, precipitation, and reference evapotranspiration (ET</w:t>
      </w:r>
      <w:r>
        <w:rPr>
          <w:vertAlign w:val="subscript"/>
        </w:rPr>
        <w:t>0</w:t>
      </w:r>
      <w:r>
        <w:t>). Like all models, it does not perfectly reproduce historical observations, but it successfully captures key watershed-scale hydrologic phenomena that can be used to evaluate potential outcomes of specific management actions.</w:t>
      </w:r>
    </w:p>
    <w:p w14:paraId="62BD5DF5" w14:textId="77777777" w:rsidR="00855EC5" w:rsidRDefault="00000000">
      <w:pPr>
        <w:pStyle w:val="BodyText"/>
      </w:pPr>
      <w:r>
        <w:t>The SVIHM is composed of three cascading sub-models. First, complete daily records of tributary stream inflow are generated using a statistical streamflow regression model, in which the continuous Fort Jones record was used to predict missing values in the daily flow records of 12 major tributaries (Foglia et al. 2013).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w:t>
      </w:r>
    </w:p>
    <w:p w14:paraId="15CA72A6" w14:textId="77777777" w:rsidR="00855EC5" w:rsidRDefault="00000000">
      <w:pPr>
        <w:pStyle w:val="BodyText"/>
      </w:pPr>
      <w:r>
        <w:t>For GSP development, SVIHM was used extensively to perform what-if scenarios using the historic climate and land use, covering 1991-2018. (For purposes of this study, the model period has been extended through Sept. 30, 2025.) Scenario simulations repeat the calibrated historical basecase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14:paraId="129CFA56" w14:textId="77777777" w:rsidR="00855EC5" w:rsidRDefault="00000000">
      <w:pPr>
        <w:pStyle w:val="Compact"/>
        <w:numPr>
          <w:ilvl w:val="0"/>
          <w:numId w:val="6"/>
        </w:numPr>
      </w:pPr>
      <w:r>
        <w:t>A prediction of Scott River daily average flow at the Fort Jones Gauge, which is co-located with the surface water outlet of the model domain; and</w:t>
      </w:r>
    </w:p>
    <w:p w14:paraId="2B3C7947" w14:textId="77777777" w:rsidR="00855EC5" w:rsidRDefault="00000000">
      <w:pPr>
        <w:pStyle w:val="Compact"/>
        <w:numPr>
          <w:ilvl w:val="0"/>
          <w:numId w:val="6"/>
        </w:numPr>
      </w:pPr>
      <w:r>
        <w:lastRenderedPageBreak/>
        <w:t>Simulated total ET of cultivated crops within the model domain. (Native vegetation ET is also simulated but not included in objective functions.)</w:t>
      </w:r>
    </w:p>
    <w:p w14:paraId="4A056FEF" w14:textId="77777777" w:rsidR="00855EC5" w:rsidRDefault="00000000">
      <w:pPr>
        <w:pStyle w:val="Heading2"/>
      </w:pPr>
      <w:bookmarkStart w:id="24" w:name="management-scenario-descriptions"/>
      <w:bookmarkEnd w:id="23"/>
      <w:r>
        <w:rPr>
          <w:rStyle w:val="SectionNumber"/>
        </w:rPr>
        <w:t>3.4</w:t>
      </w:r>
      <w:r>
        <w:tab/>
        <w:t>Management scenario descriptions</w:t>
      </w:r>
    </w:p>
    <w:p w14:paraId="4DA4072E" w14:textId="77777777" w:rsidR="00855EC5" w:rsidRDefault="00000000">
      <w:pPr>
        <w:pStyle w:val="FirstParagraph"/>
      </w:pPr>
      <w:r>
        <w:t>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2013; Tolley, Foglia, and Harter 2019), and cost-effective technical support was provided by graduate students and researchers at the University of California, Davis.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due to redundancy.</w:t>
      </w:r>
    </w:p>
    <w:p w14:paraId="28B44402" w14:textId="77777777" w:rsidR="00855EC5" w:rsidRDefault="00000000">
      <w:pPr>
        <w:pStyle w:val="BodyText"/>
      </w:pPr>
      <w:r>
        <w:t>The scenarios are grouped here by category (Table 4). Within each category various details were altered (e.g., an alfalfa irrigation cessation date of July 10 versus August 15). Additional scenario descriptions are included below in Results and in Supplement A.</w:t>
      </w:r>
    </w:p>
    <w:p w14:paraId="26A1C177" w14:textId="77777777" w:rsidR="00855EC5" w:rsidRDefault="00000000">
      <w:pPr>
        <w:pStyle w:val="TableCaption"/>
      </w:pPr>
      <w:bookmarkStart w:id="25" w:name="tab:scenCategoryTab"/>
      <w:bookmarkEnd w:id="25"/>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855EC5" w14:paraId="7C64BCA9"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7C9A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50A45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DD48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E417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23B9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855EC5" w14:paraId="23F2352C" w14:textId="77777777" w:rsidTr="00855EC5">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6911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7DB6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972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A842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C443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855EC5" w14:paraId="5C1BE8EB"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E932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F310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8C3C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0BF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354E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55EC5" w14:paraId="15AE07A5"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6D8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D3B3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68EA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B109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8DAC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55EC5" w14:paraId="3141720B"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8087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916D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F1C7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4B9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D340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55EC5" w14:paraId="540875C9"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0DBC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B20B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3607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816A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A270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55EC5" w14:paraId="4F4709A9"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B80F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FD24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3F23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402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A3B7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55EC5" w14:paraId="5BA19E36"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A674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98C5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A25F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992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6E1C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55EC5" w14:paraId="67EF29B3"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F598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B718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02DA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51E9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2568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55EC5" w14:paraId="063EBB26" w14:textId="77777777" w:rsidTr="00855EC5">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FA6F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65ED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19F5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ADE1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7F50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855EC5" w14:paraId="002E95FC" w14:textId="77777777" w:rsidTr="00855EC5">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E527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NatVegL</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F22E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BF40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4D9C2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BE4A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163C9F72" w14:textId="77777777" w:rsidR="00855EC5" w:rsidRDefault="00000000">
      <w:pPr>
        <w:pStyle w:val="Heading1"/>
      </w:pPr>
      <w:bookmarkStart w:id="26" w:name="results"/>
      <w:bookmarkEnd w:id="13"/>
      <w:bookmarkEnd w:id="24"/>
      <w:r>
        <w:rPr>
          <w:rStyle w:val="SectionNumber"/>
        </w:rPr>
        <w:t>4</w:t>
      </w:r>
      <w:r>
        <w:tab/>
        <w:t>Results</w:t>
      </w:r>
    </w:p>
    <w:p w14:paraId="2EBD9A0C" w14:textId="77777777" w:rsidR="00855EC5" w:rsidRDefault="00000000">
      <w:pPr>
        <w:pStyle w:val="FirstParagraph"/>
      </w:pPr>
      <w:r>
        <w:t>As described above, the degree to which the basecase and 24 scenarios achieved local management goals was summarized using two objective functions. A summary value for the agricultural objective (total crop ET volume) and for the environmental objective (a Hydrologic Benefit [HB] value in units of predicted smolt abundance for coho) were calculated for each water year/brood year in the 35-year simulation period, for each scenario (Table 6). (See Supplemental Material for HB function results in different units; Table 5.) In addition to the two objective functions, each scenario has been assigned an infrastructure feasibility category (Tables 4 and 6).</w:t>
      </w:r>
    </w:p>
    <w:p w14:paraId="3ACB8C6F" w14:textId="77777777" w:rsidR="00855EC5" w:rsidRDefault="00000000">
      <w:pPr>
        <w:pStyle w:val="TableCaption"/>
      </w:pPr>
      <w:bookmarkStart w:id="27" w:name="tab:HBUnitsLocationTab"/>
      <w:bookmarkEnd w:id="27"/>
      <w:r>
        <w:t>Table 5: Units of Hydrologic Benefit (HB) function and location in document.</w:t>
      </w:r>
    </w:p>
    <w:tbl>
      <w:tblPr>
        <w:tblStyle w:val="Table"/>
        <w:tblW w:w="0" w:type="auto"/>
        <w:jc w:val="center"/>
        <w:tblLayout w:type="fixed"/>
        <w:tblLook w:val="0420" w:firstRow="1" w:lastRow="0" w:firstColumn="0" w:lastColumn="0" w:noHBand="0" w:noVBand="1"/>
      </w:tblPr>
      <w:tblGrid>
        <w:gridCol w:w="1728"/>
        <w:gridCol w:w="3600"/>
        <w:gridCol w:w="2880"/>
      </w:tblGrid>
      <w:tr w:rsidR="00855EC5" w14:paraId="62040067"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7628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units</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AC3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4ADCC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w:t>
            </w:r>
          </w:p>
        </w:tc>
      </w:tr>
      <w:tr w:rsidR="00855EC5" w14:paraId="5642963D" w14:textId="77777777" w:rsidTr="00855EC5">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047E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 abundance</w:t>
            </w:r>
          </w:p>
        </w:tc>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37CF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Highlighted in text and Supp. B</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E59A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D</w:t>
            </w:r>
          </w:p>
        </w:tc>
      </w:tr>
      <w:tr w:rsidR="00855EC5" w14:paraId="3E476534" w14:textId="77777777" w:rsidTr="00855EC5">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A86F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juveniles per adult</w:t>
            </w:r>
          </w:p>
        </w:tc>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78AC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C</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44CE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E</w:t>
            </w:r>
          </w:p>
        </w:tc>
      </w:tr>
    </w:tbl>
    <w:p w14:paraId="54025E92" w14:textId="77777777" w:rsidR="00855EC5" w:rsidRDefault="00000000">
      <w:pPr>
        <w:pStyle w:val="BodyText"/>
      </w:pPr>
      <w:r>
        <w:t>In the basecase scenario, the 35-year mean annual ET volume is 118 million m</w:t>
      </w:r>
      <w:r>
        <w:rPr>
          <w:vertAlign w:val="superscript"/>
        </w:rPr>
        <w:t>3</w:t>
      </w:r>
      <w:r>
        <w:t xml:space="preserve"> of water, and the 35-year mean of annual HB values is 7812 coho smolt-equivalent (Table 6). Annual ET volume is relatively stable over the model period of water years 1991-2025, while about annual HB values are more variable, with about 10% being high outliers (Figure 5). Among the 24 management scenarios, mean ET values ranged from 0 (i.e., no irrigated agriculture) to 118 million m</w:t>
      </w:r>
      <w:r>
        <w:rPr>
          <w:vertAlign w:val="superscript"/>
        </w:rPr>
        <w:t>3</w:t>
      </w:r>
      <w:r>
        <w:t xml:space="preserve"> of water (i.e., no reduction from basecase crop ET), while HB values ranged from 7696 to 8446 coho smolt-equivalent.</w:t>
      </w:r>
    </w:p>
    <w:p w14:paraId="79F2E957" w14:textId="77777777" w:rsidR="00855EC5" w:rsidRDefault="00000000">
      <w:pPr>
        <w:pStyle w:val="Heading2"/>
      </w:pPr>
      <w:bookmarkStart w:id="28" w:name="X7284884376ee93470eb63c20106f06dfdc86233"/>
      <w:r>
        <w:rPr>
          <w:rStyle w:val="SectionNumber"/>
        </w:rPr>
        <w:t>4.1</w:t>
      </w:r>
      <w:r>
        <w:tab/>
        <w:t>Hydrologic Benefit function basis: selected functional flows</w:t>
      </w:r>
    </w:p>
    <w:p w14:paraId="76EEBACB" w14:textId="77777777" w:rsidR="00855EC5" w:rsidRDefault="00000000">
      <w:pPr>
        <w:pStyle w:val="FirstParagraph"/>
      </w:pPr>
      <w:r>
        <w:t xml:space="preserve">As stated above, the environmental objective (HB function) results can be interpreted as a prediction of the 40% to 60% of variation in coho smolt production that is empirically </w:t>
      </w:r>
      <w:r>
        <w:rPr>
          <w:i/>
          <w:iCs/>
        </w:rPr>
        <w:t>associated with</w:t>
      </w:r>
      <w:r>
        <w:t xml:space="preserve"> and appears to be </w:t>
      </w:r>
      <w:r>
        <w:rPr>
          <w:i/>
          <w:iCs/>
        </w:rPr>
        <w:t>supported by</w:t>
      </w:r>
      <w:r>
        <w:t xml:space="preserve"> hydrologic factors; correspondingly, it is assumed that the remaining variation in observed smolt abundance is due to non-hydrologic factors like food availability or population dynamics (Kouba et al. 2025).</w:t>
      </w:r>
    </w:p>
    <w:p w14:paraId="3F80F841" w14:textId="77777777" w:rsidR="00855EC5" w:rsidRDefault="00000000">
      <w:pPr>
        <w:pStyle w:val="BodyText"/>
      </w:pPr>
      <w:r>
        <w:t xml:space="preserve">Because functional flow values were standardized (Z-score transformed) before the statistical modeling exercise, absolute values of HB function coefficients for flow metrics </w:t>
      </w:r>
      <w:r>
        <w:lastRenderedPageBreak/>
        <w:t>can be interpreted as relative degree of influence on the relevant ecological outcome (Table 3; see Supplement B for tabulated, untransformed functional flow values).</w:t>
      </w:r>
    </w:p>
    <w:p w14:paraId="51C0AEDA" w14:textId="77777777" w:rsidR="00855EC5" w:rsidRDefault="00000000">
      <w:pPr>
        <w:pStyle w:val="BodyText"/>
      </w:pPr>
      <w:r>
        <w:t>The HB formulations represent four ways of answering the question, “to what degree was this species’ hydrologic needs met by this water year, and which flows matter?” For coho, in both absolute and spawner-normalized smolt units, the high-importance flows were fall-to-wet season transition metrics; for units of absolute smolt abundance, the spring recession rate was also important (Supplements B and C , Table 1). For Chinook, in both absolute and spawner-normalized smolt units, the wet season baseflow median magnitude was of greatest importance; for normalized smolt units, maximum spring recession rate was also selected (Supplements D and E, Table 1). Effectively, in the context of LASSO regression, the flows that explain the most variation in smolt production (with minimal overfitting, as determined by k-fold validation) were related to, for coho, the timing of wet season onset and the magnitude of changes in fall flows; and for Chinook, the wet season baseflow.</w:t>
      </w:r>
    </w:p>
    <w:p w14:paraId="6800C7D8" w14:textId="77777777" w:rsidR="00855EC5" w:rsidRDefault="00000000">
      <w:pPr>
        <w:pStyle w:val="Heading2"/>
      </w:pPr>
      <w:bookmarkStart w:id="29" w:name="objective-function-results-over-time"/>
      <w:bookmarkEnd w:id="28"/>
      <w:r>
        <w:rPr>
          <w:rStyle w:val="SectionNumber"/>
        </w:rPr>
        <w:t>4.2</w:t>
      </w:r>
      <w:r>
        <w:tab/>
        <w:t>Objective function results over time</w:t>
      </w:r>
    </w:p>
    <w:p w14:paraId="00FFA3D5" w14:textId="77777777" w:rsidR="00855EC5" w:rsidRDefault="00000000">
      <w:pPr>
        <w:pStyle w:val="FirstParagraph"/>
      </w:pPr>
      <w:r>
        <w:t>Management scenarios tended to have a uniform effect on total ET over time, shifting it by about the same amount each year relative to basecase (Figure 5). Conversely, in some years, many scenarios seem to have very little effect on HB function, though this is variable over time, regardless of which HB units are used (Figure 5 and Supplements B-E, Figure 1).</w:t>
      </w:r>
    </w:p>
    <w:p w14:paraId="6A3CC73E" w14:textId="77777777" w:rsidR="00855EC5" w:rsidRDefault="00000000">
      <w:pPr>
        <w:pStyle w:val="CaptionedFigure"/>
      </w:pPr>
      <w:r>
        <w:rPr>
          <w:noProof/>
        </w:rPr>
        <w:lastRenderedPageBreak/>
        <w:drawing>
          <wp:inline distT="0" distB="0" distL="0" distR="0" wp14:anchorId="25D9DF92" wp14:editId="3262A54E">
            <wp:extent cx="5334000" cy="5000625"/>
            <wp:effectExtent l="0" t="0" r="0" b="0"/>
            <wp:docPr id="61" name="Picture" descr="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
            <wp:cNvGraphicFramePr/>
            <a:graphic xmlns:a="http://schemas.openxmlformats.org/drawingml/2006/main">
              <a:graphicData uri="http://schemas.openxmlformats.org/drawingml/2006/picture">
                <pic:pic xmlns:pic="http://schemas.openxmlformats.org/drawingml/2006/picture">
                  <pic:nvPicPr>
                    <pic:cNvPr id="62" name="Picture" descr="Graphics%20and%20Supplements/Figure%204.png"/>
                    <pic:cNvPicPr>
                      <a:picLocks noChangeAspect="1" noChangeArrowheads="1"/>
                    </pic:cNvPicPr>
                  </pic:nvPicPr>
                  <pic:blipFill>
                    <a:blip r:embed="rId9"/>
                    <a:stretch>
                      <a:fillRect/>
                    </a:stretch>
                  </pic:blipFill>
                  <pic:spPr bwMode="auto">
                    <a:xfrm>
                      <a:off x="0" y="0"/>
                      <a:ext cx="5334000" cy="5000625"/>
                    </a:xfrm>
                    <a:prstGeom prst="rect">
                      <a:avLst/>
                    </a:prstGeom>
                    <a:noFill/>
                    <a:ln w="9525">
                      <a:noFill/>
                      <a:headEnd/>
                      <a:tailEnd/>
                    </a:ln>
                  </pic:spPr>
                </pic:pic>
              </a:graphicData>
            </a:graphic>
          </wp:inline>
        </w:drawing>
      </w:r>
    </w:p>
    <w:p w14:paraId="38B47D73" w14:textId="77777777" w:rsidR="00855EC5" w:rsidRDefault="00000000">
      <w:pPr>
        <w:pStyle w:val="ImageCaption"/>
      </w:pPr>
      <w:bookmarkStart w:id="30" w:name="fig:benefitByWYMainText"/>
      <w:bookmarkEnd w:id="30"/>
      <w:r>
        <w:t>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w:t>
      </w:r>
    </w:p>
    <w:p w14:paraId="7F3D879B" w14:textId="77777777" w:rsidR="00855EC5" w:rsidRDefault="00000000">
      <w:pPr>
        <w:pStyle w:val="BodyText"/>
      </w:pPr>
      <w:r>
        <w:t>The small effect of some scenarios on HB values implies that these scenarios do not alter the HB function component flows relative to basecase (Supplements B-E, Figure 2). For coho juvenile abundance, in the basecase scenario, it seems that when the HB function predicts a particularly good year for smolt production (i.e., &gt; 20,000 coho smolt-equiv.), it is driven by a large magnitude fall flow difference, or fall pulse. Conversely, in the years where the HB function predicts a particularly bad year (i.e., ’95, ’98, ’04), it is driven by a rapid first spring recession rate (Supplement B, Figure 2). Conversely, for coho juveniles per spawner (basecase), both good and bad years seem to be largely driven by wet season onset timing (Supplement C, Figure 2).</w:t>
      </w:r>
    </w:p>
    <w:p w14:paraId="7688358C" w14:textId="77777777" w:rsidR="00855EC5" w:rsidRDefault="00000000">
      <w:pPr>
        <w:pStyle w:val="BodyText"/>
      </w:pPr>
      <w:r>
        <w:lastRenderedPageBreak/>
        <w:t>In both cases for coho, second fall flow difference makes minor contributions (Supplements B and C , Figure 2), and is assigned a negative coefficient (Table 3). This suggests higher flows in the second fall (for juvenile overwintering coho) are consistently associated with lower smolt production, but other factors such as first fall flow difference and wet season timing seem to exert greater overall influence.</w:t>
      </w:r>
    </w:p>
    <w:p w14:paraId="627B3FF5" w14:textId="77777777" w:rsidR="00855EC5" w:rsidRDefault="00000000">
      <w:pPr>
        <w:pStyle w:val="BodyText"/>
      </w:pPr>
      <w:r>
        <w:t>For Chinook, predictions of both high and low smolt production are driven by wet season baseflow magnitude (with a small contribution from maximum spring recession rate for juveniles per adult): high wet season flows are associated with lower smolt abundance (Supplements D and E, Figure 2).</w:t>
      </w:r>
    </w:p>
    <w:p w14:paraId="2D517CD6" w14:textId="77777777" w:rsidR="00855EC5" w:rsidRDefault="00000000">
      <w:pPr>
        <w:pStyle w:val="Heading2"/>
      </w:pPr>
      <w:bookmarkStart w:id="31" w:name="X6ea044f980d869f5a7cc19c230170d0b17278b6"/>
      <w:bookmarkEnd w:id="29"/>
      <w:r>
        <w:rPr>
          <w:rStyle w:val="SectionNumber"/>
        </w:rPr>
        <w:t>4.3</w:t>
      </w:r>
      <w:r>
        <w:tab/>
        <w:t>Scenario descriptions and environmental-agricultural tradeoffs</w:t>
      </w:r>
    </w:p>
    <w:p w14:paraId="2A2EE7A0" w14:textId="77777777" w:rsidR="00855EC5" w:rsidRDefault="00000000">
      <w:pPr>
        <w:pStyle w:val="FirstParagraph"/>
      </w:pPr>
      <w:r>
        <w:t>The 35-year mean values of HB and ET can be used to map all scenarios on one two-dimensional landscape, which facilitates the evaluation of trade-offs between objectives (Figure 6).</w:t>
      </w:r>
    </w:p>
    <w:p w14:paraId="64789C58" w14:textId="77777777" w:rsidR="00855EC5" w:rsidRDefault="00000000">
      <w:pPr>
        <w:pStyle w:val="CaptionedFigure"/>
      </w:pPr>
      <w:r>
        <w:rPr>
          <w:noProof/>
        </w:rPr>
        <w:lastRenderedPageBreak/>
        <w:drawing>
          <wp:inline distT="0" distB="0" distL="0" distR="0" wp14:anchorId="0D6C5CD5" wp14:editId="11321366">
            <wp:extent cx="5334000" cy="5334000"/>
            <wp:effectExtent l="0" t="0" r="0" b="0"/>
            <wp:docPr id="66" name="Picture" descr="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67" name="Picture" descr="Graphics%20and%20Supplements/Figure%20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0212D728" w14:textId="77777777" w:rsidR="00855EC5" w:rsidRDefault="00000000">
      <w:pPr>
        <w:pStyle w:val="ImageCaption"/>
      </w:pPr>
      <w:bookmarkStart w:id="32" w:name="fig:farmerFishTradeoffFigureMainText"/>
      <w:bookmarkEnd w:id="32"/>
      <w:r>
        <w:t>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27D4BE53" w14:textId="77777777" w:rsidR="00855EC5" w:rsidRDefault="00000000">
      <w:r>
        <w:br w:type="page"/>
      </w:r>
    </w:p>
    <w:p w14:paraId="279630C0" w14:textId="77777777" w:rsidR="00855EC5" w:rsidRDefault="00000000">
      <w:pPr>
        <w:pStyle w:val="TableCaption"/>
      </w:pPr>
      <w:bookmarkStart w:id="33" w:name="tab:scenarioResultsTabMainText"/>
      <w:bookmarkEnd w:id="33"/>
      <w:r>
        <w:lastRenderedPageBreak/>
        <w:t>Table 6: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855EC5" w14:paraId="1A1B1F9B"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901E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9DD3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7937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802C9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B953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D747B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E6822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855EC5" w14:paraId="157FF914" w14:textId="77777777" w:rsidTr="00855EC5">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83B3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3EEB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9BE7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DC3B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9F2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90F1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4716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2B644A9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33A9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CD51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8438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656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33C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5245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F70B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855EC5" w14:paraId="307DB88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F47F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8D44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38F5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D7C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B3CA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3240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99A9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3F16FEF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DDD8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94C6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3FD2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2B74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ED66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4B1B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2BA6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855EC5" w14:paraId="3F83B37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FAD2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3B60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BB96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4BCD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CAFA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BCB7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BC2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855EC5" w14:paraId="1A000AD8"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8451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E5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D07E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682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D88F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B9CC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9871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855EC5" w14:paraId="7674D69F"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CCE9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F6E8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0C0F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7578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514A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54EB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A720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578357A5"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836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DB9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423F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48FD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F5ED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EE6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475A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55EC5" w14:paraId="4CF964A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6411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AEC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5A97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2204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C2D0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8A0C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D3C2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55EC5" w14:paraId="4890FAC1"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8501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276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5D1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A1C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C7E3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3160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071F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855EC5" w14:paraId="68A96139"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098C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1DBE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8C5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D257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33D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9021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1384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855EC5" w14:paraId="58BA0AD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A89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7D6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A18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E366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99AD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5A4A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D12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855EC5" w14:paraId="50D32BC2"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E474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2181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3BA6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3895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7B83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34DB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8DAE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21CEA2AB"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288C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5B87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3AC3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1954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9084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F882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EDE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0B44081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3353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E4B1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27FD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9C4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E74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6301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05BF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855EC5" w14:paraId="74F22ECF"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8190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4E8E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6B03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31BD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F529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EB4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2ECC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55EC5" w14:paraId="01A6FEA0"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AB4F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CFB4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090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D51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1B54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374C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3BAE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855EC5" w14:paraId="3E78CB7C"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3028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32E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0DEA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31E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9C3E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9CA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0B3A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855EC5" w14:paraId="5DE454CB"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3284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C98D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0254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3F9D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4015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48A2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5A7D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55EC5" w14:paraId="300C0DA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5D55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69CD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C827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68B5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511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CC52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5702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855EC5" w14:paraId="409D575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40A0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1398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9F15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BD6D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DE03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F0C8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03E2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55EC5" w14:paraId="7EF42814"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005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5E6B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D87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A5E7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5EFA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7313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794C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855EC5" w14:paraId="1A34206E"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27C8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02B3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6FE0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B2D1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E15E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A7E6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0269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67F05FC1" w14:textId="77777777" w:rsidTr="00855EC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CE5B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486F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9F55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5D50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995B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DEE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380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55EC5" w14:paraId="7F971E7D" w14:textId="77777777" w:rsidTr="00855EC5">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653E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1D376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E45C7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D05F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ADDE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0970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FB24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6379934D" w14:textId="77777777" w:rsidR="00855EC5" w:rsidRDefault="00000000">
      <w:pPr>
        <w:pStyle w:val="BodyText"/>
      </w:pPr>
      <w:r>
        <w:lastRenderedPageBreak/>
        <w:t xml:space="preserve">In units of coho smolt abundance, three management scenarios actually produce poorer fish outcomes than basecase, but the majority of scenarios produce more favorable flows for smolt production (Figure 6). This is larguly due to scenario impacts on the largest single component of the HB function for coho smolt abundance, first fall flow difference or </w:t>
      </w:r>
      <w:r>
        <w:rPr>
          <w:rStyle w:val="VerbatimChar"/>
        </w:rPr>
        <w:t>f1_FA_Dif_num</w:t>
      </w:r>
      <w:r>
        <w:t xml:space="preserve">. This metric is calculated as the difference between dry season median discharge and peak fall pulse discharge; in years with no detectable fall pulse flow, this value is set to 0 (Carpenter 2024; Baruch et al. 2024) (see also Supplement B, Table 3, and Supplement B, Figure 2).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 (CDFW 2021). Because changes in water use can affect both the dry season minimum and the magnitude of a fall pulse flow, management scenarios may have positive or negative effect on this functional flow, which in turn will influence the total calculated HB value. </w:t>
      </w:r>
    </w:p>
    <w:p w14:paraId="4A14CE68" w14:textId="77777777" w:rsidR="00855EC5" w:rsidRDefault="00000000">
      <w:pPr>
        <w:pStyle w:val="Heading3"/>
      </w:pPr>
      <w:bookmarkStart w:id="34" w:name="small-reservoir"/>
      <w:r>
        <w:rPr>
          <w:rStyle w:val="SectionNumber"/>
        </w:rPr>
        <w:t>4.3.1</w:t>
      </w:r>
      <w:r>
        <w:tab/>
        <w:t>Small Reservoir</w:t>
      </w:r>
    </w:p>
    <w:p w14:paraId="1B3F5907" w14:textId="77777777" w:rsidR="00855EC5" w:rsidRDefault="00000000">
      <w:pPr>
        <w:pStyle w:val="FirstParagraph"/>
      </w:pPr>
      <w:r>
        <w:t>Reservoir scenarios simulate how flows would change if a small reservoir (9 thousand acre-feet, or 11.1 10</w:t>
      </w:r>
      <w:r>
        <w:rPr>
          <w:vertAlign w:val="superscript"/>
        </w:rPr>
        <w:t>6</w:t>
      </w:r>
      <w:r>
        <w:t xml:space="preserve"> m</w:t>
      </w:r>
      <w:r>
        <w:rPr>
          <w:vertAlign w:val="superscript"/>
        </w:rPr>
        <w:t>3</w:t>
      </w:r>
      <w:r>
        <w:t>, approximately 9% of mean annual irrigation), located in the headwaters on one of 3 tributaries, were operated with the following objectives: retain winter flow until full (Dec-Mar), pass along growing season flow (Apr-Aug), and supplement dry season flow (Sep-Nov).</w:t>
      </w:r>
    </w:p>
    <w:p w14:paraId="684734F0" w14:textId="77777777" w:rsidR="00855EC5" w:rsidRDefault="00000000">
      <w:pPr>
        <w:pStyle w:val="BodyText"/>
      </w:pPr>
      <w:r>
        <w:t>Somewhat contrary to expectations, reservoir scenarios provide limited benefit to coho populations, relative to other management options: small reservoirs may not have capacity to add fall flow during dry years when baseflows are lowest (Figure 6, green squares, and Supplements B and C, Figure 3). Reservoir scenarios seem to support Chinook populations significantly more than coho: even a small reservoir on one tributary appears to dampen wet season stormflows enough to benefit Chinook (Supplements D and E, Figure 3).</w:t>
      </w:r>
    </w:p>
    <w:p w14:paraId="0EC6BB66" w14:textId="77777777" w:rsidR="00855EC5" w:rsidRDefault="00000000">
      <w:pPr>
        <w:pStyle w:val="Heading3"/>
      </w:pPr>
      <w:bookmarkStart w:id="35" w:name="X2217a73426969aa3255f137f1c1e7245c2e41e0"/>
      <w:bookmarkEnd w:id="34"/>
      <w:r>
        <w:rPr>
          <w:rStyle w:val="SectionNumber"/>
        </w:rPr>
        <w:t>4.3.2</w:t>
      </w:r>
      <w:r>
        <w:tab/>
        <w:t>Enhanced Recharge and Irrigation Efficiency</w:t>
      </w:r>
    </w:p>
    <w:p w14:paraId="790FF438" w14:textId="77777777" w:rsidR="00855EC5" w:rsidRDefault="00000000">
      <w:pPr>
        <w:pStyle w:val="FirstParagraph"/>
      </w:pPr>
      <w:r>
        <w:t>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14:paraId="74190313" w14:textId="77777777" w:rsidR="00855EC5" w:rsidRDefault="00000000">
      <w:pPr>
        <w:pStyle w:val="BodyText"/>
      </w:pPr>
      <w:r>
        <w:t>The Enhanced Recharge scenario simulates a Managed Aquifer Recharge (MAR) program diverting the maximum permitted diversion rate of 23 cfs (0.65 m</w:t>
      </w:r>
      <w:r>
        <w:rPr>
          <w:vertAlign w:val="superscript"/>
        </w:rPr>
        <w:t>3</w:t>
      </w:r>
      <w:r>
        <w:t>/sec), or 4151 acre-feet (5.1 10</w:t>
      </w:r>
      <w:r>
        <w:rPr>
          <w:vertAlign w:val="superscript"/>
        </w:rPr>
        <w:t>6</w:t>
      </w:r>
      <w:r>
        <w:t xml:space="preserve"> m</w:t>
      </w:r>
      <w:r>
        <w:rPr>
          <w:vertAlign w:val="superscript"/>
        </w:rPr>
        <w:t>3</w:t>
      </w:r>
      <w:r>
        <w:t>, approximately 4% of mean annual irrigation) total water volume from the Scott River over 90 or 91 days Jan-March (depending on leap year status). This water is applied as excess winter recharge on 32 fields, totaling 5.6 10</w:t>
      </w:r>
      <w:r>
        <w:rPr>
          <w:vertAlign w:val="superscript"/>
        </w:rPr>
        <w:t>6</w:t>
      </w:r>
      <w:r>
        <w:t xml:space="preserve"> m</w:t>
      </w:r>
      <w:r>
        <w:rPr>
          <w:vertAlign w:val="superscript"/>
        </w:rPr>
        <w:t>2</w:t>
      </w:r>
      <w:r>
        <w:t xml:space="preserve"> (1395 acres; see Supplement A for map of recharge areas).</w:t>
      </w:r>
    </w:p>
    <w:p w14:paraId="7E97DE1E" w14:textId="77777777" w:rsidR="00855EC5" w:rsidRDefault="00000000">
      <w:pPr>
        <w:pStyle w:val="BodyText"/>
      </w:pPr>
      <w:r>
        <w:lastRenderedPageBreak/>
        <w:t>Scenarios in these two categories have a minimal effect on crop ET (Figure 6 and Table 6; see also Supplements B-E, Figure 3). The lack of farmer cost is by design; this management strategy is intended to avoid any impacts on growing season operations.</w:t>
      </w:r>
    </w:p>
    <w:p w14:paraId="23312C98" w14:textId="77777777" w:rsidR="00855EC5" w:rsidRDefault="00000000">
      <w:pPr>
        <w:pStyle w:val="BodyText"/>
      </w:pPr>
      <w:r>
        <w:t>In all four HB formulations, Enhanced Recharge has a minimal effect, while Irrigation Efficiency has a small positive or negative effect, on environmental benefit. For Irrigation Efficiency, these results may reflect that the practice reduces growing-season recharge to the aquifer as well as stream diversion or well pumping. For Enhanced Recharge, the lack of any fish benefit suggests that any flow increases from winter recharge may dissipate by the end of the dry season, and correspondingly that current maximum permitted surface water diversions are insufficient to improve flow conditions for fish in the fall.</w:t>
      </w:r>
    </w:p>
    <w:p w14:paraId="30889B43" w14:textId="77777777" w:rsidR="00855EC5" w:rsidRDefault="00000000">
      <w:pPr>
        <w:pStyle w:val="Heading3"/>
      </w:pPr>
      <w:bookmarkStart w:id="36" w:name="irrigation-curtailment-alfalfa-all-crops"/>
      <w:bookmarkEnd w:id="35"/>
      <w:r>
        <w:rPr>
          <w:rStyle w:val="SectionNumber"/>
        </w:rPr>
        <w:t>4.3.3</w:t>
      </w:r>
      <w:r>
        <w:tab/>
        <w:t>Irrigation Curtailment (alfalfa; all crops)</w:t>
      </w:r>
    </w:p>
    <w:p w14:paraId="03B91D3B" w14:textId="77777777" w:rsidR="00855EC5" w:rsidRDefault="00000000">
      <w:pPr>
        <w:pStyle w:val="FirstParagraph"/>
      </w:pPr>
      <w:r>
        <w:t>Early cessation of irrigation on alfalfa fields effectively means that growers forgo the harvest of one or more hay cuttings, which can be a significant economic impact for a farm; however, in watershed-wide total ET terms, the effects are relatively small for scenarios in this category (Figure 6, orange diamonds). The second category simulated a blanket curtailment on all irrigation, including on pasture, the other primary crop besides alfalfa (Table 1; Figure 6, gray diamonds). In both categories, scenario cutoff dates for irrigation were August 15, July 31, and July 15, while the assumed basecase alfalfa irrigation cutoff date is September 5 (Foglia et al. 2013).</w:t>
      </w:r>
    </w:p>
    <w:p w14:paraId="6FA30346" w14:textId="77777777" w:rsidR="00855EC5" w:rsidRDefault="00000000">
      <w:pPr>
        <w:pStyle w:val="BodyText"/>
      </w:pPr>
      <w:r>
        <w:t xml:space="preserve">In general, this series of cutoff dates has a progressive effect on fall flows: the earlier the cutoff date, the greater the impact on raising summer low flows, producing earlier fall flow increases, and slowing the spring recession rate (see alfalfa scenario flow results in Supplement A, Figure 2). For Chinook HB units, the impact on HB values is similarly progressive (Supplements D and E, Table 2 and Figure 3), but for coho units, the impact on HB values is more variable, since management scenarios may have a positive or negative effect on a </w:t>
      </w:r>
      <w:r>
        <w:rPr>
          <w:rStyle w:val="VerbatimChar"/>
        </w:rPr>
        <w:t>f1_FA_Dif_num</w:t>
      </w:r>
      <w:r>
        <w:t xml:space="preserve"> (see above). </w:t>
      </w:r>
    </w:p>
    <w:p w14:paraId="5BC18006" w14:textId="77777777" w:rsidR="00855EC5" w:rsidRDefault="00000000">
      <w:pPr>
        <w:pStyle w:val="Heading3"/>
      </w:pPr>
      <w:bookmarkStart w:id="37" w:name="crop-change"/>
      <w:bookmarkEnd w:id="36"/>
      <w:r>
        <w:rPr>
          <w:rStyle w:val="SectionNumber"/>
        </w:rPr>
        <w:t>4.3.4</w:t>
      </w:r>
      <w:r>
        <w:tab/>
        <w:t>Crop Change</w:t>
      </w:r>
    </w:p>
    <w:p w14:paraId="29596017" w14:textId="77777777" w:rsidR="00855EC5" w:rsidRDefault="00000000">
      <w:pPr>
        <w:pStyle w:val="FirstParagraph"/>
      </w:pPr>
      <w:r>
        <w:t>In the Crop Change category, we simulate permanent grain cultivated on acreage that, in the basecase, is cultivated in an alfalfa-grain rotation (7 years alfalfa followed by 1 year of grain). During scenario design, fields were randomly assigned to be under permanent grain until a target acreage was reached: 6, 12, and 14 thousand acres.</w:t>
      </w:r>
    </w:p>
    <w:p w14:paraId="64C81A23" w14:textId="77777777" w:rsidR="00855EC5" w:rsidRDefault="00000000">
      <w:pPr>
        <w:pStyle w:val="BodyText"/>
      </w:pPr>
      <w:r>
        <w:t xml:space="preserve">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(Figure 6 and Table 6). As mentioned before, the ET values in the Crop Change category are challenging to compare directly to those in other categories (see Discussion). </w:t>
      </w:r>
    </w:p>
    <w:p w14:paraId="6B9F8B00" w14:textId="77777777" w:rsidR="00855EC5" w:rsidRDefault="00000000">
      <w:pPr>
        <w:pStyle w:val="Heading3"/>
      </w:pPr>
      <w:bookmarkStart w:id="38" w:name="low-flow-diversion-limits"/>
      <w:bookmarkEnd w:id="37"/>
      <w:r>
        <w:rPr>
          <w:rStyle w:val="SectionNumber"/>
        </w:rPr>
        <w:lastRenderedPageBreak/>
        <w:t>4.3.5</w:t>
      </w:r>
      <w:r>
        <w:tab/>
        <w:t>Low Flow Diversion Limits</w:t>
      </w:r>
    </w:p>
    <w:p w14:paraId="62A47A7B" w14:textId="77777777" w:rsidR="00855EC5" w:rsidRDefault="00000000">
      <w:pPr>
        <w:pStyle w:val="FirstParagraph"/>
      </w:pPr>
      <w:r>
        <w:t>In the basecase,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defined at the Fort Jones gauge (SWRCB 2024a) (Figure 6 and Table 6).</w:t>
      </w:r>
    </w:p>
    <w:p w14:paraId="5AFBA7B5" w14:textId="77777777" w:rsidR="00855EC5" w:rsidRDefault="00000000">
      <w:pPr>
        <w:pStyle w:val="BodyText"/>
      </w:pPr>
      <w:r>
        <w:t>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on the hydrograph.</w:t>
      </w:r>
    </w:p>
    <w:p w14:paraId="035DC198" w14:textId="77777777" w:rsidR="00855EC5" w:rsidRDefault="00000000">
      <w:pPr>
        <w:pStyle w:val="Heading3"/>
      </w:pPr>
      <w:bookmarkStart w:id="39" w:name="native-vegetation"/>
      <w:bookmarkEnd w:id="38"/>
      <w:r>
        <w:rPr>
          <w:rStyle w:val="SectionNumber"/>
        </w:rPr>
        <w:t>4.3.6</w:t>
      </w:r>
      <w:r>
        <w:tab/>
        <w:t>Native Vegetation</w:t>
      </w:r>
    </w:p>
    <w:p w14:paraId="3ED89AD8" w14:textId="77777777" w:rsidR="00855EC5" w:rsidRDefault="00000000">
      <w:pPr>
        <w:pStyle w:val="FirstParagraph"/>
      </w:pPr>
      <w:r>
        <w:t>The two categories of Native Vegetation scenario (NatVegL and NatVegH, for low and and high ET) are two end-member answers to the question: if currently-cultivated land were converted to native vegetation, what water consumption pattern would replace it? NatVegL assumes a native vegetation crop coefficient of 0.6 and a maximum rooting depth of 1 m, while the values for NatVegH are 1.0 and 2 m, respectively. The first category could be interpreted as chaparral or sage scrub-type vegetation cover, while the second category could represent a mixed bunchgrass and clover prairie with extensive riparian vegetation corridors and wetlands.</w:t>
      </w:r>
    </w:p>
    <w:p w14:paraId="16B913E8" w14:textId="77777777" w:rsidR="00855EC5" w:rsidRDefault="00000000">
      <w:pPr>
        <w:pStyle w:val="BodyText"/>
      </w:pPr>
      <w:r>
        <w:t>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two NatVeg scenarios generate higher simulated FJ streamflow in most months of the model period.</w:t>
      </w:r>
    </w:p>
    <w:p w14:paraId="553D710A" w14:textId="77777777" w:rsidR="00855EC5" w:rsidRDefault="00000000">
      <w:pPr>
        <w:pStyle w:val="BodyText"/>
      </w:pPr>
      <w:r>
        <w:t>For both coho and Chinook, as we would expect, increasing acreage of native vegetation reduces total crop ET (Figure 6 and Table 6; see also Supplements B-E, Figure 3). For coho (juvenile abundance), the effect on the environmental benefit is not strictly monotonic, but generally, more native vegetation produces higher HB values, and low-ET vegetation produces higher HB values than high-ET vegetation (Supplements B and C , Figure 3). For Chinook, the environmental effects of native vegetation scenarios are more variable (Supplpments D and E, Figure 3).</w:t>
      </w:r>
    </w:p>
    <w:p w14:paraId="31266A98" w14:textId="77777777" w:rsidR="00855EC5" w:rsidRDefault="00000000">
      <w:pPr>
        <w:pStyle w:val="Heading2"/>
      </w:pPr>
      <w:bookmarkStart w:id="40" w:name="X452f0639db2ebbe2cd3177f14e96530f2d1a15a"/>
      <w:bookmarkEnd w:id="31"/>
      <w:bookmarkEnd w:id="39"/>
      <w:r>
        <w:rPr>
          <w:rStyle w:val="SectionNumber"/>
        </w:rPr>
        <w:t>4.4</w:t>
      </w:r>
      <w:r>
        <w:tab/>
        <w:t>Infrastructure objective and Pareto-optimal set</w:t>
      </w:r>
    </w:p>
    <w:p w14:paraId="29D41A85" w14:textId="77777777" w:rsidR="00855EC5" w:rsidRDefault="00000000">
      <w:pPr>
        <w:pStyle w:val="FirstParagraph"/>
      </w:pPr>
      <w:r>
        <w:t xml:space="preserve">By plotting the environmental, agricultural, and infrastructure objectives in a three-dimensional scatterplot, it is possible to visualize the combined set of management scenarios as four different trade-off arcs in the five infrastructure categories 0-4. Some differences emerge when using coho juvenile abundance units (Figure 7; see also Supplement B, Figure 5) versus the other three HB units evaluated here (Supplements C-E, </w:t>
      </w:r>
      <w:r>
        <w:lastRenderedPageBreak/>
        <w:t>Figure 5), but overall patterns are similar. Among all 4 HB formulations, categories containing at least one Pareto-optimal solution were:</w:t>
      </w:r>
    </w:p>
    <w:p w14:paraId="490A16DD" w14:textId="77777777" w:rsidR="00855EC5" w:rsidRDefault="00000000">
      <w:pPr>
        <w:pStyle w:val="Compact"/>
        <w:numPr>
          <w:ilvl w:val="0"/>
          <w:numId w:val="7"/>
        </w:numPr>
      </w:pPr>
      <w:r>
        <w:t>Reservoir (3 of 3 scenarios)</w:t>
      </w:r>
    </w:p>
    <w:p w14:paraId="231BFF1E" w14:textId="77777777" w:rsidR="00855EC5" w:rsidRDefault="00000000">
      <w:pPr>
        <w:pStyle w:val="Compact"/>
        <w:numPr>
          <w:ilvl w:val="0"/>
          <w:numId w:val="7"/>
        </w:numPr>
      </w:pPr>
      <w:r>
        <w:t>FlowLims (0-1 of 1)</w:t>
      </w:r>
    </w:p>
    <w:p w14:paraId="0416EBC8" w14:textId="77777777" w:rsidR="00855EC5" w:rsidRDefault="00000000">
      <w:pPr>
        <w:pStyle w:val="Compact"/>
        <w:numPr>
          <w:ilvl w:val="0"/>
          <w:numId w:val="7"/>
        </w:numPr>
      </w:pPr>
      <w:r>
        <w:t>IrrEff (0-1 of 2)</w:t>
      </w:r>
    </w:p>
    <w:p w14:paraId="7E600EE0" w14:textId="77777777" w:rsidR="00855EC5" w:rsidRDefault="00000000">
      <w:pPr>
        <w:pStyle w:val="Compact"/>
        <w:numPr>
          <w:ilvl w:val="0"/>
          <w:numId w:val="7"/>
        </w:numPr>
      </w:pPr>
      <w:r>
        <w:t>NatVeg low-ET (for coho) and high-ET (for Chinook) (1 of 4, full conversion only)</w:t>
      </w:r>
    </w:p>
    <w:p w14:paraId="4627A28F" w14:textId="77777777" w:rsidR="00855EC5" w:rsidRDefault="00000000">
      <w:pPr>
        <w:pStyle w:val="Compact"/>
        <w:numPr>
          <w:ilvl w:val="0"/>
          <w:numId w:val="7"/>
        </w:numPr>
      </w:pPr>
      <w:r>
        <w:t>AlfIrr (2-3 of 3), and</w:t>
      </w:r>
    </w:p>
    <w:p w14:paraId="79941319" w14:textId="77777777" w:rsidR="00855EC5" w:rsidRDefault="00000000">
      <w:pPr>
        <w:pStyle w:val="Compact"/>
        <w:numPr>
          <w:ilvl w:val="0"/>
          <w:numId w:val="7"/>
        </w:numPr>
      </w:pPr>
      <w:r>
        <w:t>Curtail (2-3 of 3).</w:t>
      </w:r>
    </w:p>
    <w:p w14:paraId="40ADAD67" w14:textId="77777777" w:rsidR="00855EC5" w:rsidRDefault="00000000">
      <w:pPr>
        <w:pStyle w:val="CaptionedFigure"/>
      </w:pPr>
      <w:r>
        <w:rPr>
          <w:noProof/>
        </w:rPr>
        <w:drawing>
          <wp:inline distT="0" distB="0" distL="0" distR="0" wp14:anchorId="491EF67D" wp14:editId="43E2E95C">
            <wp:extent cx="4267200" cy="4075288"/>
            <wp:effectExtent l="0" t="0" r="0" b="0"/>
            <wp:docPr id="78" name="Picture" descr="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79" name="Picture" descr="Graphics%20and%20Supplements/hbf%20et%20infra%20plot3d_2026.02.19.jpg"/>
                    <pic:cNvPicPr>
                      <a:picLocks noChangeAspect="1" noChangeArrowheads="1"/>
                    </pic:cNvPicPr>
                  </pic:nvPicPr>
                  <pic:blipFill>
                    <a:blip r:embed="rId11"/>
                    <a:stretch>
                      <a:fillRect/>
                    </a:stretch>
                  </pic:blipFill>
                  <pic:spPr bwMode="auto">
                    <a:xfrm>
                      <a:off x="0" y="0"/>
                      <a:ext cx="4267200" cy="4075288"/>
                    </a:xfrm>
                    <a:prstGeom prst="rect">
                      <a:avLst/>
                    </a:prstGeom>
                    <a:noFill/>
                    <a:ln w="9525">
                      <a:noFill/>
                      <a:headEnd/>
                      <a:tailEnd/>
                    </a:ln>
                  </pic:spPr>
                </pic:pic>
              </a:graphicData>
            </a:graphic>
          </wp:inline>
        </w:drawing>
      </w:r>
    </w:p>
    <w:p w14:paraId="61E2240E" w14:textId="77777777" w:rsidR="00855EC5" w:rsidRDefault="00000000">
      <w:pPr>
        <w:pStyle w:val="ImageCaption"/>
      </w:pPr>
      <w:bookmarkStart w:id="41" w:name="fig:farmerFishInfraFigure3D"/>
      <w:bookmarkEnd w:id="41"/>
      <w:r>
        <w:t>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w:t>
      </w:r>
    </w:p>
    <w:p w14:paraId="3B8E0C8C" w14:textId="77777777" w:rsidR="00855EC5" w:rsidRDefault="00000000">
      <w:pPr>
        <w:pStyle w:val="BodyText"/>
      </w:pPr>
      <w:r>
        <w:t xml:space="preserve">For HB function in coho juvenile abundance units, the Pareto-optimal set of management actions (i.e., the scenarios with an objective/category value that cannot be improved upon without sacrificing value in another objective/category) includes 11 of the 35 simulated scenarios (Table 6; Figure 7). This set includes the basecase, as it is the only scenario with an infrastructure category of 0 (no change needed); it includes five regulatory scenarios in category 1 (no new infrastructure needed); it includes two scenarios from category 2 (1-2 </w:t>
      </w:r>
      <w:r>
        <w:lastRenderedPageBreak/>
        <w:t>years timeline); and it includes all three reservoir scenarios, as they trace a small trade-off curve within their own category (5+ years timeline).</w:t>
      </w:r>
    </w:p>
    <w:p w14:paraId="53841A12" w14:textId="77777777" w:rsidR="00855EC5" w:rsidRDefault="00000000">
      <w:pPr>
        <w:pStyle w:val="BodyText"/>
      </w:pPr>
      <w:r>
        <w:t>Several categories (such as curtailing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p w14:paraId="0DE8FBC2" w14:textId="77777777" w:rsidR="00855EC5" w:rsidRDefault="00000000">
      <w:pPr>
        <w:pStyle w:val="Heading2"/>
      </w:pPr>
      <w:bookmarkStart w:id="42" w:name="comparison-to-gsp-priorities"/>
      <w:bookmarkEnd w:id="40"/>
      <w:r>
        <w:rPr>
          <w:rStyle w:val="SectionNumber"/>
        </w:rPr>
        <w:t>4.5</w:t>
      </w:r>
      <w:r>
        <w:tab/>
        <w:t>Comparison to GSP Priorities</w:t>
      </w:r>
    </w:p>
    <w:p w14:paraId="3E0F0570" w14:textId="77777777" w:rsidR="00855EC5" w:rsidRDefault="00000000">
      <w:pPr>
        <w:pStyle w:val="FirstParagraph"/>
      </w:pPr>
      <w:r>
        <w:t>To determine if the strict application of objective functions would produce different management priorities than the public policy development process that took place 2018-2021, we made a high-level, conceptual comparison (Table 7) of the Pareto-optimal set of management actions and the management actions and projects listed for consideration in the GSP (Siskiyou County 2021).</w:t>
      </w:r>
    </w:p>
    <w:p w14:paraId="615069DC" w14:textId="77777777" w:rsidR="00855EC5" w:rsidRDefault="00000000">
      <w:pPr>
        <w:pStyle w:val="BodyText"/>
      </w:pPr>
      <w:r>
        <w:t>Tier I and II scenarios, assigned highest priority and considered implementable in the near term and medium term, respectively, tend to be associated with higher crop ET values (e.g., six out of seven scenarios with &gt; 114 10</w:t>
      </w:r>
      <w:r>
        <w:rPr>
          <w:vertAlign w:val="superscript"/>
        </w:rPr>
        <w:t>6</w:t>
      </w:r>
      <w:r>
        <w:t xml:space="preserve"> m</w:t>
      </w:r>
      <w:r>
        <w:rPr>
          <w:vertAlign w:val="superscript"/>
        </w:rPr>
        <w:t>3</w:t>
      </w:r>
      <w:r>
        <w:t>, a minimial reduction from the average basecase ET value of 118 10</w:t>
      </w:r>
      <w:r>
        <w:rPr>
          <w:vertAlign w:val="superscript"/>
        </w:rPr>
        <w:t>6</w:t>
      </w:r>
      <w:r>
        <w:t xml:space="preserve"> m</w:t>
      </w:r>
      <w:r>
        <w:rPr>
          <w:vertAlign w:val="superscript"/>
        </w:rPr>
        <w:t>3</w:t>
      </w:r>
      <w:r>
        <w:t>), reflecting the community’s commitment to avoid negative impacts on growers. With one exception, the scenarios with relatively high environmental benefit (e.g., &gt; 7900 coho smolt-equiv. HB value) are in Tier III, reflecting that they are technically and/or politically more challenging than Tiers I and II, and thus considered potentially implementable only in the long-term.</w:t>
      </w:r>
    </w:p>
    <w:p w14:paraId="64FA0465" w14:textId="77777777" w:rsidR="00855EC5"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668790F9" w14:textId="77777777" w:rsidR="00855EC5" w:rsidRDefault="00000000">
      <w:pPr>
        <w:pStyle w:val="TableCaption"/>
      </w:pPr>
      <w:bookmarkStart w:id="43" w:name="tab:gspMgmtList"/>
      <w:bookmarkEnd w:id="43"/>
      <w:r>
        <w:t>Table 7: 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855EC5" w14:paraId="341B92B4" w14:textId="77777777" w:rsidTr="00855EC5">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18B1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16A4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8563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FEC5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Range/1000</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9E10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Range/10^6</w:t>
            </w:r>
          </w:p>
        </w:tc>
      </w:tr>
      <w:tr w:rsidR="00855EC5" w14:paraId="01FC0A28" w14:textId="77777777" w:rsidTr="00855EC5">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7DB3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559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DA42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F304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BF1E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855EC5" w14:paraId="44715890"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E4ED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34B5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Scott River Water Trust </w:t>
            </w:r>
            <w:r>
              <w:rPr>
                <w:rFonts w:ascii="Arial" w:eastAsia="Arial" w:hAnsi="Arial" w:cs="Arial"/>
                <w:color w:val="000000"/>
                <w:sz w:val="22"/>
                <w:szCs w:val="22"/>
              </w:rPr>
              <w:lastRenderedPageBreak/>
              <w:t>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D88F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 xml:space="preserve">Low Flow Diversion Limits </w:t>
            </w:r>
            <w:r>
              <w:rPr>
                <w:rFonts w:ascii="Arial" w:eastAsia="Arial" w:hAnsi="Arial" w:cs="Arial"/>
                <w:color w:val="000000"/>
                <w:sz w:val="22"/>
                <w:szCs w:val="22"/>
              </w:rPr>
              <w:lastRenderedPageBreak/>
              <w:t>(FlowLims)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D49F2"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7.83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A24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855EC5" w14:paraId="5E1B08C6" w14:textId="77777777" w:rsidTr="00855EC5">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5F581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C2502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89C90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F2CC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923C2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855EC5" w14:paraId="5BF3147F" w14:textId="77777777" w:rsidTr="00855EC5">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C74E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D03F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D792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0BB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41B9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855EC5" w14:paraId="5D80E9A6"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62AA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DF17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59563"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0B60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0EA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55EC5" w14:paraId="0373DA0C"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067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5522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D3E1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4D54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79AA1"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55EC5" w14:paraId="1A0636C4" w14:textId="77777777" w:rsidTr="00855EC5">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80C3B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E23180"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9207C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(NatVegH or L) </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40C53D"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7.85-8.45</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DBA99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855EC5" w14:paraId="3B1D0450" w14:textId="77777777" w:rsidTr="00855EC5">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FAB0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23E96"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B5C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FFA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7.86-8.06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0DFF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855EC5" w14:paraId="2FE60A12"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B3505"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F75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71F2C"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3AEFA"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C9E6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55EC5" w14:paraId="532E80E4"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D2BE8"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A352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6EDA4"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94CE"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7.85-7.92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6FB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855EC5" w14:paraId="6B1FEEE6" w14:textId="77777777" w:rsidTr="00855EC5">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39A9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F9FE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6281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D365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7.7-8.2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AEA6B"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855EC5" w14:paraId="185F6D4E" w14:textId="77777777" w:rsidTr="00855EC5">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1CDA47"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E9ED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0C87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8658F"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CD0C59" w14:textId="77777777" w:rsidR="00855EC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1FF0FAF1" w14:textId="77777777" w:rsidR="00855EC5" w:rsidRDefault="00000000">
      <w:r>
        <w:br w:type="page"/>
      </w:r>
    </w:p>
    <w:p w14:paraId="7AD7AC77" w14:textId="77777777" w:rsidR="00855EC5" w:rsidRDefault="00000000">
      <w:pPr>
        <w:pStyle w:val="Heading1"/>
      </w:pPr>
      <w:bookmarkStart w:id="44" w:name="discussion"/>
      <w:bookmarkEnd w:id="26"/>
      <w:bookmarkEnd w:id="42"/>
      <w:r>
        <w:rPr>
          <w:rStyle w:val="SectionNumber"/>
        </w:rPr>
        <w:lastRenderedPageBreak/>
        <w:t>5</w:t>
      </w:r>
      <w:r>
        <w:tab/>
        <w:t>Discussion</w:t>
      </w:r>
    </w:p>
    <w:p w14:paraId="3F0044EC" w14:textId="77777777" w:rsidR="00855EC5" w:rsidRDefault="00000000">
      <w:pPr>
        <w:pStyle w:val="Heading2"/>
      </w:pPr>
      <w:bookmarkStart w:id="45" w:name="X36cbf7c8750cd854ae19409930ca35269b38594"/>
      <w:r>
        <w:rPr>
          <w:rStyle w:val="SectionNumber"/>
        </w:rPr>
        <w:t>5.1</w:t>
      </w:r>
      <w:r>
        <w:tab/>
        <w:t>Alternative options for the environmental objective function</w:t>
      </w:r>
    </w:p>
    <w:p w14:paraId="0860D699" w14:textId="77777777" w:rsidR="00855EC5" w:rsidRDefault="00000000">
      <w:pPr>
        <w:pStyle w:val="FirstParagraph"/>
      </w:pPr>
      <w:r>
        <w:t>This study uses a physical model to predict changes in flow, and a statistical model to extrapolate these changes into ecological impacts. However, even within just one watershed, there are many other possible ways to design an environmental benefit objective function based on a statistical model.</w:t>
      </w:r>
    </w:p>
    <w:p w14:paraId="06155C4A" w14:textId="77777777" w:rsidR="00855EC5" w:rsidRDefault="00000000">
      <w:pPr>
        <w:pStyle w:val="BodyText"/>
      </w:pPr>
      <w:r>
        <w:t>Regardless of the design, the first requirement is sufficient data. The present study is based on 15 to 23 years of ecological observations (depending on which units are selected) (Kouba et al. 2025). Hydrologic data is often relatively abundant, with ecological observations as the limiting factor; the authors recommend at least a decade of ecological data, ideally covering all water year types, to build a new hydrologic-ecological relationship.</w:t>
      </w:r>
    </w:p>
    <w:p w14:paraId="7C8238E7" w14:textId="77777777" w:rsidR="00855EC5" w:rsidRDefault="00000000">
      <w:pPr>
        <w:pStyle w:val="BodyText"/>
      </w:pPr>
      <w:r>
        <w:t xml:space="preserve">Although salmon are often considered a “keystone species” (Mills and Doak 1993),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ecosystems; i.e., flowrates associated with sufficient spatial habitat in specific reaches, or groundwater elevation supporting riparian vegetation. All of these options are “bottom-up” descriptions (Tharme 2003) of relationships between flow and isolated ecological functions; still another option would be to base the HB function on a “top-down” method, such as indices of alteration, that aims to preserve </w:t>
      </w:r>
      <w:r>
        <w:rPr>
          <w:i/>
          <w:iCs/>
        </w:rPr>
        <w:t>all</w:t>
      </w:r>
      <w:r>
        <w:t xml:space="preserve"> ecological functions of the unimpaired stream (e.g., Richter et al. 1996; Poff et al. 1997; discussed further in Kouba et al. 2025).</w:t>
      </w:r>
    </w:p>
    <w:p w14:paraId="2ACDF4B3" w14:textId="77777777" w:rsidR="00855EC5" w:rsidRDefault="00000000">
      <w:pPr>
        <w:pStyle w:val="BodyText"/>
      </w:pPr>
      <w:r>
        <w:t>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should be interpreted with care, since wet season median flows are largely beyond human control in this undammed watershed. Rather than suggesting flow targets, the Chinook results may highlight that if habitat restoration could provide Chinoook with refuge from winter stormflows, this might have an outsized impact on long-term smolt production.</w:t>
      </w:r>
    </w:p>
    <w:p w14:paraId="3A313764" w14:textId="77777777" w:rsidR="00855EC5" w:rsidRDefault="00000000">
      <w:pPr>
        <w:pStyle w:val="Heading2"/>
      </w:pPr>
      <w:bookmarkStart w:id="46" w:name="trade-offs-among-all-three-objectives"/>
      <w:bookmarkEnd w:id="45"/>
      <w:r>
        <w:rPr>
          <w:rStyle w:val="SectionNumber"/>
        </w:rPr>
        <w:t>5.2</w:t>
      </w:r>
      <w:r>
        <w:tab/>
        <w:t>Trade-offs among all three objectives</w:t>
      </w:r>
    </w:p>
    <w:p w14:paraId="0D26D24B" w14:textId="77777777" w:rsidR="00855EC5" w:rsidRDefault="00000000">
      <w:pPr>
        <w:pStyle w:val="FirstParagraph"/>
      </w:pPr>
      <w:r>
        <w:t xml:space="preserve">For all HB formulations, reservoirs and regulatory scenarios (curtailment, alfalfa irrigation, diversion limits) were the categories with highest fraction of Pareto-optimal scenarios (Table 6; Figure 7). This suggests that the regulatory scenarios in category 1 (no new infrastructure needed) define an arc of trade-offs between environmental benefit and agricultural cost, and the low-to-moderate infrastructure cost scenarios (categories 2 and </w:t>
      </w:r>
      <w:r>
        <w:lastRenderedPageBreak/>
        <w:t>3) do not improve on this. Among the set of options considered here, it takes a high infrastructure cost (reservoir scenarios) to escape the trade-offs defined in the regulatory scenario categories.</w:t>
      </w:r>
    </w:p>
    <w:p w14:paraId="255E4E5B" w14:textId="77777777" w:rsidR="00855EC5" w:rsidRDefault="00000000">
      <w:pPr>
        <w:pStyle w:val="BodyText"/>
      </w:pPr>
      <w:r>
        <w:t>Cleary, design details (date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 (e.g., CNRA et al. 2022) points to a need for more research (in Scott Valley, and in California and semi-arid agricultural regions more broadly) regarding spatial, timing, and water volume/permitting elements of an effective and feasible MAR program in a variety of settings.</w:t>
      </w:r>
    </w:p>
    <w:p w14:paraId="2DF0BAFF" w14:textId="77777777" w:rsidR="00855EC5" w:rsidRDefault="00000000">
      <w:pPr>
        <w:pStyle w:val="BodyText"/>
      </w:pPr>
      <w:r>
        <w:t>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mid-season irrigation cutoffs (on alfalfa or all crops).</w:t>
      </w:r>
    </w:p>
    <w:p w14:paraId="07429C7C" w14:textId="77777777" w:rsidR="00855EC5" w:rsidRDefault="00000000">
      <w:pPr>
        <w:pStyle w:val="Heading2"/>
      </w:pPr>
      <w:bookmarkStart w:id="47" w:name="Xb48c0b1c357814727cacf50afe35e98b0bf92dd"/>
      <w:bookmarkEnd w:id="46"/>
      <w:r>
        <w:rPr>
          <w:rStyle w:val="SectionNumber"/>
        </w:rPr>
        <w:t>5.3</w:t>
      </w:r>
      <w:r>
        <w:tab/>
        <w:t>Pareto-optimal solution set and GSP priority management actions</w:t>
      </w:r>
    </w:p>
    <w:p w14:paraId="2179FE57" w14:textId="77777777" w:rsidR="00855EC5" w:rsidRDefault="00000000">
      <w:pPr>
        <w:pStyle w:val="FirstParagraph"/>
      </w:pPr>
      <w:r>
        <w:t>Within the proposed suite of management actions, across all four HB formulations, approximately half (10-13 of 25) fall within the Pareto-optimal set, based on the cost proxy and the 35-year average values of two objective functions (Supplements B-E, Figure 5 and Table 2). (As mentioned above, Pareto-suboptimal status is less certain in the case of the Crop Change scenarios.)</w:t>
      </w:r>
    </w:p>
    <w:p w14:paraId="601F1969" w14:textId="77777777" w:rsidR="00855EC5"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7). Although the GSP management priorities emphasized infrastructure and minimal farmer cost, in a strict application of these objective functions, regulatory approaches and high-cost reservoir scenarios were represented most frequently within the Pareto-optimal set of management options.</w:t>
      </w:r>
    </w:p>
    <w:p w14:paraId="241EA7C3" w14:textId="77777777" w:rsidR="00855EC5" w:rsidRDefault="00000000">
      <w:pPr>
        <w:pStyle w:val="Heading1"/>
      </w:pPr>
      <w:bookmarkStart w:id="48" w:name="conclusion"/>
      <w:bookmarkEnd w:id="44"/>
      <w:bookmarkEnd w:id="47"/>
      <w:r>
        <w:rPr>
          <w:rStyle w:val="SectionNumber"/>
        </w:rPr>
        <w:t>6</w:t>
      </w:r>
      <w:r>
        <w:tab/>
        <w:t>Conclusion</w:t>
      </w:r>
    </w:p>
    <w:p w14:paraId="4716BCC8" w14:textId="77777777" w:rsidR="00855EC5" w:rsidRDefault="00000000">
      <w:pPr>
        <w:pStyle w:val="FirstParagraph"/>
      </w:pPr>
      <w:r>
        <w:t xml:space="preserve">In Scott Valley, like in many semi-arid rural areas, agricultural and ecological water demands are in complex competition. For this study, applying basic principles of WRSA, we assessed management scenario impact in terms of fish, farms and cost. Specifically, environmental and agricultural objective functions were used to summarize the results of 25 simulated water management scenarios (including a historical basecase), and </w:t>
      </w:r>
      <w:r>
        <w:lastRenderedPageBreak/>
        <w:t>scenarios were assigned a categorical proxy for new infrastructure costs. This allowed a quantitative exploration of trade-offs in environmental and agricultural benefit among the suite of actions proposed by stakeholders, at multiple levels of infrastructure investment.</w:t>
      </w:r>
    </w:p>
    <w:p w14:paraId="4E550F6F" w14:textId="77777777" w:rsidR="00855EC5" w:rsidRDefault="00000000">
      <w:pPr>
        <w:pStyle w:val="BodyText"/>
      </w:pPr>
      <w:r>
        <w:t>Total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is influenced by the specific flow metrics included in the environmental objective function (explored further in Discussion.)</w:t>
      </w:r>
    </w:p>
    <w:p w14:paraId="303DF9CE" w14:textId="77777777" w:rsidR="00855EC5" w:rsidRDefault="00000000">
      <w:pPr>
        <w:pStyle w:val="BodyText"/>
      </w:pPr>
      <w:r>
        <w:t>Rather than perform a randomized sampling of the full range of decision variables, this study builds on an existing public water management process (and informal transdisciplinary collaborative), taking stakeholder-proposed management options as a pre-screened, computationally-feasible set of scenarios for simulation. Among the set of options considered here, it takes a high infrastructure cost (reservoir scenarios) to escape the trade-offs defined in the regulatory scenario categories. Furthermore, although the existing GSP management priorities emphasized minimal agricultural water cuts, the Pareto-optimal set of management actions included many regulatory approaches and high-cost reservoir scenarios. We should note that the optimal set includes complete cessation of irrigated agriculture, because it yielded the maximum environmental benefit, demonstrating that not all of the scenarios identified as Pareto-optimal would be politically desirable, and in general, three objective functions cannot capture all the technical, political and economic dimensions of water management. However, this objective-function approach could be used in future stakeholder discussions to clarify group goals and make trade-offs more explicit.</w:t>
      </w:r>
    </w:p>
    <w:p w14:paraId="54A51D90" w14:textId="77777777" w:rsidR="00855EC5" w:rsidRDefault="00000000">
      <w:pPr>
        <w:pStyle w:val="BodyText"/>
      </w:pPr>
      <w:r>
        <w:t>In this case study, we demonstrate that in basins using hydrologic models for water management, a scenario design process conducted in a public collaborative setting can yield a politically-relevant set of scenarios, and stakeholder-driven objective functions can be used to clarify tradeoffs and build a management “landscape” of outcomes. Such a landscape can be a valuable tool in assessing reasonableness of any proposed management action, and in generating community buy-in, as rural semi-arid regions work to implement adaptive water management.</w:t>
      </w:r>
    </w:p>
    <w:p w14:paraId="5D6C1353" w14:textId="77777777" w:rsidR="00855EC5" w:rsidRDefault="00000000">
      <w:r>
        <w:br w:type="page"/>
      </w:r>
    </w:p>
    <w:p w14:paraId="162E3437" w14:textId="77777777" w:rsidR="00855EC5" w:rsidRDefault="00000000">
      <w:pPr>
        <w:pStyle w:val="Heading1"/>
      </w:pPr>
      <w:bookmarkStart w:id="49" w:name="acknowledgments"/>
      <w:bookmarkEnd w:id="48"/>
      <w:r>
        <w:lastRenderedPageBreak/>
        <w:t>Acknowledgments</w:t>
      </w:r>
    </w:p>
    <w:p w14:paraId="0595EC63" w14:textId="77777777" w:rsidR="00855EC5" w:rsidRDefault="00000000">
      <w:pPr>
        <w:pStyle w:val="Heading1"/>
      </w:pPr>
      <w:bookmarkStart w:id="50" w:name="references"/>
      <w:bookmarkEnd w:id="49"/>
      <w:r>
        <w:rPr>
          <w:rStyle w:val="SectionNumber"/>
        </w:rPr>
        <w:t>7</w:t>
      </w:r>
      <w:r>
        <w:tab/>
        <w:t>References</w:t>
      </w:r>
    </w:p>
    <w:p w14:paraId="639A539A" w14:textId="77777777" w:rsidR="00855EC5" w:rsidRDefault="00000000">
      <w:pPr>
        <w:pStyle w:val="Bibliography"/>
      </w:pPr>
      <w:bookmarkStart w:id="51" w:name="ref-AgrawalEtAlPREDICTING2005"/>
      <w:bookmarkStart w:id="52" w:name="refs"/>
      <w:r>
        <w:t>Agrawal, A, R S Schick, E P Bjorkstedt, R G Szerlong, M N Goslin, B C Spence, T H Williams, and K M Burnett. 2005. “PREDICTING THE POTENTIAL FOR HISTORICAL COHO, CHINOOK AND STEELHEAD HABITAT IN NORTHERN CALIFORNIA.” National Marine Fisheries Service.</w:t>
      </w:r>
    </w:p>
    <w:p w14:paraId="32861948" w14:textId="77777777" w:rsidR="00855EC5" w:rsidRDefault="00000000">
      <w:pPr>
        <w:pStyle w:val="Bibliography"/>
      </w:pPr>
      <w:bookmarkStart w:id="53" w:name="ref-BaruchEtAlMimicking2024"/>
      <w:bookmarkEnd w:id="51"/>
      <w:r>
        <w:t xml:space="preserve">Baruch, Ethan M., Sarah M. Yarnell, Theodore E. Grantham, Jessica R. Ayers, Andrew L. Rypel, and Robert A. Lusardi. 2024. “Mimicking Functional Elements of the Natural Flow Regime Promotes Native Fish Recovery in a Regulated River.” </w:t>
      </w:r>
      <w:r>
        <w:rPr>
          <w:i/>
          <w:iCs/>
        </w:rPr>
        <w:t>Ecological Applications</w:t>
      </w:r>
      <w:r>
        <w:t xml:space="preserve"> 34 (6): e3013. </w:t>
      </w:r>
      <w:hyperlink r:id="rId12">
        <w:r>
          <w:rPr>
            <w:rStyle w:val="Hyperlink"/>
          </w:rPr>
          <w:t>https://doi.org/10.1002/eap.3013</w:t>
        </w:r>
      </w:hyperlink>
      <w:r>
        <w:t>.</w:t>
      </w:r>
    </w:p>
    <w:p w14:paraId="5D84ACEE" w14:textId="77777777" w:rsidR="00855EC5" w:rsidRDefault="00000000">
      <w:pPr>
        <w:pStyle w:val="Bibliography"/>
      </w:pPr>
      <w:bookmarkStart w:id="54" w:name="ref-BorkHirokawaTrends2021"/>
      <w:bookmarkEnd w:id="53"/>
      <w:r>
        <w:t xml:space="preserve">Bork, Karrigan, and Keith Hirokawa. 2021. “Trends in Local Ecosystem Governance.” </w:t>
      </w:r>
      <w:r>
        <w:rPr>
          <w:i/>
          <w:iCs/>
        </w:rPr>
        <w:t>Frontiers in Climate</w:t>
      </w:r>
      <w:r>
        <w:t xml:space="preserve"> 3 (September): 719150. </w:t>
      </w:r>
      <w:hyperlink r:id="rId13">
        <w:r>
          <w:rPr>
            <w:rStyle w:val="Hyperlink"/>
          </w:rPr>
          <w:t>https://doi.org/10.3389/fclim.2021.719150</w:t>
        </w:r>
      </w:hyperlink>
      <w:r>
        <w:t>.</w:t>
      </w:r>
    </w:p>
    <w:p w14:paraId="45EB1521" w14:textId="77777777" w:rsidR="00855EC5" w:rsidRDefault="00000000">
      <w:pPr>
        <w:pStyle w:val="Bibliography"/>
      </w:pPr>
      <w:bookmarkStart w:id="55" w:name="ref-BrownEtAlFuture2015"/>
      <w:bookmarkEnd w:id="54"/>
      <w:r>
        <w:t xml:space="preserve">Brown, Casey M., Jay R. Lund, Ximing Cai, Patrick M. Reed, Edith A. Zagona, Avi Ostfeld, Jim Hall, Gregory W. Characklis, Winston Yu, and Levi Brekke. 2015. “The Future of Water Resources Systems Analysis: Toward a Scientific Framework for Sustainable Water Management.” </w:t>
      </w:r>
      <w:r>
        <w:rPr>
          <w:i/>
          <w:iCs/>
        </w:rPr>
        <w:t>Water Resources Research</w:t>
      </w:r>
      <w:r>
        <w:t xml:space="preserve"> 51 (8): 6110–24. </w:t>
      </w:r>
      <w:hyperlink r:id="rId14">
        <w:r>
          <w:rPr>
            <w:rStyle w:val="Hyperlink"/>
          </w:rPr>
          <w:t>https://doi.org/10.1002/2015WR017114</w:t>
        </w:r>
      </w:hyperlink>
      <w:r>
        <w:t>.</w:t>
      </w:r>
    </w:p>
    <w:p w14:paraId="669677B1" w14:textId="77777777" w:rsidR="00855EC5" w:rsidRDefault="00000000">
      <w:pPr>
        <w:pStyle w:val="Bibliography"/>
      </w:pPr>
      <w:bookmarkStart w:id="56" w:name="ref-BrownEtAlHistorical1994"/>
      <w:bookmarkEnd w:id="55"/>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5">
        <w:r>
          <w:rPr>
            <w:rStyle w:val="Hyperlink"/>
          </w:rPr>
          <w:t>https://doi.org/10.1577/1548-8675(1994)014&lt;0237:HDACSO&gt;2.3.CO;2</w:t>
        </w:r>
      </w:hyperlink>
      <w:r>
        <w:t>.</w:t>
      </w:r>
    </w:p>
    <w:p w14:paraId="357A9FF0" w14:textId="77777777" w:rsidR="00855EC5" w:rsidRDefault="00000000">
      <w:pPr>
        <w:pStyle w:val="Bibliography"/>
      </w:pPr>
      <w:bookmarkStart w:id="57" w:name="ref-CDFWInfluence2021"/>
      <w:bookmarkEnd w:id="56"/>
      <w:r>
        <w:t>California Department of Fish and Wildlife. 2021. “Appendix 2: Influence of Scott River in-Stream Flow on the Distribution and Migration Timing of Fall Chinook Salmon and Coho Salmon.”</w:t>
      </w:r>
    </w:p>
    <w:p w14:paraId="3C567D79" w14:textId="77777777" w:rsidR="00855EC5" w:rsidRDefault="00000000">
      <w:pPr>
        <w:pStyle w:val="Bibliography"/>
      </w:pPr>
      <w:bookmarkStart w:id="58" w:name="X7c5765d4bf46367820355fe718939efb3be661f"/>
      <w:bookmarkEnd w:id="57"/>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5D186924" w14:textId="77777777" w:rsidR="00855EC5" w:rsidRDefault="00000000">
      <w:pPr>
        <w:pStyle w:val="Bibliography"/>
      </w:pPr>
      <w:bookmarkStart w:id="59" w:name="ref-CADWRGroundwater2023"/>
      <w:bookmarkEnd w:id="58"/>
      <w:r>
        <w:t xml:space="preserve">———. 2023. “Groundwater Sustainability Plan Assessments: 1-005 SCOTT RIVER VALLEY.” </w:t>
      </w:r>
      <w:r>
        <w:rPr>
          <w:i/>
          <w:iCs/>
        </w:rPr>
        <w:t>SGMA Portal</w:t>
      </w:r>
      <w:r>
        <w:t>. https://water.ca.gov/Programs/Groundwater-Management/SGMA-Groundwater-Management.</w:t>
      </w:r>
    </w:p>
    <w:p w14:paraId="0C867049" w14:textId="77777777" w:rsidR="00855EC5" w:rsidRDefault="00000000">
      <w:pPr>
        <w:pStyle w:val="Bibliography"/>
      </w:pPr>
      <w:bookmarkStart w:id="60" w:name="ref-CNRAEtAlCalifornias2022"/>
      <w:bookmarkEnd w:id="59"/>
      <w:r>
        <w:t xml:space="preserve">California Natural Resources Agency, California For All, California Department of Water Resources, California Water Boards, California Environmental Protection Agency, and </w:t>
      </w:r>
      <w:r>
        <w:lastRenderedPageBreak/>
        <w:t>California Department of Food &amp; Agriculture. 2022. “CALIFORNIA’S WATER SUPPLY STRATEGY: Adapting to a Hotter, Drier Future.”</w:t>
      </w:r>
    </w:p>
    <w:p w14:paraId="1C8E4AB5" w14:textId="77777777" w:rsidR="00855EC5" w:rsidRDefault="00000000">
      <w:pPr>
        <w:pStyle w:val="Bibliography"/>
      </w:pPr>
      <w:bookmarkStart w:id="61" w:name="X6ef878f889213098c200c5acad35595649e9db2"/>
      <w:bookmarkEnd w:id="60"/>
      <w:r>
        <w:t>California State Water Resources Control Board (SWRCB). 1975. “Report on Hydrogeologic Conditions, Scott River Valley, Scott River Valley.”</w:t>
      </w:r>
    </w:p>
    <w:p w14:paraId="19D4BF59" w14:textId="77777777" w:rsidR="00855EC5" w:rsidRDefault="00000000">
      <w:pPr>
        <w:pStyle w:val="Bibliography"/>
      </w:pPr>
      <w:bookmarkStart w:id="62" w:name="ref-CardwellEtAlDesigning1996"/>
      <w:bookmarkEnd w:id="61"/>
      <w:r>
        <w:t xml:space="preserve">Cardwell, Hal, Henriette I. Jager, and Michael J. Sale. 1996. “Designing Instream Flows to Satisfy Fish and Human Water Needs.” </w:t>
      </w:r>
      <w:r>
        <w:rPr>
          <w:i/>
          <w:iCs/>
        </w:rPr>
        <w:t>Journal of Water Resources Planning and Management</w:t>
      </w:r>
      <w:r>
        <w:t xml:space="preserve"> 122 (5): 356–63. </w:t>
      </w:r>
      <w:hyperlink r:id="rId16">
        <w:r>
          <w:rPr>
            <w:rStyle w:val="Hyperlink"/>
          </w:rPr>
          <w:t>https://doi.org/10.1061/(ASCE)0733-9496(1996)122:5(356)</w:t>
        </w:r>
      </w:hyperlink>
      <w:r>
        <w:t>.</w:t>
      </w:r>
    </w:p>
    <w:p w14:paraId="11BD78A6" w14:textId="77777777" w:rsidR="00855EC5" w:rsidRDefault="00000000">
      <w:pPr>
        <w:pStyle w:val="Bibliography"/>
      </w:pPr>
      <w:bookmarkStart w:id="63" w:name="ref-CarpenterAccurately2024"/>
      <w:bookmarkEnd w:id="62"/>
      <w:r>
        <w:t>Carpenter, Cameron. 2024. “Accurately Identifying Functional Flow Metrics in Flashy and Highly Altered Stream Systems.” Master’s thesis, University of California, Davis.</w:t>
      </w:r>
    </w:p>
    <w:p w14:paraId="2CCA3E70" w14:textId="77777777" w:rsidR="00855EC5" w:rsidRDefault="00000000">
      <w:pPr>
        <w:pStyle w:val="Bibliography"/>
      </w:pPr>
      <w:bookmarkStart w:id="64" w:name="ref-CarterSheafferAlfalfa1983"/>
      <w:bookmarkEnd w:id="63"/>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17">
        <w:r>
          <w:rPr>
            <w:rStyle w:val="Hyperlink"/>
          </w:rPr>
          <w:t>https://doi.org/10.2135/cropsci1983.0011183X002300040016x</w:t>
        </w:r>
      </w:hyperlink>
      <w:r>
        <w:t>.</w:t>
      </w:r>
    </w:p>
    <w:p w14:paraId="65CA2920" w14:textId="77777777" w:rsidR="00855EC5" w:rsidRDefault="00000000">
      <w:pPr>
        <w:pStyle w:val="Bibliography"/>
      </w:pPr>
      <w:bookmarkStart w:id="65" w:name="ref-CohonMarksMultiobjective1973"/>
      <w:bookmarkEnd w:id="64"/>
      <w:r>
        <w:t xml:space="preserve">Cohon, Jared L., and David H. Marks. 1973. “Multiobjective Screening Models and Water Resource Investment.” </w:t>
      </w:r>
      <w:r>
        <w:rPr>
          <w:i/>
          <w:iCs/>
        </w:rPr>
        <w:t>Water Resources Research</w:t>
      </w:r>
      <w:r>
        <w:t xml:space="preserve"> 9 (4): 826–36. </w:t>
      </w:r>
      <w:hyperlink r:id="rId18">
        <w:r>
          <w:rPr>
            <w:rStyle w:val="Hyperlink"/>
          </w:rPr>
          <w:t>https://doi.org/10.1029/WR009i004p00826</w:t>
        </w:r>
      </w:hyperlink>
      <w:r>
        <w:t>.</w:t>
      </w:r>
    </w:p>
    <w:p w14:paraId="179893AF" w14:textId="77777777" w:rsidR="00855EC5" w:rsidRDefault="00000000">
      <w:pPr>
        <w:pStyle w:val="Bibliography"/>
      </w:pPr>
      <w:bookmarkStart w:id="66" w:name="ref-CohonMarksReview1975"/>
      <w:bookmarkEnd w:id="65"/>
      <w:r>
        <w:t xml:space="preserve">———. 1975. “A Review and Evaluation of Multiobjective Programing Techniques.” </w:t>
      </w:r>
      <w:r>
        <w:rPr>
          <w:i/>
          <w:iCs/>
        </w:rPr>
        <w:t>Water Resources Research</w:t>
      </w:r>
      <w:r>
        <w:t xml:space="preserve"> 11 (2): 208–20. </w:t>
      </w:r>
      <w:hyperlink r:id="rId19">
        <w:r>
          <w:rPr>
            <w:rStyle w:val="Hyperlink"/>
          </w:rPr>
          <w:t>https://doi.org/10.1029/WR011i002p00208</w:t>
        </w:r>
      </w:hyperlink>
      <w:r>
        <w:t>.</w:t>
      </w:r>
    </w:p>
    <w:p w14:paraId="536658FF" w14:textId="77777777" w:rsidR="00855EC5" w:rsidRDefault="00000000">
      <w:pPr>
        <w:pStyle w:val="Bibliography"/>
      </w:pPr>
      <w:bookmarkStart w:id="67" w:name="ref-DiBaldassarreEtAlSociohydrology2019"/>
      <w:bookmarkEnd w:id="66"/>
      <w:r>
        <w:t xml:space="preserve">Di Baldassarre, Giuliano, Murugesu Sivapalan, Maria Rusca, Christophe Cudennec, Margaret Garcia, Heidi Kreibich, Megan Konar, et al. 2019. “Sociohydrology: Scientific Challenges in Addressing the Sustainable Development Goals.” </w:t>
      </w:r>
      <w:r>
        <w:rPr>
          <w:i/>
          <w:iCs/>
        </w:rPr>
        <w:t>Water Resources Research</w:t>
      </w:r>
      <w:r>
        <w:t xml:space="preserve"> 55 (8): 6327–55. </w:t>
      </w:r>
      <w:hyperlink r:id="rId20">
        <w:r>
          <w:rPr>
            <w:rStyle w:val="Hyperlink"/>
          </w:rPr>
          <w:t>https://doi.org/10.1029/2018WR023901</w:t>
        </w:r>
      </w:hyperlink>
      <w:r>
        <w:t>.</w:t>
      </w:r>
    </w:p>
    <w:p w14:paraId="1870FFDD" w14:textId="77777777" w:rsidR="00855EC5" w:rsidRDefault="00000000">
      <w:pPr>
        <w:pStyle w:val="Bibliography"/>
      </w:pPr>
      <w:bookmarkStart w:id="68" w:name="ref-DietzEtAlStruggle2003"/>
      <w:bookmarkEnd w:id="67"/>
      <w:r>
        <w:t xml:space="preserve">Dietz, Thomas, Elinor Ostrom, and Paul C. Stern. 2003. “The Struggle to Govern the Commons.” </w:t>
      </w:r>
      <w:r>
        <w:rPr>
          <w:i/>
          <w:iCs/>
        </w:rPr>
        <w:t>Science</w:t>
      </w:r>
      <w:r>
        <w:t xml:space="preserve"> 302 (5652): 1907–12. </w:t>
      </w:r>
      <w:hyperlink r:id="rId21">
        <w:r>
          <w:rPr>
            <w:rStyle w:val="Hyperlink"/>
          </w:rPr>
          <w:t>https://doi.org/10.1126/science.1091015</w:t>
        </w:r>
      </w:hyperlink>
      <w:r>
        <w:t>.</w:t>
      </w:r>
    </w:p>
    <w:p w14:paraId="421470DD" w14:textId="77777777" w:rsidR="00855EC5" w:rsidRDefault="00000000">
      <w:pPr>
        <w:pStyle w:val="Bibliography"/>
      </w:pPr>
      <w:bookmarkStart w:id="69" w:name="ref-FogliaEtAlScott2013"/>
      <w:bookmarkEnd w:id="68"/>
      <w:r>
        <w:t>Foglia, Laura, Alison McNally, Courtney Hall, Lauren Ledesma, Ryan Hines, and Thomas Harter. 2013. “Scott Valley Integrated Hydrologic Model: Data Collection, Analysis, and Water Budget.” Davis, CA: North Coast Regional Water Quality Control Board.</w:t>
      </w:r>
    </w:p>
    <w:p w14:paraId="253AB53D" w14:textId="77777777" w:rsidR="00855EC5" w:rsidRDefault="00000000">
      <w:pPr>
        <w:pStyle w:val="Bibliography"/>
      </w:pPr>
      <w:bookmarkStart w:id="70" w:name="Xff198d1a9510a26c6b6a97c9924d7fdc8be1418"/>
      <w:bookmarkEnd w:id="69"/>
      <w:r>
        <w:t>Fox Canyon Groundwater Management Agency. 2019. “Groundwater Sustainability Plan for the Oxnard Subbasin.” Ventura, CA: Fox Canyon Groundwater Manegement Agency.</w:t>
      </w:r>
    </w:p>
    <w:p w14:paraId="5847AEAA" w14:textId="77777777" w:rsidR="00855EC5" w:rsidRDefault="00000000">
      <w:pPr>
        <w:pStyle w:val="Bibliography"/>
      </w:pPr>
      <w:bookmarkStart w:id="71" w:name="ref-FreemanWICKED2000"/>
      <w:bookmarkEnd w:id="70"/>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22">
        <w:r>
          <w:rPr>
            <w:rStyle w:val="Hyperlink"/>
          </w:rPr>
          <w:t>https://doi.org/10.1111/j.1752-1688.2000.tb04280.x</w:t>
        </w:r>
      </w:hyperlink>
      <w:r>
        <w:t>.</w:t>
      </w:r>
    </w:p>
    <w:p w14:paraId="510490DD" w14:textId="77777777" w:rsidR="00855EC5" w:rsidRDefault="00000000">
      <w:pPr>
        <w:pStyle w:val="Bibliography"/>
      </w:pPr>
      <w:bookmarkStart w:id="72" w:name="ref-GorelickReview1983"/>
      <w:bookmarkEnd w:id="71"/>
      <w:r>
        <w:t xml:space="preserve">Gorelick, Steven M. 1983. “A Review of Distributed Parameter Groundwater Management Modeling Methods.” </w:t>
      </w:r>
      <w:r>
        <w:rPr>
          <w:i/>
          <w:iCs/>
        </w:rPr>
        <w:t>Water Resources Research</w:t>
      </w:r>
      <w:r>
        <w:t xml:space="preserve"> 19 (2): 305–19. </w:t>
      </w:r>
      <w:hyperlink r:id="rId23">
        <w:r>
          <w:rPr>
            <w:rStyle w:val="Hyperlink"/>
          </w:rPr>
          <w:t>https://doi.org/10.1029/WR019i002p00305</w:t>
        </w:r>
      </w:hyperlink>
      <w:r>
        <w:t>.</w:t>
      </w:r>
    </w:p>
    <w:p w14:paraId="373657B6" w14:textId="77777777" w:rsidR="00855EC5" w:rsidRDefault="00000000">
      <w:pPr>
        <w:pStyle w:val="Bibliography"/>
      </w:pPr>
      <w:bookmarkStart w:id="73" w:name="ref-HarterHinesSCOTT2008"/>
      <w:bookmarkEnd w:id="72"/>
      <w:r>
        <w:lastRenderedPageBreak/>
        <w:t>Harter, Thomas, and Ryan Hines. 2008. “SCOTT VALLEY COMMUNITY GROUNDWATER STUDY PLAN.” University of California, Davis.</w:t>
      </w:r>
    </w:p>
    <w:p w14:paraId="3ACFAA66" w14:textId="77777777" w:rsidR="00855EC5" w:rsidRDefault="00000000">
      <w:pPr>
        <w:pStyle w:val="Bibliography"/>
      </w:pPr>
      <w:bookmarkStart w:id="74" w:name="ref-HerzbergInstitutional2020"/>
      <w:bookmarkEnd w:id="73"/>
      <w:r>
        <w:t xml:space="preserve">Herzberg, Roberta Q. 2020. “Institutional Diversity, Self- Governance, and Tragedy Diverted.” </w:t>
      </w:r>
      <w:r>
        <w:rPr>
          <w:i/>
          <w:iCs/>
        </w:rPr>
        <w:t>The Independent Review</w:t>
      </w:r>
      <w:r>
        <w:t xml:space="preserve"> 24 (4): 627–36. </w:t>
      </w:r>
      <w:hyperlink r:id="rId24">
        <w:r>
          <w:rPr>
            <w:rStyle w:val="Hyperlink"/>
          </w:rPr>
          <w:t>https://www.jstor.org/stable/10.2307/48583528</w:t>
        </w:r>
      </w:hyperlink>
      <w:r>
        <w:t>.</w:t>
      </w:r>
    </w:p>
    <w:p w14:paraId="4BC8D742" w14:textId="77777777" w:rsidR="00855EC5" w:rsidRDefault="00000000">
      <w:pPr>
        <w:pStyle w:val="Bibliography"/>
      </w:pPr>
      <w:bookmarkStart w:id="75" w:name="ref-JagerRoseDesigning2003"/>
      <w:bookmarkEnd w:id="74"/>
      <w:r>
        <w:t xml:space="preserve">Jager, Henriette I., and Kenneth A. Rose. 2003. “Designing Optimal Flow Patterns for Fall Chinook Salmon in a Central Valley, California, River.” </w:t>
      </w:r>
      <w:r>
        <w:rPr>
          <w:i/>
          <w:iCs/>
        </w:rPr>
        <w:t>North American Journal of Fisheries Management</w:t>
      </w:r>
      <w:r>
        <w:t xml:space="preserve"> 23 (1): 1–21. </w:t>
      </w:r>
      <w:hyperlink r:id="rId25">
        <w:r>
          <w:rPr>
            <w:rStyle w:val="Hyperlink"/>
          </w:rPr>
          <w:t>https://doi.org/10.1577/1548-8675(2003)023&lt;0001:DOFPFF&gt;2.0.CO;2</w:t>
        </w:r>
      </w:hyperlink>
      <w:r>
        <w:t>.</w:t>
      </w:r>
    </w:p>
    <w:p w14:paraId="72F6CE66" w14:textId="77777777" w:rsidR="00855EC5" w:rsidRDefault="00000000">
      <w:pPr>
        <w:pStyle w:val="Bibliography"/>
      </w:pPr>
      <w:bookmarkStart w:id="76" w:name="ref-KapelanEtAlMultiobjective2005"/>
      <w:bookmarkEnd w:id="75"/>
      <w:r>
        <w:t xml:space="preserve">Kapelan, Zoran S., Dragan A. Savic, and Godfrey A. Walters. 2005. “Multiobjective Design of Water Distribution Systems Under Uncertainty.” </w:t>
      </w:r>
      <w:r>
        <w:rPr>
          <w:i/>
          <w:iCs/>
        </w:rPr>
        <w:t>Water Resources Research</w:t>
      </w:r>
      <w:r>
        <w:t xml:space="preserve"> 41 (11): 2004WR003787. </w:t>
      </w:r>
      <w:hyperlink r:id="rId26">
        <w:r>
          <w:rPr>
            <w:rStyle w:val="Hyperlink"/>
          </w:rPr>
          <w:t>https://doi.org/10.1029/2004WR003787</w:t>
        </w:r>
      </w:hyperlink>
      <w:r>
        <w:t>.</w:t>
      </w:r>
    </w:p>
    <w:p w14:paraId="01590D94" w14:textId="77777777" w:rsidR="00855EC5" w:rsidRDefault="00000000">
      <w:pPr>
        <w:pStyle w:val="Bibliography"/>
      </w:pPr>
      <w:bookmarkStart w:id="77" w:name="ref-KnappEtAlPlacing2019"/>
      <w:bookmarkEnd w:id="76"/>
      <w:r>
        <w:t xml:space="preserve">Knapp, Corrine Nöel, Robin S. Reid, María E. Fernández-Giménez, Julia A. Klein, and Kathleen A. Galvin. 2019. “Placing Transdisciplinarity in Context: A Review of Approaches to Connect Scholars, Society and Action.” </w:t>
      </w:r>
      <w:r>
        <w:rPr>
          <w:i/>
          <w:iCs/>
        </w:rPr>
        <w:t>Sustainability</w:t>
      </w:r>
      <w:r>
        <w:t xml:space="preserve"> 11 (18): 4899. </w:t>
      </w:r>
      <w:hyperlink r:id="rId27">
        <w:r>
          <w:rPr>
            <w:rStyle w:val="Hyperlink"/>
          </w:rPr>
          <w:t>https://doi.org/10.3390/su11184899</w:t>
        </w:r>
      </w:hyperlink>
      <w:r>
        <w:t>.</w:t>
      </w:r>
    </w:p>
    <w:p w14:paraId="506A973E" w14:textId="77777777" w:rsidR="00855EC5" w:rsidRDefault="00000000">
      <w:pPr>
        <w:pStyle w:val="Bibliography"/>
      </w:pPr>
      <w:bookmarkStart w:id="78" w:name="ref-KnechtleGiudice20192020"/>
      <w:bookmarkEnd w:id="77"/>
      <w:r>
        <w:t>Knechtle, Morgan, and Domenic Giudice. 2020. “2019 SCOTT RIVER SALMON STUDIES FINAL REPORT.” California Department of Fish and Wildlife.</w:t>
      </w:r>
    </w:p>
    <w:p w14:paraId="2439135F" w14:textId="77777777" w:rsidR="00855EC5" w:rsidRDefault="00000000">
      <w:pPr>
        <w:pStyle w:val="Bibliography"/>
      </w:pPr>
      <w:bookmarkStart w:id="79" w:name="ref-KoubaEtAlWatershedSpecific2025"/>
      <w:bookmarkEnd w:id="78"/>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28">
        <w:r>
          <w:rPr>
            <w:rStyle w:val="Hyperlink"/>
          </w:rPr>
          <w:t>https://doi.org/10.1002/eco.70098</w:t>
        </w:r>
      </w:hyperlink>
      <w:r>
        <w:t>.</w:t>
      </w:r>
    </w:p>
    <w:p w14:paraId="3CA8ED64" w14:textId="77777777" w:rsidR="00855EC5" w:rsidRDefault="00000000">
      <w:pPr>
        <w:pStyle w:val="Bibliography"/>
      </w:pPr>
      <w:bookmarkStart w:id="80" w:name="ref-LabadieOptimal2004"/>
      <w:bookmarkEnd w:id="79"/>
      <w:r>
        <w:t xml:space="preserve">Labadie, John W. 2004. “Optimal Operation of Multireservoir Systems: State-of-the-Art Review.” </w:t>
      </w:r>
      <w:r>
        <w:rPr>
          <w:i/>
          <w:iCs/>
        </w:rPr>
        <w:t>Journal of Water Resources Planning and Management</w:t>
      </w:r>
      <w:r>
        <w:t xml:space="preserve"> 130 (2): 93–111. </w:t>
      </w:r>
      <w:hyperlink r:id="rId29">
        <w:r>
          <w:rPr>
            <w:rStyle w:val="Hyperlink"/>
          </w:rPr>
          <w:t>https://doi.org/10.1061/(ASCE)0733-9496(2004)130:2(93)</w:t>
        </w:r>
      </w:hyperlink>
      <w:r>
        <w:t>.</w:t>
      </w:r>
    </w:p>
    <w:p w14:paraId="37A7F2EA" w14:textId="77777777" w:rsidR="00855EC5" w:rsidRDefault="00000000">
      <w:pPr>
        <w:pStyle w:val="Bibliography"/>
      </w:pPr>
      <w:bookmarkStart w:id="81" w:name="ref-MaassEtAl11962"/>
      <w:bookmarkEnd w:id="80"/>
      <w:r>
        <w:t xml:space="preserve">Maass, Arthur, Maynard M. Hufschmidt, Robert Dorfman, Harold A. Thomas Jr., Stephen A. Marglin, and Gordon Maskew Fair. 1962. </w:t>
      </w:r>
      <w:r>
        <w:rPr>
          <w:i/>
          <w:iCs/>
        </w:rPr>
        <w:t>Design of Water-Resource Systems: New Techniques for Relating Economic Objectives, Engineering Analysis, and Governmental Planning</w:t>
      </w:r>
      <w:r>
        <w:t xml:space="preserve">. Harvard University Press. </w:t>
      </w:r>
      <w:hyperlink r:id="rId30">
        <w:r>
          <w:rPr>
            <w:rStyle w:val="Hyperlink"/>
          </w:rPr>
          <w:t>https://doi.org/10.4159/harvard.9780674421042.intro</w:t>
        </w:r>
      </w:hyperlink>
      <w:r>
        <w:t>.</w:t>
      </w:r>
    </w:p>
    <w:p w14:paraId="411ECFD4" w14:textId="77777777" w:rsidR="00855EC5" w:rsidRDefault="00000000">
      <w:pPr>
        <w:pStyle w:val="Bibliography"/>
      </w:pPr>
      <w:bookmarkStart w:id="82" w:name="ref-MackGeology1958"/>
      <w:bookmarkEnd w:id="81"/>
      <w:r>
        <w:t xml:space="preserve">Mack, Seymour. 1958. “Geology and Ground-Water Features of Scott Valley, Siskiyou County, California.” Geological {{Survey Water-Supply Paper}} 1462. United States Geological Survey. </w:t>
      </w:r>
      <w:hyperlink r:id="rId31">
        <w:r>
          <w:rPr>
            <w:rStyle w:val="Hyperlink"/>
          </w:rPr>
          <w:t>https://doi.org/10.3133/wsp1462</w:t>
        </w:r>
      </w:hyperlink>
      <w:r>
        <w:t>.</w:t>
      </w:r>
    </w:p>
    <w:p w14:paraId="5617C32B" w14:textId="77777777" w:rsidR="00855EC5" w:rsidRDefault="00000000">
      <w:pPr>
        <w:pStyle w:val="Bibliography"/>
      </w:pPr>
      <w:bookmarkStart w:id="83" w:name="ref-MagranetScott2015a"/>
      <w:bookmarkEnd w:id="82"/>
      <w:r>
        <w:t>Magranet, Lindsay. 2015. “Scott River Fall Chinook Spawning Ground Surveys.” Etna, CA: Siskiyou Resource Conservation District.</w:t>
      </w:r>
    </w:p>
    <w:p w14:paraId="68A72993" w14:textId="77777777" w:rsidR="00855EC5" w:rsidRDefault="00000000">
      <w:pPr>
        <w:pStyle w:val="Bibliography"/>
      </w:pPr>
      <w:bookmarkStart w:id="84" w:name="ref-MagranetScott2017"/>
      <w:bookmarkEnd w:id="83"/>
      <w:r>
        <w:t>———. 2017. “Scott River Fall Chinook Spawning Ground Surveys.” Etna, CA: Siskiyou Resource Conservation District.</w:t>
      </w:r>
    </w:p>
    <w:p w14:paraId="6FF2EE40" w14:textId="77777777" w:rsidR="00855EC5" w:rsidRDefault="00000000">
      <w:pPr>
        <w:pStyle w:val="Bibliography"/>
      </w:pPr>
      <w:bookmarkStart w:id="85" w:name="ref-MagranetScott2018"/>
      <w:bookmarkEnd w:id="84"/>
      <w:r>
        <w:lastRenderedPageBreak/>
        <w:t>———. 2018. “Scott River Fall Chinook Spawning Ground Surveys 2017 Season.” Etna, CA: Siskiyou Resource Conservation District.</w:t>
      </w:r>
    </w:p>
    <w:p w14:paraId="55AB0522" w14:textId="77777777" w:rsidR="00855EC5" w:rsidRDefault="00000000">
      <w:pPr>
        <w:pStyle w:val="Bibliography"/>
      </w:pPr>
      <w:bookmarkStart w:id="86" w:name="ref-MagranetYokelScott2017"/>
      <w:bookmarkEnd w:id="85"/>
      <w:r>
        <w:t>Magranet, Lindsay, and Erich Yokel. 2017. “Scott River Adult Coho Spawning Ground Surveys 2016-2017 Season.” Etna, CA: Siskiyou Resource Conservation District.</w:t>
      </w:r>
    </w:p>
    <w:p w14:paraId="1CF0DB2C" w14:textId="77777777" w:rsidR="00855EC5" w:rsidRDefault="00000000">
      <w:pPr>
        <w:pStyle w:val="Bibliography"/>
      </w:pPr>
      <w:bookmarkStart w:id="87" w:name="ref-MahoneyRoodStreamflow1998"/>
      <w:bookmarkEnd w:id="86"/>
      <w:r>
        <w:t xml:space="preserve">Mahoney, John M., and Stewart B. Rood. 1998. “Streamflow Requirements for Cottonwood Seedling Recruitment—An Integrative Model.” </w:t>
      </w:r>
      <w:r>
        <w:rPr>
          <w:i/>
          <w:iCs/>
        </w:rPr>
        <w:t>Wetlands</w:t>
      </w:r>
      <w:r>
        <w:t xml:space="preserve"> 18 (4): 634–45. </w:t>
      </w:r>
      <w:hyperlink r:id="rId32">
        <w:r>
          <w:rPr>
            <w:rStyle w:val="Hyperlink"/>
          </w:rPr>
          <w:t>https://doi.org/10.1007/BF03161678</w:t>
        </w:r>
      </w:hyperlink>
      <w:r>
        <w:t>.</w:t>
      </w:r>
    </w:p>
    <w:p w14:paraId="5F14D716" w14:textId="77777777" w:rsidR="00855EC5" w:rsidRDefault="00000000">
      <w:pPr>
        <w:pStyle w:val="Bibliography"/>
      </w:pPr>
      <w:bookmarkStart w:id="88" w:name="ref-McMahonHabitat1983"/>
      <w:bookmarkEnd w:id="87"/>
      <w:r>
        <w:t>McMahon, Thomas E. 1983. “Habitat Suitability Index Models: Coho Salmon.” FWS/OBS-82/10.49. U.S. Fish and Wildlife Service.</w:t>
      </w:r>
    </w:p>
    <w:p w14:paraId="3D8C585C" w14:textId="77777777" w:rsidR="00855EC5" w:rsidRDefault="00000000">
      <w:pPr>
        <w:pStyle w:val="Bibliography"/>
      </w:pPr>
      <w:bookmarkStart w:id="89" w:name="ref-MillsDoakKeystoneSpecies1993"/>
      <w:bookmarkEnd w:id="88"/>
      <w:r>
        <w:t xml:space="preserve">Mills, L. Scott, and Daniel F. Doak. 1993. “The Keystone-Species Concept in Ecology and Conservation.” </w:t>
      </w:r>
      <w:r>
        <w:rPr>
          <w:i/>
          <w:iCs/>
        </w:rPr>
        <w:t>BioScience</w:t>
      </w:r>
      <w:r>
        <w:t xml:space="preserve"> 43 (4): 219–24. </w:t>
      </w:r>
      <w:hyperlink r:id="rId33">
        <w:r>
          <w:rPr>
            <w:rStyle w:val="Hyperlink"/>
          </w:rPr>
          <w:t>https://doi.org/10.2307/1312122</w:t>
        </w:r>
      </w:hyperlink>
      <w:r>
        <w:t>.</w:t>
      </w:r>
    </w:p>
    <w:p w14:paraId="4C269471" w14:textId="77777777" w:rsidR="00855EC5" w:rsidRDefault="00000000">
      <w:pPr>
        <w:pStyle w:val="Bibliography"/>
      </w:pPr>
      <w:bookmarkStart w:id="90" w:name="ref-MonarchiEtAlInteractive1973"/>
      <w:bookmarkEnd w:id="89"/>
      <w:r>
        <w:t xml:space="preserve">Monarchi, David E., Chester C. Kisiel, and Lucien Duckstein. 1973. “Interactive Multiobjective Programing in Water Resources: A Case Study.” </w:t>
      </w:r>
      <w:r>
        <w:rPr>
          <w:i/>
          <w:iCs/>
        </w:rPr>
        <w:t>Water Resources Research</w:t>
      </w:r>
      <w:r>
        <w:t xml:space="preserve"> 9 (4): 837–50. </w:t>
      </w:r>
      <w:hyperlink r:id="rId34">
        <w:r>
          <w:rPr>
            <w:rStyle w:val="Hyperlink"/>
          </w:rPr>
          <w:t>https://doi.org/10.1029/WR009i004p00837</w:t>
        </w:r>
      </w:hyperlink>
      <w:r>
        <w:t>.</w:t>
      </w:r>
    </w:p>
    <w:p w14:paraId="7F1996C7" w14:textId="77777777" w:rsidR="00855EC5" w:rsidRDefault="00000000">
      <w:pPr>
        <w:pStyle w:val="Bibliography"/>
      </w:pPr>
      <w:bookmarkStart w:id="91" w:name="ref-MoyleCoho2002"/>
      <w:bookmarkEnd w:id="90"/>
      <w:r>
        <w:t xml:space="preserve">Moyle, Peter B. 2002. “Coho Salmon, Oncorhynchus Kisutch (Walbaum).” In </w:t>
      </w:r>
      <w:r>
        <w:rPr>
          <w:i/>
          <w:iCs/>
        </w:rPr>
        <w:t>Inland Fishes of California</w:t>
      </w:r>
      <w:r>
        <w:t>, 245–51. University of California Press.</w:t>
      </w:r>
    </w:p>
    <w:p w14:paraId="13BA476F" w14:textId="77777777" w:rsidR="00855EC5" w:rsidRDefault="00000000">
      <w:pPr>
        <w:pStyle w:val="Bibliography"/>
      </w:pPr>
      <w:bookmarkStart w:id="92" w:name="ref-NordgrenEtAlSupporting2016"/>
      <w:bookmarkEnd w:id="91"/>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35">
        <w:r>
          <w:rPr>
            <w:rStyle w:val="Hyperlink"/>
          </w:rPr>
          <w:t>https://doi.org/10.1016/j.envsci.2016.05.006</w:t>
        </w:r>
      </w:hyperlink>
      <w:r>
        <w:t>.</w:t>
      </w:r>
    </w:p>
    <w:p w14:paraId="6C53199B" w14:textId="77777777" w:rsidR="00855EC5" w:rsidRDefault="00000000">
      <w:pPr>
        <w:pStyle w:val="Bibliography"/>
      </w:pPr>
      <w:bookmarkStart w:id="93" w:name="ref-OstromGoverning2015"/>
      <w:bookmarkEnd w:id="92"/>
      <w:r>
        <w:t xml:space="preserve">Ostrom, Elinor. 2015. </w:t>
      </w:r>
      <w:r>
        <w:rPr>
          <w:i/>
          <w:iCs/>
        </w:rPr>
        <w:t>Governing the Commons: The Evolution of Institutions for Collective Action</w:t>
      </w:r>
      <w:r>
        <w:t>. Canto Classics. Cambridge: Cambridge University Press.</w:t>
      </w:r>
    </w:p>
    <w:p w14:paraId="4B0A368F" w14:textId="77777777" w:rsidR="00855EC5" w:rsidRDefault="00000000">
      <w:pPr>
        <w:pStyle w:val="Bibliography"/>
      </w:pPr>
      <w:bookmarkStart w:id="94" w:name="ref-ParetoCours1896"/>
      <w:bookmarkEnd w:id="93"/>
      <w:r>
        <w:t xml:space="preserve">Pareto, Vilfredo. 1896. </w:t>
      </w:r>
      <w:r>
        <w:rPr>
          <w:i/>
          <w:iCs/>
        </w:rPr>
        <w:t>Cours D’Economie Politique</w:t>
      </w:r>
      <w:r>
        <w:t>. Lausanne.</w:t>
      </w:r>
    </w:p>
    <w:p w14:paraId="61DBF17A" w14:textId="77777777" w:rsidR="00855EC5" w:rsidRDefault="00000000">
      <w:pPr>
        <w:pStyle w:val="Bibliography"/>
      </w:pPr>
      <w:bookmarkStart w:id="95" w:name="ref-PattersonEtAlHydrologic2020"/>
      <w:bookmarkEnd w:id="94"/>
      <w:r>
        <w:t xml:space="preserve">Patterson, Noelle K., Belize A. Lane, Samuel Sandoval-Solis, Gregory B. Pasternack, Sarah M. Yarnell, and Yexuan Qiu. 2020. “A Hydrologic Feature Detection Algorithm to Quantify Seasonal Components of Flow Regimes.” </w:t>
      </w:r>
      <w:r>
        <w:rPr>
          <w:i/>
          <w:iCs/>
        </w:rPr>
        <w:t>Journal of Hydrology</w:t>
      </w:r>
      <w:r>
        <w:t xml:space="preserve"> 585 (June): 124787. </w:t>
      </w:r>
      <w:hyperlink r:id="rId36">
        <w:r>
          <w:rPr>
            <w:rStyle w:val="Hyperlink"/>
          </w:rPr>
          <w:t>https://doi.org/10.1016/j.jhydrol.2020.124787</w:t>
        </w:r>
      </w:hyperlink>
      <w:r>
        <w:t>.</w:t>
      </w:r>
    </w:p>
    <w:p w14:paraId="4DCBB3E1" w14:textId="77777777" w:rsidR="00855EC5" w:rsidRDefault="00000000">
      <w:pPr>
        <w:pStyle w:val="Bibliography"/>
      </w:pPr>
      <w:bookmarkStart w:id="96" w:name="ref-PoffEtAlNatural1997"/>
      <w:bookmarkEnd w:id="95"/>
      <w:r>
        <w:t xml:space="preserve">Poff, N. LeRoy, J. David Allan, Mark B. Bain, James R. Karr, Karen L. Prestegaard, Brian D. Richter, Richard E. Sparks, and Julie C. Stromberg. 1997. “The Natural Flow Regime.” </w:t>
      </w:r>
      <w:r>
        <w:rPr>
          <w:i/>
          <w:iCs/>
        </w:rPr>
        <w:t>BioScience</w:t>
      </w:r>
      <w:r>
        <w:t xml:space="preserve"> 47 (11): 769–84. </w:t>
      </w:r>
      <w:hyperlink r:id="rId37">
        <w:r>
          <w:rPr>
            <w:rStyle w:val="Hyperlink"/>
          </w:rPr>
          <w:t>https://doi.org/10.2307/1313099</w:t>
        </w:r>
      </w:hyperlink>
      <w:r>
        <w:t>.</w:t>
      </w:r>
    </w:p>
    <w:p w14:paraId="1AC0A16C" w14:textId="77777777" w:rsidR="00855EC5" w:rsidRDefault="00000000">
      <w:pPr>
        <w:pStyle w:val="Bibliography"/>
      </w:pPr>
      <w:bookmarkStart w:id="97" w:name="ref-ReussCoping1992"/>
      <w:bookmarkEnd w:id="96"/>
      <w:r>
        <w:t xml:space="preserve">Reuss, Martin. 1992. “Coping With Uncertainty: Social Scientists, Engineers, and Federal Water Resources Planning.” </w:t>
      </w:r>
      <w:r>
        <w:rPr>
          <w:i/>
          <w:iCs/>
        </w:rPr>
        <w:t>Natural Resources Journal</w:t>
      </w:r>
      <w:r>
        <w:t xml:space="preserve"> 32 (1): 101–36.</w:t>
      </w:r>
    </w:p>
    <w:p w14:paraId="6AFD682D" w14:textId="77777777" w:rsidR="00855EC5" w:rsidRDefault="00000000">
      <w:pPr>
        <w:pStyle w:val="Bibliography"/>
      </w:pPr>
      <w:bookmarkStart w:id="98" w:name="ref-RichterEtAlMethod1996"/>
      <w:bookmarkEnd w:id="97"/>
      <w:r>
        <w:t xml:space="preserve">Richter, Brian D., Jeffrey V. Baumgartner, Jennifer Powell, and David P. Braun. 1996. “A Method for Assessing Hydrologic Alteration Within Ecosystems.” </w:t>
      </w:r>
      <w:r>
        <w:rPr>
          <w:i/>
          <w:iCs/>
        </w:rPr>
        <w:t>Conservation Biology</w:t>
      </w:r>
      <w:r>
        <w:t xml:space="preserve"> 10 (4): 1163–74. </w:t>
      </w:r>
      <w:hyperlink r:id="rId38">
        <w:r>
          <w:rPr>
            <w:rStyle w:val="Hyperlink"/>
          </w:rPr>
          <w:t>https://doi.org/10.1046/j.1523-1739.1996.10041163.x</w:t>
        </w:r>
      </w:hyperlink>
      <w:r>
        <w:t>.</w:t>
      </w:r>
    </w:p>
    <w:p w14:paraId="16926C2E" w14:textId="77777777" w:rsidR="00855EC5" w:rsidRDefault="00000000">
      <w:pPr>
        <w:pStyle w:val="Bibliography"/>
      </w:pPr>
      <w:bookmarkStart w:id="99" w:name="ref-RodellEtAlEmerging2018"/>
      <w:bookmarkEnd w:id="98"/>
      <w:r>
        <w:lastRenderedPageBreak/>
        <w:t xml:space="preserve">Rodell, M., J. S. Famiglietti, D. N. Wiese, J. T. Reager, H. K. Beaudoing, F. W. Landerer, and M.-H. Lo. 2018. “Emerging Trends in Global Freshwater Availability.” </w:t>
      </w:r>
      <w:r>
        <w:rPr>
          <w:i/>
          <w:iCs/>
        </w:rPr>
        <w:t>Nature</w:t>
      </w:r>
      <w:r>
        <w:t xml:space="preserve"> 557 (7707): 651–59. </w:t>
      </w:r>
      <w:hyperlink r:id="rId39">
        <w:r>
          <w:rPr>
            <w:rStyle w:val="Hyperlink"/>
          </w:rPr>
          <w:t>https://doi.org/10.1038/s41586-018-0123-1</w:t>
        </w:r>
      </w:hyperlink>
      <w:r>
        <w:t>.</w:t>
      </w:r>
    </w:p>
    <w:p w14:paraId="0A4CCE7F" w14:textId="77777777" w:rsidR="00855EC5" w:rsidRDefault="00000000">
      <w:pPr>
        <w:pStyle w:val="Bibliography"/>
      </w:pPr>
      <w:bookmarkStart w:id="100" w:name="ref-RogersFieringUse1986"/>
      <w:bookmarkEnd w:id="99"/>
      <w:r>
        <w:t xml:space="preserve">Rogers, Peter P., and Myron B Fiering. 1986. “Use of Systems Analysis in Water Management.” </w:t>
      </w:r>
      <w:r>
        <w:rPr>
          <w:i/>
          <w:iCs/>
        </w:rPr>
        <w:t>Water Resources Research</w:t>
      </w:r>
      <w:r>
        <w:t xml:space="preserve"> 22 (9S). </w:t>
      </w:r>
      <w:hyperlink r:id="rId40">
        <w:r>
          <w:rPr>
            <w:rStyle w:val="Hyperlink"/>
          </w:rPr>
          <w:t>https://doi.org/10.1029/WR022i09Sp0146S</w:t>
        </w:r>
      </w:hyperlink>
      <w:r>
        <w:t>.</w:t>
      </w:r>
    </w:p>
    <w:p w14:paraId="3F9A90F0" w14:textId="77777777" w:rsidR="00855EC5" w:rsidRDefault="00000000">
      <w:pPr>
        <w:pStyle w:val="Bibliography"/>
      </w:pPr>
      <w:bookmarkStart w:id="101" w:name="ref-SahnehEtAlTen2021"/>
      <w:bookmarkEnd w:id="100"/>
      <w:r>
        <w:t xml:space="preserve">Sahneh, Faryad, Meghan A. Balk, Marina Kisley, Chi-kwan Chan, Mercury Fox, Brian Nord, Eric Lyons, et al. 2021. “Ten Simple Rules to Cultivate Transdisciplinary Collaboration in Data Science.” Edited by Russell Schwartz. </w:t>
      </w:r>
      <w:r>
        <w:rPr>
          <w:i/>
          <w:iCs/>
        </w:rPr>
        <w:t>PLOS Computational Biology</w:t>
      </w:r>
      <w:r>
        <w:t xml:space="preserve"> 17 (5): e1008879. </w:t>
      </w:r>
      <w:hyperlink r:id="rId41">
        <w:r>
          <w:rPr>
            <w:rStyle w:val="Hyperlink"/>
          </w:rPr>
          <w:t>https://doi.org/10.1371/journal.pcbi.1008879</w:t>
        </w:r>
      </w:hyperlink>
      <w:r>
        <w:t>.</w:t>
      </w:r>
    </w:p>
    <w:p w14:paraId="27B726DF" w14:textId="77777777" w:rsidR="00855EC5" w:rsidRDefault="00000000">
      <w:pPr>
        <w:pStyle w:val="Bibliography"/>
      </w:pPr>
      <w:bookmarkStart w:id="102" w:name="X35601437fc25b0fdd92b478f2f9ddeaed3398df"/>
      <w:bookmarkEnd w:id="101"/>
      <w:r>
        <w:t>Scott River Watershed Council. 2018. “Restoring Priority Coho Habitat in the Scott River Watershed Modeling and Planning Report.”</w:t>
      </w:r>
    </w:p>
    <w:p w14:paraId="385B1121" w14:textId="77777777" w:rsidR="00855EC5" w:rsidRDefault="00000000">
      <w:pPr>
        <w:pStyle w:val="Bibliography"/>
      </w:pPr>
      <w:bookmarkStart w:id="103" w:name="X334218043bd9d5b07a848a610917fcfef0168db"/>
      <w:bookmarkEnd w:id="102"/>
      <w:r>
        <w:t>Scott Valley Area Plan Committee. 1980. “Scott Valley Area Plan.” Siskiyou County.</w:t>
      </w:r>
    </w:p>
    <w:p w14:paraId="18ACE9D8" w14:textId="77777777" w:rsidR="00855EC5" w:rsidRDefault="00000000">
      <w:pPr>
        <w:pStyle w:val="Bibliography"/>
      </w:pPr>
      <w:bookmarkStart w:id="104" w:name="ref-SiskiyouCountyScott2021"/>
      <w:bookmarkEnd w:id="103"/>
      <w:r>
        <w:t>Siskiyou County. 2021. “Scott Valley Groundwater Sustainability Plan.”</w:t>
      </w:r>
    </w:p>
    <w:p w14:paraId="3C93C88E" w14:textId="77777777" w:rsidR="00855EC5" w:rsidRDefault="00000000">
      <w:pPr>
        <w:pStyle w:val="Bibliography"/>
      </w:pPr>
      <w:bookmarkStart w:id="105" w:name="ref-SnyderEtAlLONGTERM2002"/>
      <w:bookmarkEnd w:id="104"/>
      <w:r>
        <w:t xml:space="preserve">Snyder, R. L., M. Orang, and S. Matyac. 2002. “A LONG-TERM WATER USE PLANNING MODEL FOR CALIFORNIA.” </w:t>
      </w:r>
      <w:r>
        <w:rPr>
          <w:i/>
          <w:iCs/>
        </w:rPr>
        <w:t>Acta Horticulturae</w:t>
      </w:r>
      <w:r>
        <w:t xml:space="preserve">, no. 584 (July): 115–21. </w:t>
      </w:r>
      <w:hyperlink r:id="rId42">
        <w:r>
          <w:rPr>
            <w:rStyle w:val="Hyperlink"/>
          </w:rPr>
          <w:t>https://doi.org/10.17660/ActaHortic.2002.584.13</w:t>
        </w:r>
      </w:hyperlink>
      <w:r>
        <w:t>.</w:t>
      </w:r>
    </w:p>
    <w:p w14:paraId="0C81B533" w14:textId="77777777" w:rsidR="00855EC5" w:rsidRDefault="00000000">
      <w:pPr>
        <w:pStyle w:val="Bibliography"/>
      </w:pPr>
      <w:bookmarkStart w:id="106" w:name="X2560a5ce8c29a4d10823717cd7284f11df015d4"/>
      <w:bookmarkEnd w:id="105"/>
      <w:r>
        <w:t>State Water Resources Control Board. 2021. “Establishment of Minimum Instream Flow Requirements, Curtialment Authority, and Information Order in the Klamath Watershed.” {{NOTICE OF APPROVAL OF EMERGENCY REGULATORY ACTION}} OAL 2021-0820-05.</w:t>
      </w:r>
    </w:p>
    <w:p w14:paraId="67110F2F" w14:textId="77777777" w:rsidR="00855EC5" w:rsidRDefault="00000000">
      <w:pPr>
        <w:pStyle w:val="Bibliography"/>
      </w:pPr>
      <w:bookmarkStart w:id="107" w:name="Xc65d78564b05799285cd4578f858a1851ca0d64"/>
      <w:bookmarkEnd w:id="106"/>
      <w:r>
        <w:t>———. 2024a. “Establishment of Minimum Instream Flow Requirements, Curtialment Authority, and Information Order in the Scott River and Shasta River Watersheds.” {{NOTICE OF APPROVAL OF EMERGENCY REGULATORY ACTION}} OAL 2024-0123-03.</w:t>
      </w:r>
    </w:p>
    <w:p w14:paraId="14807DFB" w14:textId="77777777" w:rsidR="00855EC5" w:rsidRDefault="00000000">
      <w:pPr>
        <w:pStyle w:val="Bibliography"/>
      </w:pPr>
      <w:bookmarkStart w:id="108" w:name="Xa7b10fbb32571a990cee2341e679d296b855974"/>
      <w:bookmarkEnd w:id="107"/>
      <w:r>
        <w:t>———. 2024b. “RESOLUTION NO. 2024-0036: REGARDING FLOW EFFORTS IN THE SCOTT RIVER AND SHASTA RIVER WATERSHEDS.” 2024-0036.</w:t>
      </w:r>
    </w:p>
    <w:p w14:paraId="206DBBFC" w14:textId="77777777" w:rsidR="00855EC5" w:rsidRDefault="00000000">
      <w:pPr>
        <w:pStyle w:val="Bibliography"/>
      </w:pPr>
      <w:bookmarkStart w:id="109" w:name="ref-SunEtAlNexus2018"/>
      <w:bookmarkEnd w:id="108"/>
      <w:r>
        <w:t xml:space="preserve">Sun, Zan, Yi Zheng, Xi Li, Yong Tian, Feng Han, Ye Zhong, Jie Liu, and Chunmiao Zheng. 2018. “The Nexus of Water, Ecosystems, and Agriculture in Endorheic River Basins: A System Analysis Based on Integrated Ecohydrological Modeling.” </w:t>
      </w:r>
      <w:r>
        <w:rPr>
          <w:i/>
          <w:iCs/>
        </w:rPr>
        <w:t>Water Resources Research</w:t>
      </w:r>
      <w:r>
        <w:t xml:space="preserve"> 54 (10): 7534–56. </w:t>
      </w:r>
      <w:hyperlink r:id="rId43">
        <w:r>
          <w:rPr>
            <w:rStyle w:val="Hyperlink"/>
          </w:rPr>
          <w:t>https://doi.org/10.1029/2018WR023364</w:t>
        </w:r>
      </w:hyperlink>
      <w:r>
        <w:t>.</w:t>
      </w:r>
    </w:p>
    <w:p w14:paraId="2CD1760F" w14:textId="77777777" w:rsidR="00855EC5" w:rsidRDefault="00000000">
      <w:pPr>
        <w:pStyle w:val="Bibliography"/>
      </w:pPr>
      <w:bookmarkStart w:id="110" w:name="ref-TharmeGlobal2003"/>
      <w:bookmarkEnd w:id="109"/>
      <w:r>
        <w:t xml:space="preserve">Tharme, R. E. 2003. “A Global Perspective on Environmental Flow Assessment: Emerging Trends in the Development and Application of Environmental Flow Methodologies for Rivers.” </w:t>
      </w:r>
      <w:r>
        <w:rPr>
          <w:i/>
          <w:iCs/>
        </w:rPr>
        <w:t>River Research and Applications</w:t>
      </w:r>
      <w:r>
        <w:t xml:space="preserve"> 19 (5-6): 397–441. </w:t>
      </w:r>
      <w:hyperlink r:id="rId44">
        <w:r>
          <w:rPr>
            <w:rStyle w:val="Hyperlink"/>
          </w:rPr>
          <w:t>https://doi.org/10.1002/rra.736</w:t>
        </w:r>
      </w:hyperlink>
      <w:r>
        <w:t>.</w:t>
      </w:r>
    </w:p>
    <w:p w14:paraId="7AAAEA2C" w14:textId="77777777" w:rsidR="00855EC5" w:rsidRDefault="00000000">
      <w:pPr>
        <w:pStyle w:val="Bibliography"/>
      </w:pPr>
      <w:bookmarkStart w:id="111" w:name="ref-TolleyEtAlSensitivity2019"/>
      <w:bookmarkEnd w:id="110"/>
      <w:r>
        <w:t>Tolley, D., L. Foglia, and T. Harter. 2019. “Sensitivity Analysis and Calibration of an Integrated Hydrologic Model in an Irrigated Agricultural Basin With a Groundwater-</w:t>
      </w:r>
      <w:r>
        <w:lastRenderedPageBreak/>
        <w:t xml:space="preserve">Dependent Ecosystem.” </w:t>
      </w:r>
      <w:r>
        <w:rPr>
          <w:i/>
          <w:iCs/>
        </w:rPr>
        <w:t>Water Resources Research</w:t>
      </w:r>
      <w:r>
        <w:t xml:space="preserve"> 55 (9): 7876–7901. </w:t>
      </w:r>
      <w:hyperlink r:id="rId45">
        <w:r>
          <w:rPr>
            <w:rStyle w:val="Hyperlink"/>
          </w:rPr>
          <w:t>https://doi.org/10.1029/2018WR024209</w:t>
        </w:r>
      </w:hyperlink>
      <w:r>
        <w:t>.</w:t>
      </w:r>
    </w:p>
    <w:p w14:paraId="09E69A31" w14:textId="77777777" w:rsidR="00855EC5" w:rsidRDefault="00000000">
      <w:pPr>
        <w:pStyle w:val="Bibliography"/>
      </w:pPr>
      <w:bookmarkStart w:id="112" w:name="ref-WangCooperative2014"/>
      <w:bookmarkEnd w:id="111"/>
      <w:r>
        <w:t xml:space="preserve">Wang, Sun Ling. 2014. “Cooperative Extension System: Trends and Economic Impacts on U.S. Agriculture.” </w:t>
      </w:r>
      <w:r>
        <w:rPr>
          <w:i/>
          <w:iCs/>
        </w:rPr>
        <w:t>Choices</w:t>
      </w:r>
      <w:r>
        <w:t xml:space="preserve"> 29 (1): 1–8. </w:t>
      </w:r>
      <w:hyperlink r:id="rId46">
        <w:r>
          <w:rPr>
            <w:rStyle w:val="Hyperlink"/>
          </w:rPr>
          <w:t>https://www.jstor.org/stable/10.2307/choices.29.1.15</w:t>
        </w:r>
      </w:hyperlink>
      <w:r>
        <w:t>.</w:t>
      </w:r>
    </w:p>
    <w:p w14:paraId="6EB5F52F" w14:textId="77777777" w:rsidR="00855EC5" w:rsidRDefault="00000000">
      <w:pPr>
        <w:pStyle w:val="Bibliography"/>
      </w:pPr>
      <w:bookmarkStart w:id="113" w:name="ref-WilliamsEtAlLarge2020"/>
      <w:bookmarkEnd w:id="112"/>
      <w:r>
        <w:t xml:space="preserve">Williams, A. Park, Edward R. Cook, Jason E. Smerdon, Benjamin I. Cook, John T. Abatzoglou, Kasey Bolles, Seung H. Baek, Andrew M. Badger, and Ben Livneh. 2020. “Large Contribution from Anthropogenic Warming to an Emerging North American Megadrought.” </w:t>
      </w:r>
      <w:r>
        <w:rPr>
          <w:i/>
          <w:iCs/>
        </w:rPr>
        <w:t>Science</w:t>
      </w:r>
      <w:r>
        <w:t xml:space="preserve"> 368 (6488): 314–18. </w:t>
      </w:r>
      <w:hyperlink r:id="rId47">
        <w:r>
          <w:rPr>
            <w:rStyle w:val="Hyperlink"/>
          </w:rPr>
          <w:t>https://doi.org/10.1126/science.aaz9600</w:t>
        </w:r>
      </w:hyperlink>
      <w:r>
        <w:t>.</w:t>
      </w:r>
    </w:p>
    <w:p w14:paraId="558BEC6E" w14:textId="77777777" w:rsidR="00855EC5" w:rsidRDefault="00000000">
      <w:pPr>
        <w:pStyle w:val="Bibliography"/>
      </w:pPr>
      <w:bookmarkStart w:id="114" w:name="ref-WuEtAlOptimizing2015"/>
      <w:bookmarkEnd w:id="113"/>
      <w:r>
        <w:t xml:space="preserve">Wu, Bin, Yi Zheng, Xin Wu, Yong Tian, Feng Han, Jie Liu, and Chunmiao Zheng. 2015. “Optimizing Water Resources Management in Large River Basins with Integrated Surface Water-Groundwater Modeling: A Surrogate-Based Approach.” </w:t>
      </w:r>
      <w:r>
        <w:rPr>
          <w:i/>
          <w:iCs/>
        </w:rPr>
        <w:t>Water Resources Research</w:t>
      </w:r>
      <w:r>
        <w:t xml:space="preserve"> 51 (4): 2153–73. </w:t>
      </w:r>
      <w:hyperlink r:id="rId48">
        <w:r>
          <w:rPr>
            <w:rStyle w:val="Hyperlink"/>
          </w:rPr>
          <w:t>https://doi.org/10.1002/2014WR016653</w:t>
        </w:r>
      </w:hyperlink>
      <w:r>
        <w:t>.</w:t>
      </w:r>
    </w:p>
    <w:p w14:paraId="73FA2893" w14:textId="77777777" w:rsidR="00855EC5" w:rsidRDefault="00000000">
      <w:pPr>
        <w:pStyle w:val="Bibliography"/>
      </w:pPr>
      <w:bookmarkStart w:id="115" w:name="ref-YarnellEtAlFunctional2015"/>
      <w:bookmarkEnd w:id="114"/>
      <w:r>
        <w:t xml:space="preserve">Yarnell, Sarah M., Geoffrey E. Petts, John C. Schmidt, Alison A. Whipple, Erin E. Beller, Clifford N. Dahm, Peter Goodwin, and Joshua H. Viers. 2015. “Functional Flows in Modified Riverscapes: Hydrographs, Habitats and Opportunities.” </w:t>
      </w:r>
      <w:r>
        <w:rPr>
          <w:i/>
          <w:iCs/>
        </w:rPr>
        <w:t>BioScience</w:t>
      </w:r>
      <w:r>
        <w:t xml:space="preserve"> 65 (10): 963–72. </w:t>
      </w:r>
      <w:hyperlink r:id="rId49">
        <w:r>
          <w:rPr>
            <w:rStyle w:val="Hyperlink"/>
          </w:rPr>
          <w:t>https://doi.org/10.1093/biosci/biv102</w:t>
        </w:r>
      </w:hyperlink>
      <w:r>
        <w:t>.</w:t>
      </w:r>
    </w:p>
    <w:p w14:paraId="5EF38FD4" w14:textId="77777777" w:rsidR="00855EC5" w:rsidRDefault="00000000">
      <w:pPr>
        <w:pStyle w:val="Bibliography"/>
      </w:pPr>
      <w:bookmarkStart w:id="116" w:name="ref-YehBeckerMultiobjective1982"/>
      <w:bookmarkEnd w:id="115"/>
      <w:r>
        <w:t xml:space="preserve">Yeh, William W-G., and Leonard Becker. 1982. “Multiobjective Analysis of Multireservoir Operations.” </w:t>
      </w:r>
      <w:r>
        <w:rPr>
          <w:i/>
          <w:iCs/>
        </w:rPr>
        <w:t>Water Resources Research</w:t>
      </w:r>
      <w:r>
        <w:t xml:space="preserve"> 18 (5): 1326–36. </w:t>
      </w:r>
      <w:hyperlink r:id="rId50">
        <w:r>
          <w:rPr>
            <w:rStyle w:val="Hyperlink"/>
          </w:rPr>
          <w:t>https://doi.org/10.1029/WR018i005p01326</w:t>
        </w:r>
      </w:hyperlink>
      <w:r>
        <w:t>.</w:t>
      </w:r>
    </w:p>
    <w:p w14:paraId="40E19EBE" w14:textId="77777777" w:rsidR="00855EC5" w:rsidRDefault="00000000">
      <w:pPr>
        <w:pStyle w:val="Bibliography"/>
      </w:pPr>
      <w:bookmarkStart w:id="117" w:name="X8bf5592004e543b04dfcfc3edb39663c8006d78"/>
      <w:bookmarkEnd w:id="116"/>
      <w:r>
        <w:t>Yolo Subbasin Groundwater Agency. 2022. “Yolo Subbasin Groundwater Sustainability Plan.” Woodland, CA.</w:t>
      </w:r>
    </w:p>
    <w:bookmarkEnd w:id="52"/>
    <w:bookmarkEnd w:id="117"/>
    <w:p w14:paraId="2A93B9FD" w14:textId="77777777" w:rsidR="00855EC5" w:rsidRDefault="00000000">
      <w:r>
        <w:br w:type="page"/>
      </w:r>
      <w:bookmarkEnd w:id="50"/>
    </w:p>
    <w:sectPr w:rsidR="00855E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D6CE7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7EFA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085E6C0A"/>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226008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6A84B8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13142431">
    <w:abstractNumId w:val="0"/>
  </w:num>
  <w:num w:numId="2" w16cid:durableId="1838957204">
    <w:abstractNumId w:val="1"/>
  </w:num>
  <w:num w:numId="3" w16cid:durableId="124859435">
    <w:abstractNumId w:val="1"/>
  </w:num>
  <w:num w:numId="4" w16cid:durableId="3964355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6564310">
    <w:abstractNumId w:val="2"/>
    <w:lvlOverride w:ilvl="0"/>
    <w:lvlOverride w:ilvl="1"/>
    <w:lvlOverride w:ilvl="2"/>
    <w:lvlOverride w:ilvl="3"/>
    <w:lvlOverride w:ilvl="4"/>
    <w:lvlOverride w:ilvl="5"/>
    <w:lvlOverride w:ilvl="6"/>
    <w:lvlOverride w:ilvl="7"/>
    <w:lvlOverride w:ilvl="8"/>
  </w:num>
  <w:num w:numId="6" w16cid:durableId="1809012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8903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55EC5"/>
    <w:rsid w:val="000609B2"/>
    <w:rsid w:val="00855EC5"/>
    <w:rsid w:val="009C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CA129"/>
  <w15:docId w15:val="{EDF8A535-D6E0-488E-8662-F89871F3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clim.2021.719150" TargetMode="External"/><Relationship Id="rId18" Type="http://schemas.openxmlformats.org/officeDocument/2006/relationships/hyperlink" Target="https://doi.org/10.1029/WR009i004p00826" TargetMode="External"/><Relationship Id="rId26" Type="http://schemas.openxmlformats.org/officeDocument/2006/relationships/hyperlink" Target="https://doi.org/10.1029/2004WR003787" TargetMode="External"/><Relationship Id="rId39" Type="http://schemas.openxmlformats.org/officeDocument/2006/relationships/hyperlink" Target="https://doi.org/10.1038/s41586-018-0123-1" TargetMode="External"/><Relationship Id="rId21" Type="http://schemas.openxmlformats.org/officeDocument/2006/relationships/hyperlink" Target="https://doi.org/10.1126/science.1091015" TargetMode="External"/><Relationship Id="rId34" Type="http://schemas.openxmlformats.org/officeDocument/2006/relationships/hyperlink" Target="https://doi.org/10.1029/WR009i004p00837" TargetMode="External"/><Relationship Id="rId42" Type="http://schemas.openxmlformats.org/officeDocument/2006/relationships/hyperlink" Target="https://doi.org/10.17660/ActaHortic.2002.584.13" TargetMode="External"/><Relationship Id="rId47" Type="http://schemas.openxmlformats.org/officeDocument/2006/relationships/hyperlink" Target="https://doi.org/10.1126/science.aaz9600" TargetMode="External"/><Relationship Id="rId50" Type="http://schemas.openxmlformats.org/officeDocument/2006/relationships/hyperlink" Target="https://doi.org/10.1029/WR018i005p01326"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61/(ASCE)0733-9496(1996)122:5(356)" TargetMode="External"/><Relationship Id="rId29" Type="http://schemas.openxmlformats.org/officeDocument/2006/relationships/hyperlink" Target="https://doi.org/10.1061/(ASCE)0733-9496(2004)130:2(93)" TargetMode="External"/><Relationship Id="rId11" Type="http://schemas.openxmlformats.org/officeDocument/2006/relationships/image" Target="media/image7.jpg"/><Relationship Id="rId24" Type="http://schemas.openxmlformats.org/officeDocument/2006/relationships/hyperlink" Target="https://www.jstor.org/stable/10.2307/48583528" TargetMode="External"/><Relationship Id="rId32" Type="http://schemas.openxmlformats.org/officeDocument/2006/relationships/hyperlink" Target="https://doi.org/10.1007/BF03161678" TargetMode="External"/><Relationship Id="rId37" Type="http://schemas.openxmlformats.org/officeDocument/2006/relationships/hyperlink" Target="https://doi.org/10.2307/1313099" TargetMode="External"/><Relationship Id="rId40" Type="http://schemas.openxmlformats.org/officeDocument/2006/relationships/hyperlink" Target="https://doi.org/10.1029/WR022i09Sp0146S" TargetMode="External"/><Relationship Id="rId45" Type="http://schemas.openxmlformats.org/officeDocument/2006/relationships/hyperlink" Target="https://doi.org/10.1029/2018WR024209" TargetMode="External"/><Relationship Id="rId5" Type="http://schemas.openxmlformats.org/officeDocument/2006/relationships/image" Target="media/image1.png"/><Relationship Id="rId15" Type="http://schemas.openxmlformats.org/officeDocument/2006/relationships/hyperlink" Target="https://doi.org/10.1577/1548-8675(1994)014%3c0237:HDACSO%3e2.3.CO;2" TargetMode="External"/><Relationship Id="rId23" Type="http://schemas.openxmlformats.org/officeDocument/2006/relationships/hyperlink" Target="https://doi.org/10.1029/WR019i002p00305" TargetMode="External"/><Relationship Id="rId28" Type="http://schemas.openxmlformats.org/officeDocument/2006/relationships/hyperlink" Target="https://doi.org/10.1002/eco.70098" TargetMode="External"/><Relationship Id="rId36" Type="http://schemas.openxmlformats.org/officeDocument/2006/relationships/hyperlink" Target="https://doi.org/10.1016/j.jhydrol.2020.124787" TargetMode="External"/><Relationship Id="rId49" Type="http://schemas.openxmlformats.org/officeDocument/2006/relationships/hyperlink" Target="https://doi.org/10.1093/biosci/biv102" TargetMode="External"/><Relationship Id="rId10" Type="http://schemas.openxmlformats.org/officeDocument/2006/relationships/image" Target="media/image6.png"/><Relationship Id="rId19" Type="http://schemas.openxmlformats.org/officeDocument/2006/relationships/hyperlink" Target="https://doi.org/10.1029/WR011i002p00208" TargetMode="External"/><Relationship Id="rId31" Type="http://schemas.openxmlformats.org/officeDocument/2006/relationships/hyperlink" Target="https://doi.org/10.3133/wsp1462" TargetMode="External"/><Relationship Id="rId44" Type="http://schemas.openxmlformats.org/officeDocument/2006/relationships/hyperlink" Target="https://doi.org/10.1002/rra.736"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02/2015WR017114" TargetMode="External"/><Relationship Id="rId22" Type="http://schemas.openxmlformats.org/officeDocument/2006/relationships/hyperlink" Target="https://doi.org/10.1111/j.1752-1688.2000.tb04280.x" TargetMode="External"/><Relationship Id="rId27" Type="http://schemas.openxmlformats.org/officeDocument/2006/relationships/hyperlink" Target="https://doi.org/10.3390/su11184899" TargetMode="External"/><Relationship Id="rId30" Type="http://schemas.openxmlformats.org/officeDocument/2006/relationships/hyperlink" Target="https://doi.org/10.4159/harvard.9780674421042.intro" TargetMode="External"/><Relationship Id="rId35" Type="http://schemas.openxmlformats.org/officeDocument/2006/relationships/hyperlink" Target="https://doi.org/10.1016/j.envsci.2016.05.006" TargetMode="External"/><Relationship Id="rId43" Type="http://schemas.openxmlformats.org/officeDocument/2006/relationships/hyperlink" Target="https://doi.org/10.1029/2018WR023364" TargetMode="External"/><Relationship Id="rId48" Type="http://schemas.openxmlformats.org/officeDocument/2006/relationships/hyperlink" Target="https://doi.org/10.1002/2014WR016653" TargetMode="External"/><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002/eap.3013" TargetMode="External"/><Relationship Id="rId17" Type="http://schemas.openxmlformats.org/officeDocument/2006/relationships/hyperlink" Target="https://doi.org/10.2135/cropsci1983.0011183X002300040016x" TargetMode="External"/><Relationship Id="rId25" Type="http://schemas.openxmlformats.org/officeDocument/2006/relationships/hyperlink" Target="https://doi.org/10.1577/1548-8675(2003)023%3c0001:DOFPFF%3e2.0.CO;2" TargetMode="External"/><Relationship Id="rId33" Type="http://schemas.openxmlformats.org/officeDocument/2006/relationships/hyperlink" Target="https://doi.org/10.2307/1312122" TargetMode="External"/><Relationship Id="rId38" Type="http://schemas.openxmlformats.org/officeDocument/2006/relationships/hyperlink" Target="https://doi.org/10.1046/j.1523-1739.1996.10041163.x" TargetMode="External"/><Relationship Id="rId46" Type="http://schemas.openxmlformats.org/officeDocument/2006/relationships/hyperlink" Target="https://www.jstor.org/stable/10.2307/choices.29.1.15" TargetMode="External"/><Relationship Id="rId20" Type="http://schemas.openxmlformats.org/officeDocument/2006/relationships/hyperlink" Target="https://doi.org/10.1029/2018WR023901" TargetMode="External"/><Relationship Id="rId41" Type="http://schemas.openxmlformats.org/officeDocument/2006/relationships/hyperlink" Target="https://doi.org/10.1371/journal.pcbi.1008879"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11807</Words>
  <Characters>67300</Characters>
  <Application>Microsoft Office Word</Application>
  <DocSecurity>0</DocSecurity>
  <Lines>560</Lines>
  <Paragraphs>157</Paragraphs>
  <ScaleCrop>false</ScaleCrop>
  <Company/>
  <LinksUpToDate>false</LinksUpToDate>
  <CharactersWithSpaces>78950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stakeholder-driven scenario design and objective functions clarify trade-offs in an active local water planning process, Northern California</dc:title>
  <dc:creator>Claire Kouba</dc:creator>
  <cp:keywords/>
  <cp:lastModifiedBy>Kouba, Claire</cp:lastModifiedBy>
  <cp:revision>2</cp:revision>
  <dcterms:created xsi:type="dcterms:W3CDTF">2026-05-12T23:40:00Z</dcterms:created>
  <dcterms:modified xsi:type="dcterms:W3CDTF">2026-05-12T23:43:00Z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2026-05-12</vt:lpwstr>
  </property>
  <property fmtid="{D5CDD505-2E9C-101B-9397-08002B2CF9AE}" pid="4" name="output">
    <vt:lpwstr/>
  </property>
</Properties>
</file>