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EC78B" w14:textId="77777777" w:rsidR="00181EB1" w:rsidRDefault="00000000">
      <w:pPr>
        <w:pStyle w:val="Title"/>
      </w:pPr>
      <w:r>
        <w:t>Farms, fish, and cost: stakeholder-driven scenario design and objective functions clarify trade-offs in an active local water planning process, northern California</w:t>
      </w:r>
    </w:p>
    <w:p w14:paraId="52B9DE5C" w14:textId="77777777" w:rsidR="00181EB1" w:rsidRDefault="00000000">
      <w:pPr>
        <w:pStyle w:val="Author"/>
      </w:pPr>
      <w:r>
        <w:t>Claire Kouba</w:t>
      </w:r>
    </w:p>
    <w:p w14:paraId="3F945879" w14:textId="086FCCA6" w:rsidR="00181EB1" w:rsidRDefault="00000000">
      <w:pPr>
        <w:pStyle w:val="Date"/>
      </w:pPr>
      <w:r>
        <w:t>2026-0</w:t>
      </w:r>
      <w:r w:rsidR="00E355E8">
        <w:t>5</w:t>
      </w:r>
      <w:r>
        <w:t>-</w:t>
      </w:r>
      <w:r w:rsidR="00E355E8">
        <w:t>05</w:t>
      </w:r>
    </w:p>
    <w:p w14:paraId="3912E6C2" w14:textId="77777777" w:rsidR="00181EB1" w:rsidRDefault="00000000">
      <w:pPr>
        <w:pStyle w:val="Heading1"/>
      </w:pPr>
      <w:bookmarkStart w:id="0" w:name="abstract"/>
      <w:r>
        <w:t>Abstract</w:t>
      </w:r>
    </w:p>
    <w:p w14:paraId="252B8149" w14:textId="77777777" w:rsidR="00181EB1" w:rsidRDefault="00000000">
      <w:pPr>
        <w:pStyle w:val="FirstParagraph"/>
      </w:pPr>
      <w:r>
        <w:t>In rural semi-arid places, water needs of agriculture and ecosystems are often in competition, particularly in connected surface- and groundwater systems. Managing this trade-off with buy-in from the local community requires an understanding of “reasonable” options and trade-offs. In this study, we propose that combining hydrologic models with stakeholder-driven design of both management scenarios and objective functions can 1) identify a politically-relevant, computationally feasible set of scenarios; 2) build a management “landscape” of outcomes to assess reasonableness of any one scenario; and 3) clarify water use trade-offs.</w:t>
      </w:r>
    </w:p>
    <w:p w14:paraId="110B9B13" w14:textId="77777777" w:rsidR="00181EB1" w:rsidRDefault="00000000">
      <w:pPr>
        <w:pStyle w:val="BodyText"/>
      </w:pPr>
      <w:r>
        <w:t>We test this in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among the set of options considered here, it takes a high infrastructure cost (i.e., reservoir scenarios) to escape the trade-offs defined in the lower-cost regulatory scenario categories. Furthermore, although the existing GSP management priorities emphasized minimal agricultural water cuts, the Pareto-optimal set of management actions included many regulatory approaches and high-cost reservoirs. This work demonstrates that basin-specific, stakeholder-informed scenario design and objective functions can increase the value of existing hydrologic models, and can help clarify trade-offs in ongoing local water planning efforts.</w:t>
      </w:r>
    </w:p>
    <w:p w14:paraId="0548DB4F" w14:textId="77777777" w:rsidR="00181EB1" w:rsidRDefault="00000000">
      <w:r>
        <w:br w:type="page"/>
      </w:r>
    </w:p>
    <w:p w14:paraId="57120A0A" w14:textId="77777777" w:rsidR="00181EB1" w:rsidRDefault="00000000">
      <w:pPr>
        <w:pStyle w:val="Heading1"/>
      </w:pPr>
      <w:bookmarkStart w:id="1" w:name="introduction"/>
      <w:bookmarkEnd w:id="0"/>
      <w:r>
        <w:rPr>
          <w:rStyle w:val="SectionNumber"/>
        </w:rPr>
        <w:lastRenderedPageBreak/>
        <w:t>1</w:t>
      </w:r>
      <w:r>
        <w:tab/>
        <w:t>Introduction</w:t>
      </w:r>
    </w:p>
    <w:p w14:paraId="6A17FF24" w14:textId="77777777" w:rsidR="00181EB1" w:rsidRDefault="00000000">
      <w:pPr>
        <w:pStyle w:val="FirstParagraph"/>
      </w:pPr>
      <w:r>
        <w:t>Sustainable use and management of water resources, in an era of climate change and increasing human water consumption (Williams et al. 2020; Rodell et al. 2018), requires an interdisciplinary understanding of connected socio-hydrologic systems (Reuss 1992; Di Baldassarre et al. 2019). One such interdisciplinary approach is water resources systems analysis (WRSA), which involves applying optimization methods to water resource planning (</w:t>
      </w:r>
      <w:r>
        <w:rPr>
          <w:i/>
          <w:iCs/>
        </w:rPr>
        <w:t>Design of Water-Resource Systems: New Techniques for Relating Economic Objectives, Engineering Analysis, and Governmental Planning</w:t>
      </w:r>
      <w:r>
        <w:t xml:space="preserve"> 1962; Cohon and Marks 1975; C. M. Brown et al. 2015). The utility of such studies typically depends on robust definitions of the “objective function(s)”, which summarize and quantify the desired outcome(s) of the proposed project or management scenario (Gorelick 1983). In practice, classical WRSA approaches have been criticized as being too removed from stakeholder concerns (e.g., Rogers and Fiering 1986).</w:t>
      </w:r>
    </w:p>
    <w:p w14:paraId="35A3FC4B" w14:textId="77777777" w:rsidR="00181EB1" w:rsidRDefault="00000000">
      <w:pPr>
        <w:pStyle w:val="BodyText"/>
      </w:pPr>
      <w:r>
        <w:t>This is unfortunate, as climate adaptation in the water sector, in its many facets – e.g., securing water and food supplies, updating infrastructure to reduce flood and drought risk, and preserving ecosystem function – is often most effective when implemented at the local level (e.g., Van Steenbergen 2006).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w:t>
      </w:r>
    </w:p>
    <w:p w14:paraId="6F129885" w14:textId="77777777" w:rsidR="00181EB1" w:rsidRDefault="00000000">
      <w:pPr>
        <w:pStyle w:val="BodyText"/>
      </w:pPr>
      <w:r>
        <w:t>A further limitation of WRSA is that much of modern water management involves balancing multiple competing objectives (e.g., Cardwell, Jager, and Sale 1996; Jager and Rose 2003; Sun et al. 2018), yet, even with modern methods like genetic optimization algorithms or surrogate modeling, multi-objective optimization (or identification of a Pareto-optimal set) using a complex model is often computationally prohibitive (Labadie 2004; Kapelan, Savic, and Walters 2005; Wu et al. 2015). We propose that even without applying advanced optimization methods, the careful development and application of locally-tailored objective functions can clarify trade-offs and add value to public discourse surrounding local water management. Furthermore, because a full randomized sampling of the decision space facing water managers would be computationally prohibitive (such as which of several projects or policies to implement, in which areas, on what timeframe), stakeholder-driven scenario design can yield a (computationally-tractable) set of simulated management scenarios that are effectively pre-screened by stakeholders for political and approximate technical feasibility.</w:t>
      </w:r>
    </w:p>
    <w:p w14:paraId="377206E6" w14:textId="77777777" w:rsidR="00181EB1" w:rsidRDefault="00000000">
      <w:pPr>
        <w:pStyle w:val="BodyText"/>
      </w:pPr>
      <w:r>
        <w:t xml:space="preserve">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w:t>
      </w:r>
      <w:r>
        <w:lastRenderedPageBreak/>
        <w:t>jurisdiction.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w:t>
      </w:r>
    </w:p>
    <w:p w14:paraId="2C7F84A4" w14:textId="77777777" w:rsidR="00181EB1" w:rsidRDefault="00000000">
      <w:pPr>
        <w:pStyle w:val="CaptionedFigure"/>
      </w:pPr>
      <w:r>
        <w:rPr>
          <w:noProof/>
        </w:rPr>
        <w:lastRenderedPageBreak/>
        <w:drawing>
          <wp:inline distT="0" distB="0" distL="0" distR="0" wp14:anchorId="3D4DA3BF" wp14:editId="668FA249">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33104E50" w14:textId="77777777" w:rsidR="00181EB1" w:rsidRDefault="00000000">
      <w:pPr>
        <w:pStyle w:val="ImageCaption"/>
      </w:pPr>
      <w:bookmarkStart w:id="2" w:name="fig:scottLanduseMap"/>
      <w:bookmarkEnd w:id="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13991886" w14:textId="77777777" w:rsidR="00181EB1" w:rsidRDefault="00000000">
      <w:pPr>
        <w:pStyle w:val="Heading1"/>
      </w:pPr>
      <w:bookmarkStart w:id="3" w:name="X1d0ab14f4559910db365e3bb8ee13a97d99320e"/>
      <w:bookmarkEnd w:id="1"/>
      <w:r>
        <w:rPr>
          <w:rStyle w:val="SectionNumber"/>
        </w:rPr>
        <w:lastRenderedPageBreak/>
        <w:t>2</w:t>
      </w:r>
      <w:r>
        <w:tab/>
        <w:t>Background: Case study and GSP development</w:t>
      </w:r>
    </w:p>
    <w:p w14:paraId="734E8EC3" w14:textId="77777777" w:rsidR="00181EB1" w:rsidRDefault="00000000">
      <w:pPr>
        <w:pStyle w:val="FirstParagraph"/>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27C7D6FD" w14:textId="77777777" w:rsidR="00181EB1" w:rsidRDefault="00000000">
      <w:pPr>
        <w:pStyle w:val="BodyText"/>
      </w:pPr>
      <w:r>
        <w:t>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This study avoids this computationally-prohibitive exercise by selecting a set of simulated management scenarios proposed by stakeholders during GSP development, effectively a feasibility pre-screening step.</w:t>
      </w:r>
    </w:p>
    <w:p w14:paraId="388F5D09" w14:textId="77777777" w:rsidR="00181EB1" w:rsidRDefault="00000000">
      <w:pPr>
        <w:pStyle w:val="Heading2"/>
      </w:pPr>
      <w:bookmarkStart w:id="4" w:name="hydrography-and-climate"/>
      <w:r>
        <w:rPr>
          <w:rStyle w:val="SectionNumber"/>
        </w:rPr>
        <w:t>2.1</w:t>
      </w:r>
      <w:r>
        <w:tab/>
        <w:t>Hydrography and climate</w:t>
      </w:r>
    </w:p>
    <w:p w14:paraId="6EF0F3CA" w14:textId="77777777" w:rsidR="00181EB1"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2CC57E33" w14:textId="77777777" w:rsidR="00181EB1"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2F874112" w14:textId="77777777" w:rsidR="00181EB1" w:rsidRDefault="00000000">
      <w:pPr>
        <w:pStyle w:val="BodyText"/>
      </w:pPr>
      <w:r>
        <w:lastRenderedPageBreak/>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72D82182" w14:textId="77777777" w:rsidR="00181EB1" w:rsidRDefault="00000000">
      <w:pPr>
        <w:pStyle w:val="CaptionedFigure"/>
      </w:pPr>
      <w:r>
        <w:rPr>
          <w:noProof/>
        </w:rPr>
        <w:drawing>
          <wp:inline distT="0" distB="0" distL="0" distR="0" wp14:anchorId="2F51CACC" wp14:editId="6FDDCCBF">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688A6D7D" w14:textId="77777777" w:rsidR="00181EB1"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21973897" w14:textId="77777777" w:rsidR="00181EB1" w:rsidRDefault="00000000">
      <w:pPr>
        <w:pStyle w:val="Heading2"/>
      </w:pPr>
      <w:bookmarkStart w:id="6" w:name="land-and-water-uses"/>
      <w:bookmarkEnd w:id="4"/>
      <w:r>
        <w:rPr>
          <w:rStyle w:val="SectionNumber"/>
        </w:rPr>
        <w:t>2.2</w:t>
      </w:r>
      <w:r>
        <w:tab/>
        <w:t>Land and water uses</w:t>
      </w:r>
    </w:p>
    <w:p w14:paraId="4162CD13" w14:textId="77777777" w:rsidR="00181EB1" w:rsidRDefault="00000000">
      <w:pPr>
        <w:pStyle w:val="FirstParagraph"/>
      </w:pPr>
      <w:r>
        <w:t xml:space="preserve">Because the watershed is undammed, managers and water users influence Scott River flow primarily via diversion of surface waters or pumping of groundwater. Consequently </w:t>
      </w:r>
      <w:r>
        <w:lastRenderedPageBreak/>
        <w:t>the most powerful tool available to manage Scott River water flow is regulation of land use and thus water demand (Siskiyou County 2021).</w:t>
      </w:r>
    </w:p>
    <w:p w14:paraId="0662320A" w14:textId="77777777" w:rsidR="00181EB1" w:rsidRDefault="00000000">
      <w:pPr>
        <w:pStyle w:val="BodyText"/>
      </w:pPr>
      <w:r>
        <w:t>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conducted by the California Department of Water Resources (DWR 2017), half of the area overlying the alluvial aquifer is covered by irrigated agriculture, notably pasture for cattle and an alfalfa/grain rotation (Figure 1; Table 1).</w:t>
      </w:r>
    </w:p>
    <w:p w14:paraId="00265ED6" w14:textId="77777777" w:rsidR="00181EB1"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5B10E9DE" w14:textId="77777777" w:rsidR="00181EB1"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181EB1" w14:paraId="484825C8"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8D75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A303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7D73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181EB1" w14:paraId="21A5E817" w14:textId="77777777" w:rsidTr="00181EB1">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4A7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B84C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C66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181EB1" w14:paraId="65764847"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57F7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6D7A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3E7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181EB1" w14:paraId="1250EAB8"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FCA3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CA6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0DB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181EB1" w14:paraId="4FA7642B"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9420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CE5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6207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181EB1" w14:paraId="501FAC97"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ACA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E2CC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8AB4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181EB1" w14:paraId="19AC8AFD"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08F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E53C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10E4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181EB1" w14:paraId="6F9498A9"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CC84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D1B4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B219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181EB1" w14:paraId="3F47284A" w14:textId="77777777" w:rsidTr="00181EB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8BE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0BDC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A47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181EB1" w14:paraId="41684BCE" w14:textId="77777777" w:rsidTr="00181EB1">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1834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670A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C3DB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5930EBC3" w14:textId="77777777" w:rsidR="00181EB1" w:rsidRDefault="00000000">
      <w:pPr>
        <w:pStyle w:val="Heading3"/>
      </w:pPr>
      <w:bookmarkStart w:id="8" w:name="environmental-stream-flows"/>
      <w:r>
        <w:rPr>
          <w:rStyle w:val="SectionNumber"/>
        </w:rPr>
        <w:t>2.2.1</w:t>
      </w:r>
      <w:r>
        <w:tab/>
        <w:t>Environmental stream flows</w:t>
      </w:r>
    </w:p>
    <w:p w14:paraId="44D16E15" w14:textId="77777777" w:rsidR="00181EB1"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(L. R. Brown, Moyle, and Yoshiyama 1994).</w:t>
      </w:r>
    </w:p>
    <w:p w14:paraId="3178F817" w14:textId="77777777" w:rsidR="00181EB1" w:rsidRDefault="00000000">
      <w:pPr>
        <w:pStyle w:val="BodyText"/>
      </w:pPr>
      <w:r>
        <w:lastRenderedPageBreak/>
        <w:t>To complete their life cycle, coho salmon require several key functional flows in the Scott Valley freshwater stream system (Kouba et al. 2025), including the following:</w:t>
      </w:r>
    </w:p>
    <w:p w14:paraId="08D269BE" w14:textId="77777777" w:rsidR="00181EB1" w:rsidRDefault="00000000">
      <w:pPr>
        <w:pStyle w:val="Compact"/>
        <w:numPr>
          <w:ilvl w:val="0"/>
          <w:numId w:val="2"/>
        </w:numPr>
      </w:pPr>
      <w:r>
        <w:t>Fall flows, increasing after the dry season in response to early wet season storms, that are sufficient to provide coho spawners access to preferred spawning reaches within the fall-run time window;</w:t>
      </w:r>
    </w:p>
    <w:p w14:paraId="0B2F5A45" w14:textId="77777777" w:rsidR="00181EB1" w:rsidRDefault="00000000">
      <w:pPr>
        <w:pStyle w:val="Compact"/>
        <w:numPr>
          <w:ilvl w:val="0"/>
          <w:numId w:val="2"/>
        </w:numPr>
      </w:pPr>
      <w:r>
        <w:t>Flows providing habitat for rearing juvenile salmon for their ~12-15 months of freshwater residence; and</w:t>
      </w:r>
    </w:p>
    <w:p w14:paraId="32A6BE0B" w14:textId="77777777" w:rsidR="00181EB1" w:rsidRDefault="00000000">
      <w:pPr>
        <w:pStyle w:val="Compact"/>
        <w:numPr>
          <w:ilvl w:val="0"/>
          <w:numId w:val="2"/>
        </w:numPr>
      </w:pPr>
      <w:r>
        <w:t>Sufficient flow in the spring for yearling smolts to migrate to the ocean.</w:t>
      </w:r>
    </w:p>
    <w:p w14:paraId="41D56F95" w14:textId="77777777" w:rsidR="00181EB1" w:rsidRDefault="00000000">
      <w:pPr>
        <w:pStyle w:val="FirstParagraph"/>
      </w:pPr>
      <w:r>
        <w:t>While Chinook also require fall flows for spawning, their specific flow requirements are somewhat distinct from coho due to their different life histories:</w:t>
      </w:r>
    </w:p>
    <w:p w14:paraId="34267AD3" w14:textId="77777777" w:rsidR="00181EB1" w:rsidRDefault="00000000">
      <w:pPr>
        <w:pStyle w:val="Compact"/>
        <w:numPr>
          <w:ilvl w:val="0"/>
          <w:numId w:val="3"/>
        </w:numPr>
      </w:pPr>
      <w:r>
        <w:t>Chinook juveniles spend less than one year in the freshwater environment (Agrawal et al. 2005), while coho overwinter and typically migrate to the ocean at 1+ years old (Moyle 2002; McMahon 1983);</w:t>
      </w:r>
    </w:p>
    <w:p w14:paraId="4342C65F" w14:textId="77777777" w:rsidR="00181EB1" w:rsidRDefault="00000000">
      <w:pPr>
        <w:pStyle w:val="Compact"/>
        <w:numPr>
          <w:ilvl w:val="0"/>
          <w:numId w:val="3"/>
        </w:numPr>
      </w:pPr>
      <w:r>
        <w:t>Chinook tend to spawn earlier in the fall than coho (Knechtle and Giudice 2020; Magranet 2015, 2017);</w:t>
      </w:r>
    </w:p>
    <w:p w14:paraId="73C0FC8E" w14:textId="77777777" w:rsidR="00181EB1" w:rsidRDefault="00000000">
      <w:pPr>
        <w:pStyle w:val="Compact"/>
        <w:numPr>
          <w:ilvl w:val="0"/>
          <w:numId w:val="3"/>
        </w:numPr>
      </w:pPr>
      <w:r>
        <w:t>Chinook prefer to spawn in the main stem of the Scott River, while coho prefer to spawn in tributaries (e.g., Magranet 2018; Magranet and Yokel 2017), making juvenile Chinook salmon more vulnerable than coho to egg burial or bed scour during high-flow storm conditions.</w:t>
      </w:r>
    </w:p>
    <w:p w14:paraId="4DA5CFD1" w14:textId="77777777" w:rsidR="00181EB1" w:rsidRDefault="00000000">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6D22650E" w14:textId="77777777" w:rsidR="00181EB1" w:rsidRDefault="00000000">
      <w:pPr>
        <w:pStyle w:val="Heading3"/>
      </w:pPr>
      <w:bookmarkStart w:id="9" w:name="agricultural-water-demand"/>
      <w:bookmarkEnd w:id="8"/>
      <w:r>
        <w:rPr>
          <w:rStyle w:val="SectionNumber"/>
        </w:rPr>
        <w:t>2.2.2</w:t>
      </w:r>
      <w:r>
        <w:tab/>
        <w:t>Agricultural water demand</w:t>
      </w:r>
    </w:p>
    <w:p w14:paraId="5B8BCC03" w14:textId="77777777" w:rsidR="00181EB1" w:rsidRDefault="00000000">
      <w:pPr>
        <w:pStyle w:val="FirstParagraph"/>
      </w:pPr>
      <w:r>
        <w:t xml:space="preserve">Agricultural water demand in Scott Valley has been investigated </w:t>
      </w:r>
      <w:r>
        <w:rPr>
          <w:b/>
          <w:bCs/>
        </w:rPr>
        <w:t>[Cite Orloff/Snyder work?]</w:t>
      </w:r>
      <w:r>
        <w:t xml:space="preserve"> and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1D1E67BC" w14:textId="77777777" w:rsidR="00181EB1" w:rsidRDefault="00000000">
      <w:pPr>
        <w:pStyle w:val="BodyText"/>
      </w:pPr>
      <w:r>
        <w:t xml:space="preserve">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w:t>
      </w:r>
      <w:r>
        <w:lastRenderedPageBreak/>
        <w:t>involved three to four harvests (referred to as cuttings) per growing season; it is typically irrigated several times and then left to dry before cutting (Tolley, Foglia, and Harter 2019).</w:t>
      </w:r>
    </w:p>
    <w:p w14:paraId="327E4634" w14:textId="77777777" w:rsidR="00181EB1"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3158077E" w14:textId="77777777" w:rsidR="00181EB1" w:rsidRDefault="00000000">
      <w:pPr>
        <w:pStyle w:val="CaptionedFigure"/>
      </w:pPr>
      <w:r>
        <w:rPr>
          <w:noProof/>
        </w:rPr>
        <w:drawing>
          <wp:inline distT="0" distB="0" distL="0" distR="0" wp14:anchorId="2B04B705" wp14:editId="6EEE0990">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19243502" w14:textId="77777777" w:rsidR="00181EB1"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1D12451A" w14:textId="77777777" w:rsidR="00181EB1" w:rsidRDefault="00000000">
      <w:pPr>
        <w:pStyle w:val="CaptionedFigure"/>
      </w:pPr>
      <w:r>
        <w:rPr>
          <w:noProof/>
        </w:rPr>
        <w:lastRenderedPageBreak/>
        <w:drawing>
          <wp:inline distT="0" distB="0" distL="0" distR="0" wp14:anchorId="3CF1D5D8" wp14:editId="24A5951D">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60F1B2D6" w14:textId="77777777" w:rsidR="00181EB1" w:rsidRDefault="00000000">
      <w:pPr>
        <w:pStyle w:val="ImageCaption"/>
      </w:pPr>
      <w:bookmarkStart w:id="11" w:name="fig:annualSWBMBudget"/>
      <w:bookmarkEnd w:id="11"/>
      <w:r>
        <w:t>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3366A504" w14:textId="77777777" w:rsidR="00181EB1" w:rsidRDefault="00000000">
      <w:pPr>
        <w:pStyle w:val="Heading2"/>
      </w:pPr>
      <w:bookmarkStart w:id="12" w:name="gsp-development"/>
      <w:bookmarkEnd w:id="6"/>
      <w:bookmarkEnd w:id="9"/>
      <w:r>
        <w:rPr>
          <w:rStyle w:val="SectionNumber"/>
        </w:rPr>
        <w:t>2.3</w:t>
      </w:r>
      <w:r>
        <w:tab/>
        <w:t>GSP development</w:t>
      </w:r>
    </w:p>
    <w:p w14:paraId="03D56C2A" w14:textId="77777777" w:rsidR="00181EB1"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2DA33557" w14:textId="77777777" w:rsidR="00181EB1"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14:paraId="69421947" w14:textId="77777777" w:rsidR="00181EB1" w:rsidRDefault="00000000">
      <w:pPr>
        <w:pStyle w:val="BodyText"/>
      </w:pPr>
      <w:r>
        <w:lastRenderedPageBreak/>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 in Section 3.3.</w:t>
      </w:r>
    </w:p>
    <w:p w14:paraId="27D0AE5B" w14:textId="77777777" w:rsidR="00181EB1" w:rsidRDefault="00000000">
      <w:pPr>
        <w:pStyle w:val="Heading1"/>
      </w:pPr>
      <w:bookmarkStart w:id="13" w:name="methods"/>
      <w:bookmarkEnd w:id="3"/>
      <w:bookmarkEnd w:id="12"/>
      <w:r>
        <w:rPr>
          <w:rStyle w:val="SectionNumber"/>
        </w:rPr>
        <w:t>3</w:t>
      </w:r>
      <w:r>
        <w:tab/>
        <w:t>Methods</w:t>
      </w:r>
    </w:p>
    <w:p w14:paraId="0BBDB2AD" w14:textId="77777777" w:rsidR="00181EB1" w:rsidRDefault="00000000">
      <w:pPr>
        <w:pStyle w:val="FirstParagraph"/>
      </w:pPr>
      <w:r>
        <w:t>After 2021, we expanded on this public planning effort with a research study, based on the suite of management scenarios designed for the GSP, in the hopes that it could inform water management decisions during 5-year GSP updates over the coming decades.</w:t>
      </w:r>
    </w:p>
    <w:p w14:paraId="077C539E" w14:textId="77777777" w:rsidR="00181EB1" w:rsidRDefault="00000000">
      <w:pPr>
        <w:pStyle w:val="BodyText"/>
      </w:pPr>
      <w:r>
        <w:t>In particular, we developed two quantitative objective functions and one categorical objective proxy to evaluate the management scenarios developed for the GSP. The three objectives were:</w:t>
      </w:r>
    </w:p>
    <w:p w14:paraId="47A093CA" w14:textId="77777777" w:rsidR="00181EB1" w:rsidRDefault="00000000">
      <w:pPr>
        <w:pStyle w:val="Compact"/>
        <w:numPr>
          <w:ilvl w:val="0"/>
          <w:numId w:val="4"/>
        </w:numPr>
      </w:pPr>
      <w:r>
        <w:t>maximize specific environmental flows,</w:t>
      </w:r>
    </w:p>
    <w:p w14:paraId="7652797B" w14:textId="77777777" w:rsidR="00181EB1" w:rsidRDefault="00000000">
      <w:pPr>
        <w:pStyle w:val="Compact"/>
        <w:numPr>
          <w:ilvl w:val="0"/>
          <w:numId w:val="4"/>
        </w:numPr>
      </w:pPr>
      <w:r>
        <w:t>maintain current levels of agricultural productivity (represented as minimizing reduction in agricultural water use), and</w:t>
      </w:r>
    </w:p>
    <w:p w14:paraId="550B605D" w14:textId="77777777" w:rsidR="00181EB1" w:rsidRDefault="00000000">
      <w:pPr>
        <w:pStyle w:val="Compact"/>
        <w:numPr>
          <w:ilvl w:val="0"/>
          <w:numId w:val="4"/>
        </w:numPr>
      </w:pPr>
      <w:r>
        <w:t>minimize new infrastructure costs (represented as a categorical infrastructure/feasibility proxy) (Table 2).</w:t>
      </w:r>
    </w:p>
    <w:p w14:paraId="307CB337" w14:textId="77777777" w:rsidR="00181EB1"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3AF4203E" w14:textId="77777777" w:rsidR="00181EB1" w:rsidRDefault="00000000">
      <w:pPr>
        <w:pStyle w:val="TableCaption"/>
      </w:pPr>
      <w:bookmarkStart w:id="14" w:name="tab:objFunctionTable"/>
      <w:bookmarkEnd w:id="14"/>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181EB1" w14:paraId="32C5D98E"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5CD8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9A5A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181EB1" w14:paraId="4458EDC3" w14:textId="77777777" w:rsidTr="00181EB1">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F22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1ACA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181EB1" w14:paraId="48C08E73" w14:textId="77777777" w:rsidTr="00181EB1">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380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0CE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181EB1" w14:paraId="01734CA8" w14:textId="77777777" w:rsidTr="00181EB1">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5B77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BC9A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3F5085B9" w14:textId="77777777" w:rsidR="00181EB1" w:rsidRDefault="00000000">
      <w:pPr>
        <w:pStyle w:val="Heading2"/>
      </w:pPr>
      <w:bookmarkStart w:id="15" w:name="objective-functions"/>
      <w:r>
        <w:rPr>
          <w:rStyle w:val="SectionNumber"/>
        </w:rPr>
        <w:lastRenderedPageBreak/>
        <w:t>3.1</w:t>
      </w:r>
      <w:r>
        <w:tab/>
        <w:t>Objective functions</w:t>
      </w:r>
    </w:p>
    <w:p w14:paraId="0F26E8FF" w14:textId="77777777" w:rsidR="00181EB1" w:rsidRDefault="00000000">
      <w:pPr>
        <w:pStyle w:val="Heading3"/>
      </w:pPr>
      <w:bookmarkStart w:id="16" w:name="hydrologic-benefit-function"/>
      <w:r>
        <w:rPr>
          <w:rStyle w:val="SectionNumber"/>
        </w:rPr>
        <w:t>3.1.1</w:t>
      </w:r>
      <w:r>
        <w:tab/>
        <w:t>Hydrologic Benefit function</w:t>
      </w:r>
    </w:p>
    <w:p w14:paraId="62C534F5" w14:textId="77777777" w:rsidR="00181EB1" w:rsidRDefault="00000000">
      <w:pPr>
        <w:pStyle w:val="FirstParagraph"/>
      </w:pPr>
      <w:r>
        <w:t>Conceptually, the Hydrologic Benefit (HB) function aims to answer the question: to what degree does this water year provide enough flow, at the right time, for this species?</w:t>
      </w:r>
    </w:p>
    <w:p w14:paraId="428D8F4B" w14:textId="77777777" w:rsidR="00181EB1" w:rsidRDefault="00000000">
      <w:pPr>
        <w:pStyle w:val="BodyText"/>
      </w:pPr>
      <w:r>
        <w:t>In a previous study, we empirically identified hydrograph features of high importance to Scott River coho and Chinook, based on correlations between hydrology and ecological observations such as outmigrating juvenile abundance (Kouba et al. 2025). The HB function is represented as a linear combination of these high-importance annual functional flow values.</w:t>
      </w:r>
    </w:p>
    <w:p w14:paraId="4BBF067D" w14:textId="77777777" w:rsidR="00181EB1" w:rsidRDefault="00000000">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this exercise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 (Kouba et al. 2025).</w:t>
      </w:r>
    </w:p>
    <w:p w14:paraId="7A68C5DE" w14:textId="77777777" w:rsidR="00181EB1" w:rsidRDefault="00000000">
      <w:pPr>
        <w:pStyle w:val="BodyText"/>
      </w:pPr>
      <w:r>
        <w:t>There are many different possible HB function formulations; one example HB function is included below and three additional formulations are explored in Supplemental Material. These four HB functions correspond to the best-fit statistical model for two species (coho and Chinook) as measured using two different units of annual salmon reproduction (outmigrating smolt abundance and normalized smolt-per-adult-spawner in the relevant brood year). See Supplemental Material for more HB function design information.</w:t>
      </w:r>
    </w:p>
    <w:p w14:paraId="207BDB66" w14:textId="77777777" w:rsidR="00181EB1" w:rsidRDefault="00000000">
      <w:pPr>
        <w:pStyle w:val="BodyText"/>
      </w:pPr>
      <w:r>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(see coefficient values in Table 3).</w:t>
      </w:r>
    </w:p>
    <w:p w14:paraId="4A9C945F" w14:textId="77777777" w:rsidR="00181EB1" w:rsidRDefault="00000000">
      <w:pPr>
        <w:pStyle w:val="TableCaption"/>
      </w:pPr>
      <w:bookmarkStart w:id="17" w:name="tab:coefTabMainText"/>
      <w:bookmarkEnd w:id="17"/>
      <w:r>
        <w:t>Table 3: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181EB1" w14:paraId="096C1625"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F4E2D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E51C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32D4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181EB1" w14:paraId="74521469" w14:textId="77777777" w:rsidTr="00181EB1">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A42E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5CAB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DF7A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181EB1" w14:paraId="7510256B" w14:textId="77777777" w:rsidTr="00181EB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5E51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1D72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7D76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181EB1" w14:paraId="7C348BD9" w14:textId="77777777" w:rsidTr="00181EB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87C4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358D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36BA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181EB1" w14:paraId="39C4A4BC" w14:textId="77777777" w:rsidTr="00181EB1">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602E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A80E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F289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47F09A83" w14:textId="77777777" w:rsidR="00181EB1" w:rsidRDefault="00000000">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making them directly comparable to HB values derived from the simulated FJ flow records in the hypothetical management scenarios. </w:t>
      </w:r>
    </w:p>
    <w:p w14:paraId="746461BD" w14:textId="77777777" w:rsidR="00181EB1" w:rsidRDefault="00000000">
      <w:pPr>
        <w:pStyle w:val="Heading3"/>
      </w:pPr>
      <w:bookmarkStart w:id="18" w:name="Xb6ca5dd654202e76d1db9f1bc12c98cced9d6aa"/>
      <w:bookmarkEnd w:id="16"/>
      <w:r>
        <w:rPr>
          <w:rStyle w:val="SectionNumber"/>
        </w:rPr>
        <w:t>3.1.2</w:t>
      </w:r>
      <w:r>
        <w:tab/>
        <w:t>ET volume function (agricultural benefit proxy)</w:t>
      </w:r>
    </w:p>
    <w:p w14:paraId="4A067ACF" w14:textId="77777777" w:rsidR="00181EB1"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75A22772" w14:textId="77777777" w:rsidR="00181EB1" w:rsidRDefault="00000000">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objective functions more complicated for three crop change scenarios in which alfalfa is converted to grain; this is explored further in the Discussion section.</w:t>
      </w:r>
    </w:p>
    <w:p w14:paraId="68D02EDB" w14:textId="77777777" w:rsidR="00181EB1" w:rsidRDefault="00000000">
      <w:pPr>
        <w:pStyle w:val="Heading3"/>
      </w:pPr>
      <w:bookmarkStart w:id="19" w:name="Xfd5664932b25b1108017cbc6e0e75c8014ecd36"/>
      <w:bookmarkEnd w:id="18"/>
      <w:r>
        <w:rPr>
          <w:rStyle w:val="SectionNumber"/>
        </w:rPr>
        <w:t>3.1.3</w:t>
      </w:r>
      <w:r>
        <w:tab/>
        <w:t>Proxy for scenario infrastructure investment</w:t>
      </w:r>
    </w:p>
    <w:p w14:paraId="15A27DE0" w14:textId="77777777" w:rsidR="00181EB1"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15C3A696" w14:textId="77777777" w:rsidR="00181EB1" w:rsidRDefault="00000000">
      <w:pPr>
        <w:pStyle w:val="Compact"/>
        <w:numPr>
          <w:ilvl w:val="0"/>
          <w:numId w:val="5"/>
        </w:numPr>
      </w:pPr>
      <w:r>
        <w:lastRenderedPageBreak/>
        <w:t>No feasibility barriers (basecase; maintain current practices)</w:t>
      </w:r>
    </w:p>
    <w:p w14:paraId="0DDA826A" w14:textId="77777777" w:rsidR="00181EB1" w:rsidRDefault="00000000">
      <w:pPr>
        <w:pStyle w:val="Compact"/>
        <w:numPr>
          <w:ilvl w:val="0"/>
          <w:numId w:val="5"/>
        </w:numPr>
      </w:pPr>
      <w:r>
        <w:t>Implementable with current infrastructure</w:t>
      </w:r>
    </w:p>
    <w:p w14:paraId="12C9DFA6" w14:textId="77777777" w:rsidR="00181EB1" w:rsidRDefault="00000000">
      <w:pPr>
        <w:pStyle w:val="Compact"/>
        <w:numPr>
          <w:ilvl w:val="0"/>
          <w:numId w:val="5"/>
        </w:numPr>
      </w:pPr>
      <w:r>
        <w:t>Requires new infrastructure that would take 1-2 years to build</w:t>
      </w:r>
    </w:p>
    <w:p w14:paraId="65958D30" w14:textId="77777777" w:rsidR="00181EB1" w:rsidRDefault="00000000">
      <w:pPr>
        <w:pStyle w:val="Compact"/>
        <w:numPr>
          <w:ilvl w:val="0"/>
          <w:numId w:val="5"/>
        </w:numPr>
      </w:pPr>
      <w:r>
        <w:t>Requires new infrastructure that would take 3-5 years to build</w:t>
      </w:r>
    </w:p>
    <w:p w14:paraId="355658E2" w14:textId="77777777" w:rsidR="00181EB1" w:rsidRDefault="00000000">
      <w:pPr>
        <w:pStyle w:val="Compact"/>
        <w:numPr>
          <w:ilvl w:val="0"/>
          <w:numId w:val="5"/>
        </w:numPr>
      </w:pPr>
      <w:r>
        <w:t>Requires new infrastructure that would take 5+ years to build</w:t>
      </w:r>
    </w:p>
    <w:p w14:paraId="4C9CA5E6" w14:textId="77777777" w:rsidR="00181EB1"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higher-efficiency irrigation technology (assigned to category 2). See Table 6 for full list of assigned categories.</w:t>
      </w:r>
    </w:p>
    <w:p w14:paraId="3095538E" w14:textId="77777777" w:rsidR="00181EB1" w:rsidRDefault="00000000">
      <w:pPr>
        <w:pStyle w:val="Heading2"/>
      </w:pPr>
      <w:bookmarkStart w:id="20" w:name="analyses-of-objective-function-values"/>
      <w:bookmarkEnd w:id="15"/>
      <w:bookmarkEnd w:id="19"/>
      <w:r>
        <w:rPr>
          <w:rStyle w:val="SectionNumber"/>
        </w:rPr>
        <w:t>3.2</w:t>
      </w:r>
      <w:r>
        <w:tab/>
        <w:t>Analyses of objective function values</w:t>
      </w:r>
    </w:p>
    <w:p w14:paraId="6BB330BF" w14:textId="77777777" w:rsidR="00181EB1" w:rsidRDefault="00000000">
      <w:pPr>
        <w:pStyle w:val="Heading3"/>
      </w:pPr>
      <w:bookmarkStart w:id="21" w:name="trade-off-efficiency"/>
      <w:r>
        <w:rPr>
          <w:rStyle w:val="SectionNumber"/>
        </w:rPr>
        <w:t>3.2.1</w:t>
      </w:r>
      <w:r>
        <w:tab/>
        <w:t>Trade-off efficiency</w:t>
      </w:r>
    </w:p>
    <w:p w14:paraId="5461F823" w14:textId="77777777" w:rsidR="00181EB1"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 (see equations below).</w:t>
      </w:r>
    </w:p>
    <w:p w14:paraId="4D792E28" w14:textId="77777777" w:rsidR="00181EB1"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3CEC8D66" w14:textId="77777777" w:rsidR="00181EB1"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59F945DD" w14:textId="77777777" w:rsidR="00181EB1"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4AFA17E2" w14:textId="77777777" w:rsidR="00181EB1" w:rsidRDefault="00000000">
      <w:pPr>
        <w:pStyle w:val="Heading3"/>
      </w:pPr>
      <w:bookmarkStart w:id="22" w:name="pareto-optimal-set-of-management-actions"/>
      <w:bookmarkEnd w:id="21"/>
      <w:r>
        <w:rPr>
          <w:rStyle w:val="SectionNumber"/>
        </w:rPr>
        <w:t>3.2.2</w:t>
      </w:r>
      <w:r>
        <w:tab/>
        <w:t>Pareto-optimal set of management actions</w:t>
      </w:r>
    </w:p>
    <w:p w14:paraId="777328D1" w14:textId="77777777" w:rsidR="00181EB1" w:rsidRDefault="00000000">
      <w:pPr>
        <w:pStyle w:val="FirstParagraph"/>
      </w:pPr>
      <w:r>
        <w:t>After calculating the objective function values for each scenario, we applied a simple algorithm to identify the Pareto-optimal set of scenarios (Pareto 1896).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evaluate trade-offs between objectives; we use it here to identify quantitatively suboptimal scenarios.</w:t>
      </w:r>
    </w:p>
    <w:p w14:paraId="17F1D376" w14:textId="77777777" w:rsidR="00181EB1" w:rsidRDefault="00000000">
      <w:pPr>
        <w:pStyle w:val="Heading2"/>
      </w:pPr>
      <w:bookmarkStart w:id="23" w:name="hydrologic-model-summary"/>
      <w:bookmarkEnd w:id="20"/>
      <w:bookmarkEnd w:id="22"/>
      <w:r>
        <w:rPr>
          <w:rStyle w:val="SectionNumber"/>
        </w:rPr>
        <w:t>3.3</w:t>
      </w:r>
      <w:r>
        <w:tab/>
        <w:t>Hydrologic model summary</w:t>
      </w:r>
    </w:p>
    <w:p w14:paraId="334A2152" w14:textId="77777777" w:rsidR="00181EB1" w:rsidRDefault="00000000">
      <w:pPr>
        <w:pStyle w:val="FirstParagraph"/>
      </w:pPr>
      <w:r>
        <w:t>The Scott Valley Integrated Hydrologic Model (SVIHM) (2019) is a surface and groundwater model driven by tributary stream inflows, precipitation, and reference evapotranspiration (ET</w:t>
      </w:r>
      <w:r>
        <w:rPr>
          <w:vertAlign w:val="subscript"/>
        </w:rPr>
        <w:t>0</w:t>
      </w:r>
      <w:r>
        <w:t xml:space="preserve">). Like all models, it does not perfectly reproduce historical observations, but it </w:t>
      </w:r>
      <w:r>
        <w:lastRenderedPageBreak/>
        <w:t>successfully captures key watershed-scale hydrologic phenomena that can be used to evaluate potential outcomes of specific management actions.</w:t>
      </w:r>
    </w:p>
    <w:p w14:paraId="3DED1D42" w14:textId="77777777" w:rsidR="00181EB1" w:rsidRDefault="00000000">
      <w:pPr>
        <w:pStyle w:val="BodyText"/>
      </w:pPr>
      <w:r>
        <w:t>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4C8837FB" w14:textId="77777777" w:rsidR="00181EB1" w:rsidRDefault="00000000">
      <w:pPr>
        <w:pStyle w:val="BodyText"/>
      </w:pPr>
      <w:r>
        <w:t>For GSP development, SVIHM was used extensively to perform what-if scenarios using the historic climate and land use,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20D86B35" w14:textId="77777777" w:rsidR="00181EB1" w:rsidRDefault="00000000">
      <w:pPr>
        <w:pStyle w:val="Compact"/>
        <w:numPr>
          <w:ilvl w:val="0"/>
          <w:numId w:val="6"/>
        </w:numPr>
      </w:pPr>
      <w:r>
        <w:t>A prediction of Scott River daily average flow at the Fort Jones Gauge, which is co-located with the surface water outlet of the model domain; and</w:t>
      </w:r>
    </w:p>
    <w:p w14:paraId="29958D9F" w14:textId="77777777" w:rsidR="00181EB1" w:rsidRDefault="00000000">
      <w:pPr>
        <w:pStyle w:val="Compact"/>
        <w:numPr>
          <w:ilvl w:val="0"/>
          <w:numId w:val="6"/>
        </w:numPr>
      </w:pPr>
      <w:r>
        <w:t>Simulated total ET of crops and native vegetation within the model domain.</w:t>
      </w:r>
    </w:p>
    <w:p w14:paraId="6966DD88" w14:textId="77777777" w:rsidR="00181EB1" w:rsidRDefault="00000000">
      <w:pPr>
        <w:pStyle w:val="Heading2"/>
      </w:pPr>
      <w:bookmarkStart w:id="24" w:name="management-scenario-descriptions"/>
      <w:bookmarkEnd w:id="23"/>
      <w:r>
        <w:rPr>
          <w:rStyle w:val="SectionNumber"/>
        </w:rPr>
        <w:t>3.4</w:t>
      </w:r>
      <w:r>
        <w:tab/>
        <w:t>Management scenario descriptions</w:t>
      </w:r>
    </w:p>
    <w:p w14:paraId="2A4DA344" w14:textId="77777777" w:rsidR="00181EB1" w:rsidRDefault="00000000">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and researchers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due to redundancy.</w:t>
      </w:r>
    </w:p>
    <w:p w14:paraId="7F7D4104" w14:textId="77777777" w:rsidR="00181EB1" w:rsidRDefault="00000000">
      <w:pPr>
        <w:pStyle w:val="BodyText"/>
      </w:pPr>
      <w:r>
        <w:t>The scenarios are grouped here by category (Table 4). Within each category various details were altered (e.g., an alfalfa irrigation cessation date of July 10 versus August 15). Additional scenario descriptions are included below in Results and in Supplement A.</w:t>
      </w:r>
    </w:p>
    <w:p w14:paraId="03342414" w14:textId="77777777" w:rsidR="00181EB1" w:rsidRDefault="00000000">
      <w:pPr>
        <w:pStyle w:val="TableCaption"/>
      </w:pPr>
      <w:bookmarkStart w:id="25" w:name="tab:scenCategoryTab"/>
      <w:bookmarkEnd w:id="25"/>
      <w:r>
        <w:lastRenderedPageBreak/>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181EB1" w14:paraId="318B30A3"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8BCD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1C9C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65B7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07CD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2200F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181EB1" w14:paraId="7447E703" w14:textId="77777777" w:rsidTr="00181EB1">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A63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5A2D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58B7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414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8191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181EB1" w14:paraId="0B82B9FE"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665D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E87D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EBBB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44F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6F3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4241AA3C"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5FD2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E47C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5032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7935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463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6BBED518"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C9C1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AF9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72B5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5CA5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07ED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5397536F"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1F59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6EBF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E56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7BB5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AD12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81EB1" w14:paraId="293FF394"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A9F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DE82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04EF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9DB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627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81EB1" w14:paraId="29565AD8"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03CC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840C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9419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64C5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9E6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81EB1" w14:paraId="7BCBF799"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7E07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C1B5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0A84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5C7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896C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81EB1" w14:paraId="0B696BE7" w14:textId="77777777" w:rsidTr="00181EB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69D1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59B5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4B7C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B84C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2335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181EB1" w14:paraId="07A56301" w14:textId="77777777" w:rsidTr="00181EB1">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D2CC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C6A9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1426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E0BD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9127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6ED3CAB1" w14:textId="77777777" w:rsidR="00181EB1" w:rsidRDefault="00000000">
      <w:pPr>
        <w:pStyle w:val="Heading1"/>
      </w:pPr>
      <w:bookmarkStart w:id="26" w:name="results"/>
      <w:bookmarkEnd w:id="13"/>
      <w:bookmarkEnd w:id="24"/>
      <w:r>
        <w:rPr>
          <w:rStyle w:val="SectionNumber"/>
        </w:rPr>
        <w:t>4</w:t>
      </w:r>
      <w:r>
        <w:tab/>
        <w:t>Results</w:t>
      </w:r>
    </w:p>
    <w:p w14:paraId="4E13E462" w14:textId="77777777" w:rsidR="00181EB1" w:rsidRDefault="00000000">
      <w:pPr>
        <w:pStyle w:val="FirstParagraph"/>
      </w:pPr>
      <w:r>
        <w:t>As described above, the degree to which the basecase and 24 scenarios achieved local management goals was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scenario (Table 6). (See Supplemental Material for HB function results in different units; Table 5.) In addition to the two objective functions, each scenario has been assigned an infrastructure feasibility category (Tables 4 and 6).</w:t>
      </w:r>
    </w:p>
    <w:p w14:paraId="6C2D55A5" w14:textId="77777777" w:rsidR="00181EB1" w:rsidRDefault="00000000">
      <w:pPr>
        <w:pStyle w:val="TableCaption"/>
      </w:pPr>
      <w:bookmarkStart w:id="27" w:name="tab:HBUnitsLocationTab"/>
      <w:bookmarkEnd w:id="27"/>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181EB1" w14:paraId="5BCB645B"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B972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3531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8817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181EB1" w14:paraId="791F05D3" w14:textId="77777777" w:rsidTr="00181EB1">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5E4C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juvenile </w:t>
            </w:r>
            <w:r>
              <w:rPr>
                <w:rFonts w:ascii="Arial" w:eastAsia="Arial" w:hAnsi="Arial" w:cs="Arial"/>
                <w:color w:val="000000"/>
                <w:sz w:val="22"/>
                <w:szCs w:val="22"/>
              </w:rPr>
              <w:lastRenderedPageBreak/>
              <w:t>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596F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Highlighted in text and Supp. B</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CFC7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D</w:t>
            </w:r>
          </w:p>
        </w:tc>
      </w:tr>
      <w:tr w:rsidR="00181EB1" w14:paraId="572B4AE5" w14:textId="77777777" w:rsidTr="00181EB1">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F554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6842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C</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837A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E</w:t>
            </w:r>
          </w:p>
        </w:tc>
      </w:tr>
    </w:tbl>
    <w:p w14:paraId="32E51580" w14:textId="77777777" w:rsidR="00181EB1" w:rsidRDefault="00000000">
      <w:pPr>
        <w:pStyle w:val="BodyText"/>
      </w:pPr>
      <w:r>
        <w:t>In the basecase scenario, the 35-year mean annual ET volume is 118 million m</w:t>
      </w:r>
      <w:r>
        <w:rPr>
          <w:vertAlign w:val="superscript"/>
        </w:rPr>
        <w:t>3</w:t>
      </w:r>
      <w:r>
        <w:t xml:space="preserve"> of water, and the 35-year mean of annual HB values is 7812 coho spf-equivalent (Table 6). Annual ET volume is relatively stable over the model period of water years 1991-2025, while about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basecase crop ET), while HB values ranged from 7696 to 8446 coho smolt-equivalent.</w:t>
      </w:r>
    </w:p>
    <w:p w14:paraId="19768EF8" w14:textId="77777777" w:rsidR="00181EB1" w:rsidRDefault="00000000">
      <w:pPr>
        <w:pStyle w:val="Heading2"/>
      </w:pPr>
      <w:bookmarkStart w:id="28" w:name="X7284884376ee93470eb63c20106f06dfdc86233"/>
      <w:r>
        <w:rPr>
          <w:rStyle w:val="SectionNumber"/>
        </w:rPr>
        <w:t>4.1</w:t>
      </w:r>
      <w:r>
        <w:tab/>
        <w:t>Hydrologic Benefit function basis: selected functional flows</w:t>
      </w:r>
    </w:p>
    <w:p w14:paraId="74576DCC" w14:textId="77777777" w:rsidR="00181EB1" w:rsidRDefault="00000000">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water quality or population dynamics (Kouba et al. 2025).</w:t>
      </w:r>
    </w:p>
    <w:p w14:paraId="591C23AB" w14:textId="77777777" w:rsidR="00181EB1" w:rsidRDefault="00000000">
      <w:pPr>
        <w:pStyle w:val="BodyText"/>
      </w:pPr>
      <w:r>
        <w:t>Because functional flow values were standardized (Z-score transformed) before the statistical modeling exercise, absolute values of HB function coefficients for flow metrics can be interpreted as relative degree of influence on the relevant ecological outcome (Table 3; see Supplement B for tabulated, untransformed functional flow values).</w:t>
      </w:r>
    </w:p>
    <w:p w14:paraId="27913B01" w14:textId="77777777" w:rsidR="00181EB1" w:rsidRDefault="00000000">
      <w:pPr>
        <w:pStyle w:val="BodyText"/>
      </w:pPr>
      <w:r>
        <w:t>The HB formulations represent four ways of answering the question, “how good was this water year for this species, and which flows matter?” For coho, in both absolute and spawner-normalized smolt units, the high-importance flows were fall-to-wet season transition metrics; for units of absolute smolt abundance, the spring recession rate was also important (Supplements B and C , Table 1). For Chinook, in both absolute and spawner-normalized smolt units, the wet season baseflow median magnitude was of greatest importance; for normalized smolt units, maximum spring recession rate was also selected (Supplements D and E, Table 1).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09914DB7" w14:textId="77777777" w:rsidR="00181EB1" w:rsidRDefault="00000000">
      <w:pPr>
        <w:pStyle w:val="Heading2"/>
      </w:pPr>
      <w:bookmarkStart w:id="29" w:name="objective-function-results-over-time"/>
      <w:bookmarkEnd w:id="28"/>
      <w:r>
        <w:rPr>
          <w:rStyle w:val="SectionNumber"/>
        </w:rPr>
        <w:t>4.2</w:t>
      </w:r>
      <w:r>
        <w:tab/>
        <w:t>Objective function results over time</w:t>
      </w:r>
    </w:p>
    <w:p w14:paraId="265F095F" w14:textId="77777777" w:rsidR="00181EB1" w:rsidRDefault="00000000">
      <w:pPr>
        <w:pStyle w:val="FirstParagraph"/>
      </w:pPr>
      <w:r>
        <w:t>Management scenarios tended to have a uniform effect on total ET over time, shifting it by about the same amount each year relative to basecase (Figure 5). Conversely, in some years, many scenarios seem to have very little effect on HB function, though this is variable over time, regardless of which HB units are used (Figure 5 and Supplements B-E, Figure 1).</w:t>
      </w:r>
    </w:p>
    <w:p w14:paraId="26F75B94" w14:textId="77777777" w:rsidR="00181EB1" w:rsidRDefault="00000000">
      <w:pPr>
        <w:pStyle w:val="CaptionedFigure"/>
      </w:pPr>
      <w:r>
        <w:rPr>
          <w:noProof/>
        </w:rPr>
        <w:lastRenderedPageBreak/>
        <w:drawing>
          <wp:inline distT="0" distB="0" distL="0" distR="0" wp14:anchorId="7F56449C" wp14:editId="2B931507">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9"/>
                    <a:stretch>
                      <a:fillRect/>
                    </a:stretch>
                  </pic:blipFill>
                  <pic:spPr bwMode="auto">
                    <a:xfrm>
                      <a:off x="0" y="0"/>
                      <a:ext cx="5334000" cy="5000625"/>
                    </a:xfrm>
                    <a:prstGeom prst="rect">
                      <a:avLst/>
                    </a:prstGeom>
                    <a:noFill/>
                    <a:ln w="9525">
                      <a:noFill/>
                      <a:headEnd/>
                      <a:tailEnd/>
                    </a:ln>
                  </pic:spPr>
                </pic:pic>
              </a:graphicData>
            </a:graphic>
          </wp:inline>
        </w:drawing>
      </w:r>
    </w:p>
    <w:p w14:paraId="7A80FCFA" w14:textId="77777777" w:rsidR="00181EB1" w:rsidRDefault="00000000">
      <w:pPr>
        <w:pStyle w:val="ImageCaption"/>
      </w:pPr>
      <w:bookmarkStart w:id="30" w:name="fig:benefitByWYMainText"/>
      <w:bookmarkEnd w:id="30"/>
      <w:r>
        <w:t>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w:t>
      </w:r>
    </w:p>
    <w:p w14:paraId="4175F636" w14:textId="77777777" w:rsidR="00181EB1" w:rsidRDefault="00000000">
      <w:pPr>
        <w:pStyle w:val="BodyText"/>
      </w:pPr>
      <w:r>
        <w:t>The small effect of some scenarios on HB values implies that these scenarios do not alter the HB function component flows relative to basecase (Supplements B-E, Figure 2). For coho juvenile abundance, in the basecase scenario, it seems that when the HB function predicts a particularly good year (i.e., &gt; 20,000 coho smolt-equiv.), it is driven by a large magnitude fall flow difference, or fall pulse. Conversely, in the years where the HB function predicts a particularly bad year (i.e., ’95, ’98, ’04), it is driven by a rapid first spring recession rate (Supplement B, Figure 2). Conversely, for coho juveniles per spawner (basecase), both good and bad years seem to be largely driven by wet season onset timing (Supplement C, Figure 2).</w:t>
      </w:r>
    </w:p>
    <w:p w14:paraId="657344F7" w14:textId="77777777" w:rsidR="00181EB1" w:rsidRDefault="00000000">
      <w:pPr>
        <w:pStyle w:val="BodyText"/>
      </w:pPr>
      <w:r>
        <w:lastRenderedPageBreak/>
        <w:t>In both cases for coho, second fall flow difference makes minor contributions (Supplements B and C , Figure 2), and is assigned a negative coefficient (Table 3). This suggests higher flows in the second fall (for juvenile overwintering coho) are consistently associated with lower smolt production, but other factors such as first fall flow difference and wet season timing seem to exert greater overall influence.</w:t>
      </w:r>
    </w:p>
    <w:p w14:paraId="12299F49" w14:textId="77777777" w:rsidR="00181EB1" w:rsidRDefault="00000000">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(Supplements D and E, Figure 2).</w:t>
      </w:r>
    </w:p>
    <w:p w14:paraId="61D0680B" w14:textId="77777777" w:rsidR="00181EB1" w:rsidRDefault="00000000">
      <w:pPr>
        <w:pStyle w:val="Heading2"/>
      </w:pPr>
      <w:bookmarkStart w:id="31" w:name="Xd610dcc9f8ae209af31cf7fc51b71ab69b5e9a1"/>
      <w:bookmarkEnd w:id="29"/>
      <w:r>
        <w:rPr>
          <w:rStyle w:val="SectionNumber"/>
        </w:rPr>
        <w:t>4.3</w:t>
      </w:r>
      <w:r>
        <w:tab/>
        <w:t>Environmental-agricultural tradeoffs within and between scenario categories</w:t>
      </w:r>
    </w:p>
    <w:p w14:paraId="13345480" w14:textId="77777777" w:rsidR="00181EB1" w:rsidRDefault="00000000">
      <w:pPr>
        <w:pStyle w:val="FirstParagraph"/>
      </w:pPr>
      <w:r>
        <w:t>The 35-year mean values of HB and ET can be used to map all scenarios on one two-dimensional landscape, which is useful for evaluating trade-offs between objectives (Figure 6).</w:t>
      </w:r>
    </w:p>
    <w:p w14:paraId="599A788F" w14:textId="77777777" w:rsidR="00181EB1" w:rsidRDefault="00000000">
      <w:pPr>
        <w:pStyle w:val="CaptionedFigure"/>
      </w:pPr>
      <w:r>
        <w:rPr>
          <w:noProof/>
        </w:rPr>
        <w:lastRenderedPageBreak/>
        <w:drawing>
          <wp:inline distT="0" distB="0" distL="0" distR="0" wp14:anchorId="449A66DD" wp14:editId="72690466">
            <wp:extent cx="5334000" cy="5334000"/>
            <wp:effectExtent l="0" t="0" r="0" b="0"/>
            <wp:docPr id="66" name="Picture" descr="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160FD96C" w14:textId="77777777" w:rsidR="00181EB1" w:rsidRDefault="00000000">
      <w:pPr>
        <w:pStyle w:val="ImageCaption"/>
      </w:pPr>
      <w:bookmarkStart w:id="32" w:name="fig:farmerFishTradeoffFigureMainText"/>
      <w:bookmarkEnd w:id="32"/>
      <w:r>
        <w:t>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7914C50B" w14:textId="77777777" w:rsidR="00181EB1" w:rsidRDefault="00000000">
      <w:r>
        <w:br w:type="page"/>
      </w:r>
    </w:p>
    <w:p w14:paraId="2CD83BC5" w14:textId="77777777" w:rsidR="00181EB1" w:rsidRDefault="00000000">
      <w:pPr>
        <w:pStyle w:val="TableCaption"/>
      </w:pPr>
      <w:bookmarkStart w:id="33" w:name="tab:scenarioResultsTabMainText"/>
      <w:bookmarkEnd w:id="33"/>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181EB1" w14:paraId="4D42CAFA"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9C94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CC64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E441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7F59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A5484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3460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354A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181EB1" w14:paraId="2800BC47" w14:textId="77777777" w:rsidTr="00181EB1">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1CA0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A6B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8A67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6802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FA4C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2024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FAF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38B8B5B2"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C9A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B1D8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771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BBC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C19F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C97F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F591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181EB1" w14:paraId="36A4064C"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F434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5F8C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C44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7DDC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3795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340A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4CB3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1CAED62A"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24FE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F1C0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996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0E23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C04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811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06E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181EB1" w14:paraId="3500D7BD"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AC19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2219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6B7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085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5210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20C2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D80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181EB1" w14:paraId="3C6E9D05"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12FD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740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47B1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260C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296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B307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F81A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181EB1" w14:paraId="7E7F5C8C"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941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31C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00BF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8E1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17C6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F68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805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4E161E44"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69F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4BD9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29F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9AA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09C6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C98F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4560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81EB1" w14:paraId="4CEF5DF6"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405F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5F12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255B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0204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438D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638A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8F5E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81EB1" w14:paraId="1D684E11"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490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9E6B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83A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870D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DB36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88BA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3F1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181EB1" w14:paraId="78E26698"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AD8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9F01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C4B1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A90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8173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4FF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101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181EB1" w14:paraId="20187C02"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6DB6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C57A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AD1C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F40F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C5D5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56DA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C8F7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181EB1" w14:paraId="1431E073"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A1FE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6F68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4EF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7DF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E733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62D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E1F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065CCEC4"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65F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03B1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818C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B7D4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3129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C57E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5C8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3197F1FA"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4EF9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7A0F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7C16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489B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48C9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9B6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7FA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181EB1" w14:paraId="12E29CA5"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C22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77D8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78DB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9D7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844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75BC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9851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81EB1" w14:paraId="35B3451B"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013A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E998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A74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331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254A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5F14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5A7C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181EB1" w14:paraId="560D2EB6"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EEA4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EC55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4834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C0B6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DA65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3152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E24F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181EB1" w14:paraId="49E05C46"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D62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894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A8E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5C1F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014D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BBD8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33DA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181EB1" w14:paraId="49CE129A"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0BCE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AAB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A65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752B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CFAA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930D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5CD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181EB1" w14:paraId="14845ECC"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7E0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C0F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539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9B25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44B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523C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985F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181EB1" w14:paraId="1BDB7AC2"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56F5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CE4B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722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F2FA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48E9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C84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D17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181EB1" w14:paraId="31F8074F"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2FD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5B40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9729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440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67A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E90E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85B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3B1BD7B8" w14:textId="77777777" w:rsidTr="00181EB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2F0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E46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1A7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8E36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F1B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C66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9EE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81EB1" w14:paraId="561078FD" w14:textId="77777777" w:rsidTr="00181EB1">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F7DB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6C77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E44D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2EF0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9997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2537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8A3C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0FE5E5F" w14:textId="77777777" w:rsidR="00181EB1" w:rsidRDefault="00000000">
      <w:pPr>
        <w:pStyle w:val="BodyText"/>
      </w:pPr>
      <w:r>
        <w:lastRenderedPageBreak/>
        <w:t xml:space="preserve">In units of coho smolt abundance, three management scenarios actually produce poorer fish outcomes than basecase, but the majority of scenarios produce more favorable flows for smolt production (Figure 6). This is larguly due to scenario impacts on the largest single component of the HB function for coho smolt abundance, first fall flow difference or </w:t>
      </w:r>
      <w:r>
        <w:rPr>
          <w:rStyle w:val="VerbatimChar"/>
        </w:rPr>
        <w:t>f1_FA_Dif_num</w:t>
      </w:r>
      <w:r>
        <w:t xml:space="preserve">. This metric is calculated as the difference between dry season median discharge and peak fall pulse discharge; in years with no detectable fall pulse flow, this value is set to 0 (Carpenter 2024; Baruch et al. 2024) (see also Supplement B, Table 3, and Supplement B, Figure 2).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 </w:t>
      </w:r>
    </w:p>
    <w:p w14:paraId="497741E5" w14:textId="77777777" w:rsidR="00181EB1" w:rsidRDefault="00000000">
      <w:pPr>
        <w:pStyle w:val="Heading3"/>
      </w:pPr>
      <w:bookmarkStart w:id="34" w:name="small-reservoir"/>
      <w:r>
        <w:rPr>
          <w:rStyle w:val="SectionNumber"/>
        </w:rPr>
        <w:t>4.3.1</w:t>
      </w:r>
      <w:r>
        <w:tab/>
        <w:t>Small Reservoir</w:t>
      </w:r>
    </w:p>
    <w:p w14:paraId="7F27D0CB" w14:textId="77777777" w:rsidR="00181EB1" w:rsidRDefault="00000000">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located in the headwaters on one of 3 tributaries, were operated with the following objectives: retain winter flow until full (Dec-Mar), pass along growing season flow (Apr-Aug), and supplement dry season flow (Sep-Nov).</w:t>
      </w:r>
    </w:p>
    <w:p w14:paraId="3581FD73" w14:textId="77777777" w:rsidR="00181EB1" w:rsidRDefault="00000000">
      <w:pPr>
        <w:pStyle w:val="BodyText"/>
      </w:pPr>
      <w:r>
        <w:t>Somewhat contrary to expectations, reservoir scenarios don’t help coho much, relative to other management options: small reservoirs may not have capacity to add fall flow during dry years when baseflows are lowest (Figure 6, green squares, and Supplements B and C, Figure 3). Reservoir scenarios seem to help Chinook significantly more than coho: even a small reservoir on one tributary appears to dampen wet season stormflows enough to benefit Chinook (Supplements D and E, Figure 3).</w:t>
      </w:r>
    </w:p>
    <w:p w14:paraId="56E4E870" w14:textId="77777777" w:rsidR="00181EB1" w:rsidRDefault="00000000">
      <w:pPr>
        <w:pStyle w:val="Heading3"/>
      </w:pPr>
      <w:bookmarkStart w:id="35" w:name="X2217a73426969aa3255f137f1c1e7245c2e41e0"/>
      <w:bookmarkEnd w:id="34"/>
      <w:r>
        <w:rPr>
          <w:rStyle w:val="SectionNumber"/>
        </w:rPr>
        <w:t>4.3.2</w:t>
      </w:r>
      <w:r>
        <w:tab/>
        <w:t>Enhanced Recharge and Irrigation Efficiency</w:t>
      </w:r>
    </w:p>
    <w:p w14:paraId="26B5EB5A" w14:textId="77777777" w:rsidR="00181EB1" w:rsidRDefault="00000000">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2C12AD4B" w14:textId="77777777" w:rsidR="00181EB1" w:rsidRDefault="00000000">
      <w:pPr>
        <w:pStyle w:val="BodyText"/>
      </w:pPr>
      <w:r>
        <w:t>The Enhanced Recharge scenario simulates a Managed Aquifer Recharge (MAR) program diverting the maximum permitted diversion rate of 23 cfs (0.65 m</w:t>
      </w:r>
      <w:r>
        <w:rPr>
          <w:vertAlign w:val="superscript"/>
        </w:rPr>
        <w:t>3</w:t>
      </w:r>
      <w:r>
        <w:t>/sec), or 4151 acre-feet 5.1 10</w:t>
      </w:r>
      <w:r>
        <w:rPr>
          <w:vertAlign w:val="superscript"/>
        </w:rPr>
        <w:t>6</w:t>
      </w:r>
      <w:r>
        <w:t xml:space="preserve"> m</w:t>
      </w:r>
      <w:r>
        <w:rPr>
          <w:vertAlign w:val="superscript"/>
        </w:rPr>
        <w:t>3</w:t>
      </w:r>
      <w:r>
        <w:t>) total water volume from the Scott River over 90 or 91 days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Supplement A for map of recharge areas).</w:t>
      </w:r>
    </w:p>
    <w:p w14:paraId="638EE8AA" w14:textId="77777777" w:rsidR="00181EB1" w:rsidRDefault="00000000">
      <w:pPr>
        <w:pStyle w:val="BodyText"/>
      </w:pPr>
      <w:r>
        <w:lastRenderedPageBreak/>
        <w:t>Scenarios in these two categories have a minimal effect on crop ET (Figure 6 and Table 6; see also Supplements B-E, Figure 3). The lack of farmer cost is by design; this management strategy is intended to avoid any impacts on growing season operations.</w:t>
      </w:r>
    </w:p>
    <w:p w14:paraId="7C80BA77" w14:textId="77777777" w:rsidR="00181EB1" w:rsidRDefault="00000000">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maximum permitted surface water diversions are insufficient to improve flow conditions for fish in the fall.</w:t>
      </w:r>
    </w:p>
    <w:p w14:paraId="717E58F8" w14:textId="77777777" w:rsidR="00181EB1" w:rsidRDefault="00000000">
      <w:pPr>
        <w:pStyle w:val="Heading3"/>
      </w:pPr>
      <w:bookmarkStart w:id="36" w:name="irrigation-curtailment-alfalfa-all-crops"/>
      <w:bookmarkEnd w:id="35"/>
      <w:r>
        <w:rPr>
          <w:rStyle w:val="SectionNumber"/>
        </w:rPr>
        <w:t>4.3.3</w:t>
      </w:r>
      <w:r>
        <w:tab/>
        <w:t>Irrigation Curtailment (alfalfa; all crops)</w:t>
      </w:r>
    </w:p>
    <w:p w14:paraId="1728181C" w14:textId="77777777" w:rsidR="00181EB1" w:rsidRDefault="00000000">
      <w:pPr>
        <w:pStyle w:val="FirstParagraph"/>
      </w:pPr>
      <w:r>
        <w:t>Early cessation of irrigation on alfalfa fields effectively means that growers forgo the harvest of one or more hay cuttings, which can be a significant economic impact for a farm;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cutoff dates for irrigation were August 15 [closest to the basecase alfalfa irrigation cutoff date of September 5; Foglia et al. (2013)], July 31, and July 15.</w:t>
      </w:r>
    </w:p>
    <w:p w14:paraId="7831A0F1" w14:textId="77777777" w:rsidR="00181EB1" w:rsidRDefault="00000000">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Supplement A, Figure 2). For Chinook HB units, the impact on HB values is similarly progressive (Supplements D and E, Table 2 and Figure 3), but for coho units, the impact on HB values is more variable, since management scenarios may have a positive or negative effect on a </w:t>
      </w:r>
      <w:r>
        <w:rPr>
          <w:rStyle w:val="VerbatimChar"/>
        </w:rPr>
        <w:t>f1_FA_Dif_num</w:t>
      </w:r>
      <w:r>
        <w:t xml:space="preserve"> (see above). </w:t>
      </w:r>
    </w:p>
    <w:p w14:paraId="22F8354A" w14:textId="77777777" w:rsidR="00181EB1" w:rsidRDefault="00000000">
      <w:pPr>
        <w:pStyle w:val="Heading3"/>
      </w:pPr>
      <w:bookmarkStart w:id="37" w:name="crop-change"/>
      <w:bookmarkEnd w:id="36"/>
      <w:r>
        <w:rPr>
          <w:rStyle w:val="SectionNumber"/>
        </w:rPr>
        <w:t>4.3.4</w:t>
      </w:r>
      <w:r>
        <w:tab/>
        <w:t>Crop Change</w:t>
      </w:r>
    </w:p>
    <w:p w14:paraId="2721158D" w14:textId="77777777" w:rsidR="00181EB1" w:rsidRDefault="00000000">
      <w:pPr>
        <w:pStyle w:val="FirstParagraph"/>
      </w:pPr>
      <w:r>
        <w:t>In the Crop Change category, we simulate permanent grain cultivated on acreage that, in the basecase, is cultivated in an alfalfa-grain rotation (7 years alfalfa followed by 1 year of grain). During scenario design, fields were randomly assigned to be under permanent grain until a target acreage was reached: 6, 12, and 14 thousand acres.</w:t>
      </w:r>
    </w:p>
    <w:p w14:paraId="3B448882" w14:textId="77777777" w:rsidR="00181EB1" w:rsidRDefault="00000000">
      <w:pPr>
        <w:pStyle w:val="BodyText"/>
      </w:pPr>
      <w:r>
        <w:t xml:space="preserve">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@ref(fig:farmerFishTradeoffFigureMainText and (Table 6)). As mentioned before, the ET values in the Crop Change category are challenging to compare directly to those in other categories (see Discussion). </w:t>
      </w:r>
    </w:p>
    <w:p w14:paraId="4F35A53D" w14:textId="77777777" w:rsidR="00181EB1" w:rsidRDefault="00000000">
      <w:pPr>
        <w:pStyle w:val="Heading3"/>
      </w:pPr>
      <w:bookmarkStart w:id="38" w:name="low-flow-diversion-limits"/>
      <w:bookmarkEnd w:id="37"/>
      <w:r>
        <w:rPr>
          <w:rStyle w:val="SectionNumber"/>
        </w:rPr>
        <w:lastRenderedPageBreak/>
        <w:t>4.3.5</w:t>
      </w:r>
      <w:r>
        <w:tab/>
        <w:t>Low Flow Diversion Limits</w:t>
      </w:r>
    </w:p>
    <w:p w14:paraId="5810EFF9" w14:textId="77777777" w:rsidR="00181EB1" w:rsidRDefault="00000000">
      <w:pPr>
        <w:pStyle w:val="FirstParagraph"/>
      </w:pPr>
      <w:r>
        <w:t>In the basecase,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(SWRCB 2024a) (Figure 6 and Table 6).</w:t>
      </w:r>
    </w:p>
    <w:p w14:paraId="1CD302FE" w14:textId="77777777" w:rsidR="00181EB1" w:rsidRDefault="00000000">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66269473" w14:textId="77777777" w:rsidR="00181EB1" w:rsidRDefault="00000000">
      <w:pPr>
        <w:pStyle w:val="Heading3"/>
      </w:pPr>
      <w:bookmarkStart w:id="39" w:name="native-vegetation"/>
      <w:bookmarkEnd w:id="38"/>
      <w:r>
        <w:rPr>
          <w:rStyle w:val="SectionNumber"/>
        </w:rPr>
        <w:t>4.3.6</w:t>
      </w:r>
      <w:r>
        <w:tab/>
        <w:t>Native Vegetation</w:t>
      </w:r>
    </w:p>
    <w:p w14:paraId="7119F93C" w14:textId="77777777" w:rsidR="00181EB1" w:rsidRDefault="00000000">
      <w:pPr>
        <w:pStyle w:val="FirstParagraph"/>
      </w:pPr>
      <w:r>
        <w:t>The two categories of Native Vegetation scenario (NatVegL and NatVegH, for low and and high ET) are two end-member answers to the question: if currently-cultivated land were converted to native vegetation, what water consumption pattern would replace it?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w:t>
      </w:r>
    </w:p>
    <w:p w14:paraId="0C7B5D80" w14:textId="77777777" w:rsidR="00181EB1" w:rsidRDefault="00000000">
      <w:pPr>
        <w:pStyle w:val="BodyText"/>
      </w:pPr>
      <w:r>
        <w:t>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two NatVeg scenarios generate higher simulated FJ streamflow in most months of the model period.</w:t>
      </w:r>
    </w:p>
    <w:p w14:paraId="73BE9DC9" w14:textId="77777777" w:rsidR="00181EB1" w:rsidRDefault="00000000">
      <w:pPr>
        <w:pStyle w:val="BodyText"/>
      </w:pPr>
      <w:r>
        <w:t>For both coho and Chinook, as we would expect, increasing acreage of native vegetation reduces total crop ET (Figure 6 and Table 6; see also Supplements B-E, Figure 3). For coho (juvenile abundance), the effect on the environmental benefit is not strictly monotonic, but generally, more native vegetation produces higher HB values, and low-ET vegetation produces higher HB values than high-ET vegetation (Supplements B and C , Figure 3). For Chinook, the environmental effects of native vegetation scenarios are more variable (Supplpments D and E, Figure 3)</w:t>
      </w:r>
    </w:p>
    <w:p w14:paraId="72B82140" w14:textId="77777777" w:rsidR="00181EB1" w:rsidRDefault="00000000">
      <w:pPr>
        <w:pStyle w:val="Heading2"/>
      </w:pPr>
      <w:bookmarkStart w:id="40" w:name="X452f0639db2ebbe2cd3177f14e96530f2d1a15a"/>
      <w:bookmarkEnd w:id="31"/>
      <w:bookmarkEnd w:id="39"/>
      <w:r>
        <w:rPr>
          <w:rStyle w:val="SectionNumber"/>
        </w:rPr>
        <w:t>4.4</w:t>
      </w:r>
      <w:r>
        <w:tab/>
        <w:t>Infrastructure objective and Pareto-optimal set</w:t>
      </w:r>
    </w:p>
    <w:p w14:paraId="1CE0908F" w14:textId="77777777" w:rsidR="00181EB1" w:rsidRDefault="00000000">
      <w:pPr>
        <w:pStyle w:val="FirstParagraph"/>
      </w:pPr>
      <w:r>
        <w:t>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Supplements B, Figure 5) versus the other three HB units evaluated here (Supplements C-</w:t>
      </w:r>
      <w:r>
        <w:lastRenderedPageBreak/>
        <w:t>E, Figure 5), but overall patterns are similar. Among all 4 HB formulations, categories containing at least one Pareto-optimal solution were:</w:t>
      </w:r>
    </w:p>
    <w:p w14:paraId="6E167E9C" w14:textId="77777777" w:rsidR="00181EB1" w:rsidRDefault="00000000">
      <w:pPr>
        <w:pStyle w:val="Compact"/>
        <w:numPr>
          <w:ilvl w:val="0"/>
          <w:numId w:val="7"/>
        </w:numPr>
      </w:pPr>
      <w:r>
        <w:t>Reservoir (3 of 3 scenarios)</w:t>
      </w:r>
    </w:p>
    <w:p w14:paraId="70041D81" w14:textId="77777777" w:rsidR="00181EB1" w:rsidRDefault="00000000">
      <w:pPr>
        <w:pStyle w:val="Compact"/>
        <w:numPr>
          <w:ilvl w:val="0"/>
          <w:numId w:val="7"/>
        </w:numPr>
      </w:pPr>
      <w:r>
        <w:t>FlowLims (0-1 of 1)</w:t>
      </w:r>
    </w:p>
    <w:p w14:paraId="68ECE15C" w14:textId="77777777" w:rsidR="00181EB1" w:rsidRDefault="00000000">
      <w:pPr>
        <w:pStyle w:val="Compact"/>
        <w:numPr>
          <w:ilvl w:val="0"/>
          <w:numId w:val="7"/>
        </w:numPr>
      </w:pPr>
      <w:r>
        <w:t>IrrEff (0-1 of 2)</w:t>
      </w:r>
    </w:p>
    <w:p w14:paraId="628E7E3B" w14:textId="77777777" w:rsidR="00181EB1" w:rsidRDefault="00000000">
      <w:pPr>
        <w:pStyle w:val="Compact"/>
        <w:numPr>
          <w:ilvl w:val="0"/>
          <w:numId w:val="7"/>
        </w:numPr>
      </w:pPr>
      <w:r>
        <w:t>NatVeg low-ET (for coho) and high-ET (for Chinook) (1 of 4, full conversion only)</w:t>
      </w:r>
    </w:p>
    <w:p w14:paraId="0F8D8849" w14:textId="77777777" w:rsidR="00181EB1" w:rsidRDefault="00000000">
      <w:pPr>
        <w:pStyle w:val="Compact"/>
        <w:numPr>
          <w:ilvl w:val="0"/>
          <w:numId w:val="7"/>
        </w:numPr>
      </w:pPr>
      <w:r>
        <w:t>AlfIrr (2-3 of 3), and</w:t>
      </w:r>
    </w:p>
    <w:p w14:paraId="43B20CBF" w14:textId="77777777" w:rsidR="00181EB1" w:rsidRDefault="00000000">
      <w:pPr>
        <w:pStyle w:val="Compact"/>
        <w:numPr>
          <w:ilvl w:val="0"/>
          <w:numId w:val="7"/>
        </w:numPr>
      </w:pPr>
      <w:r>
        <w:t>Curtail (2-3 of 3).</w:t>
      </w:r>
    </w:p>
    <w:p w14:paraId="209FC604" w14:textId="77777777" w:rsidR="00181EB1" w:rsidRDefault="00000000">
      <w:pPr>
        <w:pStyle w:val="CaptionedFigure"/>
      </w:pPr>
      <w:r>
        <w:rPr>
          <w:noProof/>
        </w:rPr>
        <w:drawing>
          <wp:inline distT="0" distB="0" distL="0" distR="0" wp14:anchorId="41DAAE46" wp14:editId="7D5C7896">
            <wp:extent cx="4267200" cy="4075288"/>
            <wp:effectExtent l="0" t="0" r="0" b="0"/>
            <wp:docPr id="78" name="Picture" descr="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1"/>
                    <a:stretch>
                      <a:fillRect/>
                    </a:stretch>
                  </pic:blipFill>
                  <pic:spPr bwMode="auto">
                    <a:xfrm>
                      <a:off x="0" y="0"/>
                      <a:ext cx="4267200" cy="4075288"/>
                    </a:xfrm>
                    <a:prstGeom prst="rect">
                      <a:avLst/>
                    </a:prstGeom>
                    <a:noFill/>
                    <a:ln w="9525">
                      <a:noFill/>
                      <a:headEnd/>
                      <a:tailEnd/>
                    </a:ln>
                  </pic:spPr>
                </pic:pic>
              </a:graphicData>
            </a:graphic>
          </wp:inline>
        </w:drawing>
      </w:r>
    </w:p>
    <w:p w14:paraId="2C7C5DFF" w14:textId="77777777" w:rsidR="00181EB1" w:rsidRDefault="00000000">
      <w:pPr>
        <w:pStyle w:val="ImageCaption"/>
      </w:pPr>
      <w:bookmarkStart w:id="41" w:name="fig:farmerFishInfraFigure3D"/>
      <w:bookmarkEnd w:id="41"/>
      <w:r>
        <w:t>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w:t>
      </w:r>
    </w:p>
    <w:p w14:paraId="3A2ED19C" w14:textId="77777777" w:rsidR="00181EB1" w:rsidRDefault="00000000">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basecase, as it is the only scenario with an infrastructure category of 0 (no change needed); it includes five regulatory scenarios in category 1 (no new infrastructure needed); it includes two scenarios from category 2 (1-2 </w:t>
      </w:r>
      <w:r>
        <w:lastRenderedPageBreak/>
        <w:t>years timeline); and it includes all three reservoir scenarios, as they trace a small trade-off curve within their own category (5+ years timeline).</w:t>
      </w:r>
    </w:p>
    <w:p w14:paraId="312C1C93" w14:textId="77777777" w:rsidR="00181EB1" w:rsidRDefault="00000000">
      <w:pPr>
        <w:pStyle w:val="BodyText"/>
      </w:pPr>
      <w:r>
        <w:t>Several categories (such as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0450F126" w14:textId="77777777" w:rsidR="00181EB1" w:rsidRDefault="00000000">
      <w:pPr>
        <w:pStyle w:val="Heading2"/>
      </w:pPr>
      <w:bookmarkStart w:id="42" w:name="comparison-to-gsp-priorities"/>
      <w:bookmarkEnd w:id="40"/>
      <w:r>
        <w:rPr>
          <w:rStyle w:val="SectionNumber"/>
        </w:rPr>
        <w:t>4.5</w:t>
      </w:r>
      <w:r>
        <w:tab/>
        <w:t>Comparison to GSP Priorities</w:t>
      </w:r>
    </w:p>
    <w:p w14:paraId="303FE5B2" w14:textId="77777777" w:rsidR="00181EB1" w:rsidRDefault="00000000">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1E5B9B8F" w14:textId="77777777" w:rsidR="00181EB1" w:rsidRDefault="00000000">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 10</w:t>
      </w:r>
      <w:r>
        <w:rPr>
          <w:vertAlign w:val="superscript"/>
        </w:rPr>
        <w:t>3</w:t>
      </w:r>
      <w:r>
        <w:t xml:space="preserve"> coho smolt-equiv. HB value) are in Tier III, reflecting that they are technically and/or politically more challenging than Tiers I and II, and thus considered potentially implementable in the long-term.</w:t>
      </w:r>
    </w:p>
    <w:p w14:paraId="3B6B71C6" w14:textId="77777777" w:rsidR="00181EB1"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23F894F2" w14:textId="77777777" w:rsidR="00181EB1" w:rsidRDefault="00000000">
      <w:pPr>
        <w:pStyle w:val="TableCaption"/>
      </w:pPr>
      <w:bookmarkStart w:id="43" w:name="tab:gspMgmtList"/>
      <w:bookmarkEnd w:id="43"/>
      <w:r>
        <w:t>Table 7: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181EB1" w14:paraId="42529BDB" w14:textId="77777777" w:rsidTr="00181EB1">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6BD7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0396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61754"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9CA4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2F58B"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181EB1" w14:paraId="648C7986" w14:textId="77777777" w:rsidTr="00181EB1">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1E98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929D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663A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931E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CC5C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181EB1" w14:paraId="507BED43"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EEAC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20A7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780C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3D8B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E95F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181EB1" w14:paraId="50E620D3" w14:textId="77777777" w:rsidTr="00181EB1">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49F69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85AAC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F4E59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198BA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0F7AC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181EB1" w14:paraId="2AF60115" w14:textId="77777777" w:rsidTr="00181EB1">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6142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FB2F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0D02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DFA4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342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181EB1" w14:paraId="798EEB3B"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4439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E43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C6B6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C69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0C62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81EB1" w14:paraId="5A024C59"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33C8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F2D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E370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2188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3DF1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81EB1" w14:paraId="0E4ADE43" w14:textId="77777777" w:rsidTr="00181EB1">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37C7C1"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F6ED4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F9EFE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741C7F"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760FD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181EB1" w14:paraId="1F775C25" w14:textId="77777777" w:rsidTr="00181EB1">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D6F6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8A68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560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061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E498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181EB1" w14:paraId="4B283031"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AF5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636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FA5F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A62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085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81EB1" w14:paraId="02625D5A"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DB20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465ED"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20B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E2036"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67F67"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181EB1" w14:paraId="7D120A33" w14:textId="77777777" w:rsidTr="00181EB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EB63"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F675"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0A78C"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84C72"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A029"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181EB1" w14:paraId="0393F212" w14:textId="77777777" w:rsidTr="00181EB1">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E476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62470"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0DDB8"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D6873A"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E9C6E" w14:textId="77777777" w:rsidR="00181EB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5DBA424D" w14:textId="77777777" w:rsidR="00181EB1" w:rsidRDefault="00000000">
      <w:r>
        <w:br w:type="page"/>
      </w:r>
    </w:p>
    <w:p w14:paraId="4D8E72CB" w14:textId="77777777" w:rsidR="00181EB1" w:rsidRDefault="00000000">
      <w:pPr>
        <w:pStyle w:val="Heading1"/>
      </w:pPr>
      <w:bookmarkStart w:id="44" w:name="discussion"/>
      <w:bookmarkEnd w:id="26"/>
      <w:bookmarkEnd w:id="42"/>
      <w:r>
        <w:rPr>
          <w:rStyle w:val="SectionNumber"/>
        </w:rPr>
        <w:lastRenderedPageBreak/>
        <w:t>5</w:t>
      </w:r>
      <w:r>
        <w:tab/>
        <w:t>Discussion</w:t>
      </w:r>
    </w:p>
    <w:p w14:paraId="6CD6A205" w14:textId="77777777" w:rsidR="00181EB1" w:rsidRDefault="00000000">
      <w:pPr>
        <w:pStyle w:val="Heading2"/>
      </w:pPr>
      <w:bookmarkStart w:id="45" w:name="X36cbf7c8750cd854ae19409930ca35269b38594"/>
      <w:r>
        <w:rPr>
          <w:rStyle w:val="SectionNumber"/>
        </w:rPr>
        <w:t>5.1</w:t>
      </w:r>
      <w:r>
        <w:tab/>
        <w:t>Alternative options for the environmental objective function</w:t>
      </w:r>
    </w:p>
    <w:p w14:paraId="01129694" w14:textId="77777777" w:rsidR="00181EB1" w:rsidRDefault="00000000">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41274983" w14:textId="77777777" w:rsidR="00181EB1" w:rsidRDefault="00000000">
      <w:pPr>
        <w:pStyle w:val="BodyText"/>
      </w:pPr>
      <w:r>
        <w:t>Regardless of the design, the first requirement is sufficient data. The present study is based off of 15 to 23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1B3C04B4" w14:textId="77777777" w:rsidR="00181EB1" w:rsidRDefault="00000000">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ecosystems; i.e., flowrates associated with sufficient spatial habitat in specific reaches, or groundwater elevation supporting riparian vegetation. All of these options are “bottom-up” descriptions (Tharme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688D31B9" w14:textId="77777777" w:rsidR="00181EB1" w:rsidRDefault="00000000">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are effectively meaningless, since wet season median flows are largely beyond human control in this undammed watershed.</w:t>
      </w:r>
    </w:p>
    <w:p w14:paraId="0BB9793A" w14:textId="77777777" w:rsidR="00181EB1" w:rsidRDefault="00000000">
      <w:pPr>
        <w:pStyle w:val="Heading2"/>
      </w:pPr>
      <w:bookmarkStart w:id="46" w:name="trade-offs-among-all-three-objectives"/>
      <w:bookmarkEnd w:id="45"/>
      <w:r>
        <w:rPr>
          <w:rStyle w:val="SectionNumber"/>
        </w:rPr>
        <w:t>5.2</w:t>
      </w:r>
      <w:r>
        <w:tab/>
        <w:t>Trade-offs among all three objectives</w:t>
      </w:r>
    </w:p>
    <w:p w14:paraId="656C5293" w14:textId="77777777" w:rsidR="00181EB1" w:rsidRDefault="00000000">
      <w:pPr>
        <w:pStyle w:val="FirstParagraph"/>
      </w:pPr>
      <w:r>
        <w:t>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3) do not improve on this. Among the set of options considered here, it takes a high infrastructure cost (reservoir scenarios) to escape the trade-offs defined in the regulatory scenario categories.</w:t>
      </w:r>
    </w:p>
    <w:p w14:paraId="07A8CD90" w14:textId="77777777" w:rsidR="00181EB1" w:rsidRDefault="00000000">
      <w:pPr>
        <w:pStyle w:val="BodyText"/>
      </w:pPr>
      <w:r>
        <w:lastRenderedPageBreak/>
        <w:t>It’s clear that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71E2BFF6" w14:textId="77777777" w:rsidR="00181EB1" w:rsidRDefault="00000000">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22EB387B" w14:textId="77777777" w:rsidR="00181EB1" w:rsidRDefault="00000000">
      <w:pPr>
        <w:pStyle w:val="Heading2"/>
      </w:pPr>
      <w:bookmarkStart w:id="47" w:name="Xb48c0b1c357814727cacf50afe35e98b0bf92dd"/>
      <w:bookmarkEnd w:id="46"/>
      <w:r>
        <w:rPr>
          <w:rStyle w:val="SectionNumber"/>
        </w:rPr>
        <w:t>5.3</w:t>
      </w:r>
      <w:r>
        <w:tab/>
        <w:t>Pareto-optimal solution set and GSP priority management actions</w:t>
      </w:r>
    </w:p>
    <w:p w14:paraId="34E280C1" w14:textId="77777777" w:rsidR="00181EB1" w:rsidRDefault="00000000">
      <w:pPr>
        <w:pStyle w:val="FirstParagraph"/>
      </w:pPr>
      <w:r>
        <w:t>Within the proposed suite of management actions, across all four HB formulations, approximately half (10-13 of 25) fall within the Pareto-optimal set, based on the cost proxy and the 35-year average values of two objective functions (Supplements B-E, Figure 5 and Table 2). (As mentioned above, Pareto-suboptimal status is less certain in the case of the Crop Change scenarios.)</w:t>
      </w:r>
    </w:p>
    <w:p w14:paraId="70723D2F" w14:textId="77777777" w:rsidR="00181EB1"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69A22271" w14:textId="77777777" w:rsidR="00181EB1" w:rsidRDefault="00000000">
      <w:pPr>
        <w:pStyle w:val="Heading1"/>
      </w:pPr>
      <w:bookmarkStart w:id="48" w:name="conclusion"/>
      <w:bookmarkEnd w:id="44"/>
      <w:bookmarkEnd w:id="47"/>
      <w:r>
        <w:rPr>
          <w:rStyle w:val="SectionNumber"/>
        </w:rPr>
        <w:t>6</w:t>
      </w:r>
      <w:r>
        <w:tab/>
        <w:t>Conclusion</w:t>
      </w:r>
    </w:p>
    <w:p w14:paraId="0C103853" w14:textId="77777777" w:rsidR="00181EB1" w:rsidRDefault="00000000">
      <w:pPr>
        <w:pStyle w:val="FirstParagraph"/>
      </w:pPr>
      <w:r>
        <w:t>In Scott Valley, like in many semi-arid rural areas, agricultural and ecological water demands are in competition. For this study, functions quantifying the achievement of two regional management priorities (environmental and agricultural objectives) were applied to the results of 25 simulated water management scenarios (including a historical basecase). In addition, scenarios were assigned a categorical proxy for new infrastructure costs. We used these numerical values to quantitatively explore trade-offs in environmental and agricultural benefit among the suite of actions proposed by stakeholders, at multiple levels of infrastructure investment.</w:t>
      </w:r>
    </w:p>
    <w:p w14:paraId="654D7183" w14:textId="77777777" w:rsidR="00181EB1" w:rsidRDefault="00000000">
      <w:pPr>
        <w:pStyle w:val="BodyText"/>
      </w:pPr>
      <w:r>
        <w:lastRenderedPageBreak/>
        <w:t>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is influenced by the specific flow metrics included in the environmental objective function (explored further in Discussion.)</w:t>
      </w:r>
    </w:p>
    <w:p w14:paraId="6708929E" w14:textId="77777777" w:rsidR="00181EB1" w:rsidRDefault="00000000">
      <w:pPr>
        <w:pStyle w:val="BodyText"/>
      </w:pPr>
      <w:r>
        <w:t>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Of course, three objective functions cannot capture all the technical, political and economic dimensions of water management. However, this objective-function approach could be used in future stakeholder discussions to clarify group goals and make trade-offs more explicit.</w:t>
      </w:r>
    </w:p>
    <w:p w14:paraId="4EEDA40B" w14:textId="77777777" w:rsidR="00181EB1" w:rsidRDefault="00000000">
      <w:pPr>
        <w:pStyle w:val="BodyText"/>
      </w:pPr>
      <w:r>
        <w:t>In this case study, we demonstrate that in basins using hydrologic models for water management, a scenario design process conducted in a public collaborative setting can yield a politically-relevant set of scenarios, and stakeholder-driven objective functions can be used to clarify tradeoffs and build a management “landscape” of outcomes. Such a landscape can be a valuable tool in assessing reasonableness of any proposed management action, and in generating community buy-in, as rural semi-arid regions work to implement adaptive water management.</w:t>
      </w:r>
    </w:p>
    <w:p w14:paraId="0DBB2260" w14:textId="77777777" w:rsidR="00181EB1" w:rsidRDefault="00000000">
      <w:r>
        <w:br w:type="page"/>
      </w:r>
    </w:p>
    <w:p w14:paraId="5F227153" w14:textId="77777777" w:rsidR="00181EB1" w:rsidRDefault="00000000">
      <w:pPr>
        <w:pStyle w:val="Heading1"/>
      </w:pPr>
      <w:bookmarkStart w:id="49" w:name="acknowledgments"/>
      <w:bookmarkEnd w:id="48"/>
      <w:r>
        <w:lastRenderedPageBreak/>
        <w:t>Acknowledgments</w:t>
      </w:r>
    </w:p>
    <w:p w14:paraId="47625CB0" w14:textId="77777777" w:rsidR="00181EB1" w:rsidRDefault="00000000">
      <w:pPr>
        <w:pStyle w:val="Heading1"/>
      </w:pPr>
      <w:bookmarkStart w:id="50" w:name="references"/>
      <w:bookmarkEnd w:id="49"/>
      <w:r>
        <w:rPr>
          <w:rStyle w:val="SectionNumber"/>
        </w:rPr>
        <w:t>7</w:t>
      </w:r>
      <w:r>
        <w:tab/>
        <w:t>References</w:t>
      </w:r>
    </w:p>
    <w:p w14:paraId="238A961E" w14:textId="77777777" w:rsidR="00181EB1" w:rsidRDefault="00000000">
      <w:pPr>
        <w:pStyle w:val="Bibliography"/>
      </w:pPr>
      <w:bookmarkStart w:id="51" w:name="ref-AgrawalEtAlPREDICTING2005"/>
      <w:bookmarkStart w:id="52" w:name="refs"/>
      <w:r>
        <w:t>Agrawal, A, R S Schick, E P Bjorkstedt, R G Szerlong, M N Goslin, B C Spence, T H Williams, and K M Burnett. 2005. “PREDICTING THE POTENTIAL FOR HISTORICAL COHO, CHINOOK AND STEELHEAD HABITAT IN NORTHERN CALIFORNIA.” National Marine Fisheries Service.</w:t>
      </w:r>
    </w:p>
    <w:p w14:paraId="16ADCFFF" w14:textId="77777777" w:rsidR="00181EB1" w:rsidRDefault="00000000">
      <w:pPr>
        <w:pStyle w:val="Bibliography"/>
      </w:pPr>
      <w:bookmarkStart w:id="53" w:name="ref-BaruchEtAlMimicking2024"/>
      <w:bookmarkEnd w:id="51"/>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2">
        <w:r>
          <w:rPr>
            <w:rStyle w:val="Hyperlink"/>
          </w:rPr>
          <w:t>https://doi.org/10.1002/eap.3013</w:t>
        </w:r>
      </w:hyperlink>
      <w:r>
        <w:t>.</w:t>
      </w:r>
    </w:p>
    <w:p w14:paraId="25112DF9" w14:textId="77777777" w:rsidR="00181EB1" w:rsidRDefault="00000000">
      <w:pPr>
        <w:pStyle w:val="Bibliography"/>
      </w:pPr>
      <w:bookmarkStart w:id="54" w:name="ref-BorkHirokawaTrends2021"/>
      <w:bookmarkEnd w:id="53"/>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1F1D761C" w14:textId="77777777" w:rsidR="00181EB1" w:rsidRDefault="00000000">
      <w:pPr>
        <w:pStyle w:val="Bibliography"/>
      </w:pPr>
      <w:bookmarkStart w:id="55" w:name="ref-BrownEtAlFuture2015"/>
      <w:bookmarkEnd w:id="54"/>
      <w:r>
        <w:t xml:space="preserve">Brown, Casey M., Jay R. Lund, Ximing Cai, Patrick M. Reed, Edith A. Zagona, Avi Ostfeld, Jim Hall, Gregory W. Characklis, Winston Yu, and Levi Brekke. 2015. “The Future of Water Resources Systems Analysis: Toward a Scientific Framework for Sustainable Water Management.” </w:t>
      </w:r>
      <w:r>
        <w:rPr>
          <w:i/>
          <w:iCs/>
        </w:rPr>
        <w:t>Water Resources Research</w:t>
      </w:r>
      <w:r>
        <w:t xml:space="preserve"> 51 (8): 6110–24. </w:t>
      </w:r>
      <w:hyperlink r:id="rId14">
        <w:r>
          <w:rPr>
            <w:rStyle w:val="Hyperlink"/>
          </w:rPr>
          <w:t>https://doi.org/10.1002/2015WR017114</w:t>
        </w:r>
      </w:hyperlink>
      <w:r>
        <w:t>.</w:t>
      </w:r>
    </w:p>
    <w:p w14:paraId="4848E30B" w14:textId="77777777" w:rsidR="00181EB1" w:rsidRDefault="00000000">
      <w:pPr>
        <w:pStyle w:val="Bibliography"/>
      </w:pPr>
      <w:bookmarkStart w:id="56" w:name="ref-BrownEtAlHistorical1994"/>
      <w:bookmarkEnd w:id="5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5">
        <w:r>
          <w:rPr>
            <w:rStyle w:val="Hyperlink"/>
          </w:rPr>
          <w:t>https://doi.org/10.1577/1548-8675(1994)014&lt;0237:HDACSO&gt;2.3.CO;2</w:t>
        </w:r>
      </w:hyperlink>
      <w:r>
        <w:t>.</w:t>
      </w:r>
    </w:p>
    <w:p w14:paraId="2F3AF2CA" w14:textId="77777777" w:rsidR="00181EB1" w:rsidRDefault="00000000">
      <w:pPr>
        <w:pStyle w:val="Bibliography"/>
      </w:pPr>
      <w:bookmarkStart w:id="57" w:name="ref-CDFWInfluence2021"/>
      <w:bookmarkEnd w:id="56"/>
      <w:r>
        <w:t>California Department of Fish and Wildlife. 2021. “Appendix 2: Influence of Scott River in-Stream Flow on the Distribution and Migration Timing of Fall Chinook Salmon and Coho Salmon.”</w:t>
      </w:r>
    </w:p>
    <w:p w14:paraId="03810867" w14:textId="77777777" w:rsidR="00181EB1" w:rsidRDefault="00000000">
      <w:pPr>
        <w:pStyle w:val="Bibliography"/>
      </w:pPr>
      <w:bookmarkStart w:id="58" w:name="X7c5765d4bf46367820355fe718939efb3be661f"/>
      <w:bookmarkEnd w:id="57"/>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082C02CE" w14:textId="77777777" w:rsidR="00181EB1" w:rsidRDefault="00000000">
      <w:pPr>
        <w:pStyle w:val="Bibliography"/>
      </w:pPr>
      <w:bookmarkStart w:id="59" w:name="ref-CNRAEtAlCalifornias2022"/>
      <w:bookmarkEnd w:id="58"/>
      <w:r>
        <w:t>California Natural Resources Agency, California For All, California Department of Water Resources, California Water Boards, California Environmental Protection Agency, and California Department of Food &amp; Agriculture. 2022. “CALIFORNIA’S WATER SUPPLY STRATEGY: Adapting to a Hotter, Drier Future.”</w:t>
      </w:r>
    </w:p>
    <w:p w14:paraId="1B7452D5" w14:textId="77777777" w:rsidR="00181EB1" w:rsidRDefault="00000000">
      <w:pPr>
        <w:pStyle w:val="Bibliography"/>
      </w:pPr>
      <w:bookmarkStart w:id="60" w:name="X6ef878f889213098c200c5acad35595649e9db2"/>
      <w:bookmarkEnd w:id="59"/>
      <w:r>
        <w:t>California State Water Resources Control Board (SWRCB). 1975. “Report on Hydrogeologic Conditions, Scott River Valley, Scott River Valley.”</w:t>
      </w:r>
    </w:p>
    <w:p w14:paraId="589A7F7B" w14:textId="77777777" w:rsidR="00181EB1" w:rsidRDefault="00000000">
      <w:pPr>
        <w:pStyle w:val="Bibliography"/>
      </w:pPr>
      <w:bookmarkStart w:id="61" w:name="ref-CardwellEtAlDesigning1996"/>
      <w:bookmarkEnd w:id="60"/>
      <w:r>
        <w:lastRenderedPageBreak/>
        <w:t xml:space="preserve">Cardwell, Hal, Henriette I. Jager, and Michael J. Sale. 1996. “Designing Instream Flows to Satisfy Fish and Human Water Needs.” </w:t>
      </w:r>
      <w:r>
        <w:rPr>
          <w:i/>
          <w:iCs/>
        </w:rPr>
        <w:t>Journal of Water Resources Planning and Management</w:t>
      </w:r>
      <w:r>
        <w:t xml:space="preserve"> 122 (5): 356–63. </w:t>
      </w:r>
      <w:hyperlink r:id="rId16">
        <w:r>
          <w:rPr>
            <w:rStyle w:val="Hyperlink"/>
          </w:rPr>
          <w:t>https://doi.org/10.1061/(ASCE)0733-9496(1996)122:5(356)</w:t>
        </w:r>
      </w:hyperlink>
      <w:r>
        <w:t>.</w:t>
      </w:r>
    </w:p>
    <w:p w14:paraId="3A19842D" w14:textId="77777777" w:rsidR="00181EB1" w:rsidRDefault="00000000">
      <w:pPr>
        <w:pStyle w:val="Bibliography"/>
      </w:pPr>
      <w:bookmarkStart w:id="62" w:name="ref-CarpenterAccurately2024"/>
      <w:bookmarkEnd w:id="61"/>
      <w:r>
        <w:t>Carpenter, Cameron. 2024. “Accurately Identifying Functional Flow Metrics in Flashy and Highly Altered Stream Systems.” Master’s thesis, University of California, Davis.</w:t>
      </w:r>
    </w:p>
    <w:p w14:paraId="7FF07ACD" w14:textId="77777777" w:rsidR="00181EB1" w:rsidRDefault="00000000">
      <w:pPr>
        <w:pStyle w:val="Bibliography"/>
      </w:pPr>
      <w:bookmarkStart w:id="63" w:name="ref-CarterSheafferAlfalfa1983"/>
      <w:bookmarkEnd w:id="62"/>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7">
        <w:r>
          <w:rPr>
            <w:rStyle w:val="Hyperlink"/>
          </w:rPr>
          <w:t>https://doi.org/10.2135/cropsci1983.0011183X002300040016x</w:t>
        </w:r>
      </w:hyperlink>
      <w:r>
        <w:t>.</w:t>
      </w:r>
    </w:p>
    <w:p w14:paraId="47A3FD1D" w14:textId="77777777" w:rsidR="00181EB1" w:rsidRDefault="00000000">
      <w:pPr>
        <w:pStyle w:val="Bibliography"/>
      </w:pPr>
      <w:bookmarkStart w:id="64" w:name="ref-CohonMarksMultiobjective1973"/>
      <w:bookmarkEnd w:id="63"/>
      <w:r>
        <w:t xml:space="preserve">Cohon, Jared L., and David H. Marks. 1973. “Multiobjective Screening Models and Water Resource Investment.” </w:t>
      </w:r>
      <w:r>
        <w:rPr>
          <w:i/>
          <w:iCs/>
        </w:rPr>
        <w:t>Water Resources Research</w:t>
      </w:r>
      <w:r>
        <w:t xml:space="preserve"> 9 (4): 826–36. </w:t>
      </w:r>
      <w:hyperlink r:id="rId18">
        <w:r>
          <w:rPr>
            <w:rStyle w:val="Hyperlink"/>
          </w:rPr>
          <w:t>https://doi.org/10.1029/WR009i004p00826</w:t>
        </w:r>
      </w:hyperlink>
      <w:r>
        <w:t>.</w:t>
      </w:r>
    </w:p>
    <w:p w14:paraId="79321813" w14:textId="77777777" w:rsidR="00181EB1" w:rsidRDefault="00000000">
      <w:pPr>
        <w:pStyle w:val="Bibliography"/>
      </w:pPr>
      <w:bookmarkStart w:id="65" w:name="ref-CohonMarksReview1975"/>
      <w:bookmarkEnd w:id="64"/>
      <w:r>
        <w:t xml:space="preserve">———. 1975. “A Review and Evaluation of Multiobjective Programing Techniques.” </w:t>
      </w:r>
      <w:r>
        <w:rPr>
          <w:i/>
          <w:iCs/>
        </w:rPr>
        <w:t>Water Resources Research</w:t>
      </w:r>
      <w:r>
        <w:t xml:space="preserve"> 11 (2): 208–20. </w:t>
      </w:r>
      <w:hyperlink r:id="rId19">
        <w:r>
          <w:rPr>
            <w:rStyle w:val="Hyperlink"/>
          </w:rPr>
          <w:t>https://doi.org/10.1029/WR011i002p00208</w:t>
        </w:r>
      </w:hyperlink>
      <w:r>
        <w:t>.</w:t>
      </w:r>
    </w:p>
    <w:p w14:paraId="11D2893E" w14:textId="77777777" w:rsidR="00181EB1" w:rsidRDefault="00000000">
      <w:pPr>
        <w:pStyle w:val="Bibliography"/>
      </w:pPr>
      <w:bookmarkStart w:id="66" w:name="ref-MaassEtAl11962"/>
      <w:bookmarkEnd w:id="65"/>
      <w:r>
        <w:rPr>
          <w:i/>
          <w:iCs/>
        </w:rPr>
        <w:t>Design of Water-Resource Systems: New Techniques for Relating Economic Objectives, Engineering Analysis, and Governmental Planning</w:t>
      </w:r>
      <w:r>
        <w:t xml:space="preserve">. 1962. Harvard University Press. </w:t>
      </w:r>
      <w:hyperlink r:id="rId20">
        <w:r>
          <w:rPr>
            <w:rStyle w:val="Hyperlink"/>
          </w:rPr>
          <w:t>https://doi.org/10.4159/harvard.9780674421042.intro</w:t>
        </w:r>
      </w:hyperlink>
      <w:r>
        <w:t>.</w:t>
      </w:r>
    </w:p>
    <w:p w14:paraId="54E7B835" w14:textId="77777777" w:rsidR="00181EB1" w:rsidRDefault="00000000">
      <w:pPr>
        <w:pStyle w:val="Bibliography"/>
      </w:pPr>
      <w:bookmarkStart w:id="67" w:name="ref-DiBaldassarreEtAlSociohydrology2019"/>
      <w:bookmarkEnd w:id="66"/>
      <w:r>
        <w:t xml:space="preserve">Di Baldassarre, Giuliano, Murugesu Sivapalan, Maria Rusca, Christophe Cudennec, Margaret Garcia, Heidi Kreibich, Megan Konar, et al. 2019. “Sociohydrology: Scientific Challenges in Addressing the Sustainable Development Goals.” </w:t>
      </w:r>
      <w:r>
        <w:rPr>
          <w:i/>
          <w:iCs/>
        </w:rPr>
        <w:t>Water Resources Research</w:t>
      </w:r>
      <w:r>
        <w:t xml:space="preserve"> 55 (8): 6327–55. </w:t>
      </w:r>
      <w:hyperlink r:id="rId21">
        <w:r>
          <w:rPr>
            <w:rStyle w:val="Hyperlink"/>
          </w:rPr>
          <w:t>https://doi.org/10.1029/2018WR023901</w:t>
        </w:r>
      </w:hyperlink>
      <w:r>
        <w:t>.</w:t>
      </w:r>
    </w:p>
    <w:p w14:paraId="5892BB4B" w14:textId="77777777" w:rsidR="00181EB1" w:rsidRDefault="00000000">
      <w:pPr>
        <w:pStyle w:val="Bibliography"/>
      </w:pPr>
      <w:bookmarkStart w:id="68" w:name="ref-FogliaEtAlScott2013"/>
      <w:bookmarkEnd w:id="67"/>
      <w:r>
        <w:t>Foglia, Laura, Alison McNally, Courtney Hall, Lauren Ledesma, Ryan Hines, and Thomas Harter. 2013. “Scott Valley Integrated Hydrologic Model: Data Collection, Analysis, and Water Budget.” Davis, CA: North Coast Regional Water Quality Control Board.</w:t>
      </w:r>
    </w:p>
    <w:p w14:paraId="1028179F" w14:textId="77777777" w:rsidR="00181EB1" w:rsidRDefault="00000000">
      <w:pPr>
        <w:pStyle w:val="Bibliography"/>
      </w:pPr>
      <w:bookmarkStart w:id="69" w:name="Xff198d1a9510a26c6b6a97c9924d7fdc8be1418"/>
      <w:bookmarkEnd w:id="68"/>
      <w:r>
        <w:t>Fox Canyon Groundwater Management Agency. 2019. “Groundwater Sustainability Plan for the Oxnard Subbasin.” Ventura, CA: Fox Canyon Groundwater Manegement Agency.</w:t>
      </w:r>
    </w:p>
    <w:p w14:paraId="6D1EED66" w14:textId="77777777" w:rsidR="00181EB1" w:rsidRDefault="00000000">
      <w:pPr>
        <w:pStyle w:val="Bibliography"/>
      </w:pPr>
      <w:bookmarkStart w:id="70" w:name="ref-FreemanWICKED2000"/>
      <w:bookmarkEnd w:id="69"/>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2">
        <w:r>
          <w:rPr>
            <w:rStyle w:val="Hyperlink"/>
          </w:rPr>
          <w:t>https://doi.org/10.1111/j.1752-1688.2000.tb04280.x</w:t>
        </w:r>
      </w:hyperlink>
      <w:r>
        <w:t>.</w:t>
      </w:r>
    </w:p>
    <w:p w14:paraId="56865C90" w14:textId="77777777" w:rsidR="00181EB1" w:rsidRDefault="00000000">
      <w:pPr>
        <w:pStyle w:val="Bibliography"/>
      </w:pPr>
      <w:bookmarkStart w:id="71" w:name="ref-GorelickReview1983"/>
      <w:bookmarkEnd w:id="70"/>
      <w:r>
        <w:t xml:space="preserve">Gorelick, Steven M. 1983. “A Review of Distributed Parameter Groundwater Management Modeling Methods.” </w:t>
      </w:r>
      <w:r>
        <w:rPr>
          <w:i/>
          <w:iCs/>
        </w:rPr>
        <w:t>Water Resources Research</w:t>
      </w:r>
      <w:r>
        <w:t xml:space="preserve"> 19 (2): 305–19. </w:t>
      </w:r>
      <w:hyperlink r:id="rId23">
        <w:r>
          <w:rPr>
            <w:rStyle w:val="Hyperlink"/>
          </w:rPr>
          <w:t>https://doi.org/10.1029/WR019i002p00305</w:t>
        </w:r>
      </w:hyperlink>
      <w:r>
        <w:t>.</w:t>
      </w:r>
    </w:p>
    <w:p w14:paraId="7B99D98C" w14:textId="77777777" w:rsidR="00181EB1" w:rsidRDefault="00000000">
      <w:pPr>
        <w:pStyle w:val="Bibliography"/>
      </w:pPr>
      <w:bookmarkStart w:id="72" w:name="ref-HarterHinesSCOTT2008"/>
      <w:bookmarkEnd w:id="71"/>
      <w:r>
        <w:t>Harter, Thomas, and Ryan Hines. 2008. “SCOTT VALLEY COMMUNITY GROUNDWATER STUDY PLAN.” University of California, Davis.</w:t>
      </w:r>
    </w:p>
    <w:p w14:paraId="583BDCE0" w14:textId="77777777" w:rsidR="00181EB1" w:rsidRDefault="00000000">
      <w:pPr>
        <w:pStyle w:val="Bibliography"/>
      </w:pPr>
      <w:bookmarkStart w:id="73" w:name="ref-JagerRoseDesigning2003"/>
      <w:bookmarkEnd w:id="72"/>
      <w:r>
        <w:t xml:space="preserve">Jager, Henriette I., and Kenneth A. Rose. 2003. “Designing Optimal Flow Patterns for Fall Chinook Salmon in a Central Valley, California, River.” </w:t>
      </w:r>
      <w:r>
        <w:rPr>
          <w:i/>
          <w:iCs/>
        </w:rPr>
        <w:t xml:space="preserve">North American Journal of Fisheries </w:t>
      </w:r>
      <w:r>
        <w:rPr>
          <w:i/>
          <w:iCs/>
        </w:rPr>
        <w:lastRenderedPageBreak/>
        <w:t>Management</w:t>
      </w:r>
      <w:r>
        <w:t xml:space="preserve"> 23 (1): 1–21. </w:t>
      </w:r>
      <w:hyperlink r:id="rId24">
        <w:r>
          <w:rPr>
            <w:rStyle w:val="Hyperlink"/>
          </w:rPr>
          <w:t>https://doi.org/10.1577/1548-8675(2003)023&lt;0001:DOFPFF&gt;2.0.CO;2</w:t>
        </w:r>
      </w:hyperlink>
      <w:r>
        <w:t>.</w:t>
      </w:r>
    </w:p>
    <w:p w14:paraId="0B955186" w14:textId="77777777" w:rsidR="00181EB1" w:rsidRDefault="00000000">
      <w:pPr>
        <w:pStyle w:val="Bibliography"/>
      </w:pPr>
      <w:bookmarkStart w:id="74" w:name="ref-KapelanEtAlMultiobjective2005"/>
      <w:bookmarkEnd w:id="73"/>
      <w:r>
        <w:t xml:space="preserve">Kapelan, Zoran S., Dragan A. Savic, and Godfrey A. Walters. 2005. “Multiobjective Design of Water Distribution Systems Under Uncertainty.” </w:t>
      </w:r>
      <w:r>
        <w:rPr>
          <w:i/>
          <w:iCs/>
        </w:rPr>
        <w:t>Water Resources Research</w:t>
      </w:r>
      <w:r>
        <w:t xml:space="preserve"> 41 (11): 2004WR003787. </w:t>
      </w:r>
      <w:hyperlink r:id="rId25">
        <w:r>
          <w:rPr>
            <w:rStyle w:val="Hyperlink"/>
          </w:rPr>
          <w:t>https://doi.org/10.1029/2004WR003787</w:t>
        </w:r>
      </w:hyperlink>
      <w:r>
        <w:t>.</w:t>
      </w:r>
    </w:p>
    <w:p w14:paraId="7A65347A" w14:textId="77777777" w:rsidR="00181EB1" w:rsidRDefault="00000000">
      <w:pPr>
        <w:pStyle w:val="Bibliography"/>
      </w:pPr>
      <w:bookmarkStart w:id="75" w:name="ref-KnechtleGiudice20192020"/>
      <w:bookmarkEnd w:id="74"/>
      <w:r>
        <w:t>Knechtle, Morgan, and Domenic Giudice. 2020. “2019 SCOTT RIVER SALMON STUDIES FINAL REPORT.” California Department of Fish and Wildlife.</w:t>
      </w:r>
    </w:p>
    <w:p w14:paraId="179B325F" w14:textId="77777777" w:rsidR="00181EB1" w:rsidRDefault="00000000">
      <w:pPr>
        <w:pStyle w:val="Bibliography"/>
      </w:pPr>
      <w:bookmarkStart w:id="76" w:name="ref-KoubaEtAlWatershedSpecific2025"/>
      <w:bookmarkEnd w:id="75"/>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26">
        <w:r>
          <w:rPr>
            <w:rStyle w:val="Hyperlink"/>
          </w:rPr>
          <w:t>https://doi.org/10.1002/eco.70098</w:t>
        </w:r>
      </w:hyperlink>
      <w:r>
        <w:t>.</w:t>
      </w:r>
    </w:p>
    <w:p w14:paraId="37E81857" w14:textId="77777777" w:rsidR="00181EB1" w:rsidRDefault="00000000">
      <w:pPr>
        <w:pStyle w:val="Bibliography"/>
      </w:pPr>
      <w:bookmarkStart w:id="77" w:name="ref-LabadieOptimal2004"/>
      <w:bookmarkEnd w:id="76"/>
      <w:r>
        <w:t xml:space="preserve">Labadie, John W. 2004. “Optimal Operation of Multireservoir Systems: State-of-the-Art Review.” </w:t>
      </w:r>
      <w:r>
        <w:rPr>
          <w:i/>
          <w:iCs/>
        </w:rPr>
        <w:t>Journal of Water Resources Planning and Management</w:t>
      </w:r>
      <w:r>
        <w:t xml:space="preserve"> 130 (2): 93–111. </w:t>
      </w:r>
      <w:hyperlink r:id="rId27">
        <w:r>
          <w:rPr>
            <w:rStyle w:val="Hyperlink"/>
          </w:rPr>
          <w:t>https://doi.org/10.1061/(ASCE)0733-9496(2004)130:2(93)</w:t>
        </w:r>
      </w:hyperlink>
      <w:r>
        <w:t>.</w:t>
      </w:r>
    </w:p>
    <w:p w14:paraId="5DFA936D" w14:textId="77777777" w:rsidR="00181EB1" w:rsidRDefault="00000000">
      <w:pPr>
        <w:pStyle w:val="Bibliography"/>
      </w:pPr>
      <w:bookmarkStart w:id="78" w:name="ref-MackGeology1958"/>
      <w:bookmarkEnd w:id="77"/>
      <w:r>
        <w:t xml:space="preserve">Mack, Seymour. 1958. “Geology and Ground-Water Features of Scott Valley, Siskiyou County, California.” Geological {{Survey Water-Supply Paper}} 1462. United States Geological Survey. </w:t>
      </w:r>
      <w:hyperlink r:id="rId28">
        <w:r>
          <w:rPr>
            <w:rStyle w:val="Hyperlink"/>
          </w:rPr>
          <w:t>https://doi.org/10.3133/wsp1462</w:t>
        </w:r>
      </w:hyperlink>
      <w:r>
        <w:t>.</w:t>
      </w:r>
    </w:p>
    <w:p w14:paraId="70F6A3EC" w14:textId="77777777" w:rsidR="00181EB1" w:rsidRDefault="00000000">
      <w:pPr>
        <w:pStyle w:val="Bibliography"/>
      </w:pPr>
      <w:bookmarkStart w:id="79" w:name="ref-MagranetScott2015a"/>
      <w:bookmarkEnd w:id="78"/>
      <w:r>
        <w:t>Magranet, Lindsay. 2015. “Scott River Fall Chinook Spawning Ground Surveys.” Etna, CA: Siskiyou Resource Conservation District.</w:t>
      </w:r>
    </w:p>
    <w:p w14:paraId="40FB8115" w14:textId="77777777" w:rsidR="00181EB1" w:rsidRDefault="00000000">
      <w:pPr>
        <w:pStyle w:val="Bibliography"/>
      </w:pPr>
      <w:bookmarkStart w:id="80" w:name="ref-MagranetScott2017"/>
      <w:bookmarkEnd w:id="79"/>
      <w:r>
        <w:t>———. 2017. “Scott River Fall Chinook Spawning Ground Surveys.” Etna, CA: Siskiyou Resource Conservation District.</w:t>
      </w:r>
    </w:p>
    <w:p w14:paraId="0B93CF49" w14:textId="77777777" w:rsidR="00181EB1" w:rsidRDefault="00000000">
      <w:pPr>
        <w:pStyle w:val="Bibliography"/>
      </w:pPr>
      <w:bookmarkStart w:id="81" w:name="ref-MagranetScott2018"/>
      <w:bookmarkEnd w:id="80"/>
      <w:r>
        <w:t>———. 2018. “Scott River Fall Chinook Spawning Ground Surveys 2017 Season.” Etna, CA: Siskiyou Resource Conservation District.</w:t>
      </w:r>
    </w:p>
    <w:p w14:paraId="4083D007" w14:textId="77777777" w:rsidR="00181EB1" w:rsidRDefault="00000000">
      <w:pPr>
        <w:pStyle w:val="Bibliography"/>
      </w:pPr>
      <w:bookmarkStart w:id="82" w:name="ref-MagranetYokelScott2017"/>
      <w:bookmarkEnd w:id="81"/>
      <w:r>
        <w:t>Magranet, Lindsay, and Erich Yokel. 2017. “Scott River Adult Coho Spawning Ground Surveys 2016-2017 Season.” Etna, CA: Siskiyou Resource Conservation District.</w:t>
      </w:r>
    </w:p>
    <w:p w14:paraId="1BD07257" w14:textId="77777777" w:rsidR="00181EB1" w:rsidRDefault="00000000">
      <w:pPr>
        <w:pStyle w:val="Bibliography"/>
      </w:pPr>
      <w:bookmarkStart w:id="83" w:name="ref-MahoneyRoodStreamflow1998"/>
      <w:bookmarkEnd w:id="82"/>
      <w:r>
        <w:t xml:space="preserve">Mahoney, John M., and Stewart B. Rood. 1998. “Streamflow Requirements for Cottonwood Seedling Recruitment—An Integrative Model.” </w:t>
      </w:r>
      <w:r>
        <w:rPr>
          <w:i/>
          <w:iCs/>
        </w:rPr>
        <w:t>Wetlands</w:t>
      </w:r>
      <w:r>
        <w:t xml:space="preserve"> 18 (4): 634–45. </w:t>
      </w:r>
      <w:hyperlink r:id="rId29">
        <w:r>
          <w:rPr>
            <w:rStyle w:val="Hyperlink"/>
          </w:rPr>
          <w:t>https://doi.org/10.1007/BF03161678</w:t>
        </w:r>
      </w:hyperlink>
      <w:r>
        <w:t>.</w:t>
      </w:r>
    </w:p>
    <w:p w14:paraId="26BF2642" w14:textId="77777777" w:rsidR="00181EB1" w:rsidRDefault="00000000">
      <w:pPr>
        <w:pStyle w:val="Bibliography"/>
      </w:pPr>
      <w:bookmarkStart w:id="84" w:name="ref-McMahonHabitat1983"/>
      <w:bookmarkEnd w:id="83"/>
      <w:r>
        <w:t>McMahon, Thomas E. 1983. “Habitat Suitability Index Models: Coho Salmon.” FWS/OBS-82/10.49. U.S. Fish and Wildlife Service.</w:t>
      </w:r>
    </w:p>
    <w:p w14:paraId="0E2B83BA" w14:textId="77777777" w:rsidR="00181EB1" w:rsidRDefault="00000000">
      <w:pPr>
        <w:pStyle w:val="Bibliography"/>
      </w:pPr>
      <w:bookmarkStart w:id="85" w:name="ref-MillsDoakKeystoneSpecies1993"/>
      <w:bookmarkEnd w:id="84"/>
      <w:r>
        <w:t xml:space="preserve">Mills, L. Scott, and Daniel F. Doak. 1993. “The Keystone-Species Concept in Ecology and Conservation.” </w:t>
      </w:r>
      <w:r>
        <w:rPr>
          <w:i/>
          <w:iCs/>
        </w:rPr>
        <w:t>BioScience</w:t>
      </w:r>
      <w:r>
        <w:t xml:space="preserve"> 43 (4): 219–24. </w:t>
      </w:r>
      <w:hyperlink r:id="rId30">
        <w:r>
          <w:rPr>
            <w:rStyle w:val="Hyperlink"/>
          </w:rPr>
          <w:t>https://doi.org/10.2307/1312122</w:t>
        </w:r>
      </w:hyperlink>
      <w:r>
        <w:t>.</w:t>
      </w:r>
    </w:p>
    <w:p w14:paraId="36693091" w14:textId="77777777" w:rsidR="00181EB1" w:rsidRDefault="00000000">
      <w:pPr>
        <w:pStyle w:val="Bibliography"/>
      </w:pPr>
      <w:bookmarkStart w:id="86" w:name="ref-MonarchiEtAlInteractive1973"/>
      <w:bookmarkEnd w:id="85"/>
      <w:r>
        <w:t xml:space="preserve">Monarchi, David E., Chester C. Kisiel, and Lucien Duckstein. 1973. “Interactive Multiobjective Programing in Water Resources: A Case Study.” </w:t>
      </w:r>
      <w:r>
        <w:rPr>
          <w:i/>
          <w:iCs/>
        </w:rPr>
        <w:t>Water Resources Research</w:t>
      </w:r>
      <w:r>
        <w:t xml:space="preserve"> 9 (4): 837–50. </w:t>
      </w:r>
      <w:hyperlink r:id="rId31">
        <w:r>
          <w:rPr>
            <w:rStyle w:val="Hyperlink"/>
          </w:rPr>
          <w:t>https://doi.org/10.1029/WR009i004p00837</w:t>
        </w:r>
      </w:hyperlink>
      <w:r>
        <w:t>.</w:t>
      </w:r>
    </w:p>
    <w:p w14:paraId="7C78F4C7" w14:textId="77777777" w:rsidR="00181EB1" w:rsidRDefault="00000000">
      <w:pPr>
        <w:pStyle w:val="Bibliography"/>
      </w:pPr>
      <w:bookmarkStart w:id="87" w:name="ref-MoyleCoho2002"/>
      <w:bookmarkEnd w:id="86"/>
      <w:r>
        <w:lastRenderedPageBreak/>
        <w:t xml:space="preserve">Moyle, Peter B. 2002. “Coho Salmon, Oncorhynchus Kisutch (Walbaum).” In </w:t>
      </w:r>
      <w:r>
        <w:rPr>
          <w:i/>
          <w:iCs/>
        </w:rPr>
        <w:t>Inland Fishes of California</w:t>
      </w:r>
      <w:r>
        <w:t>, 245–51. University of California Press.</w:t>
      </w:r>
    </w:p>
    <w:p w14:paraId="475368C9" w14:textId="77777777" w:rsidR="00181EB1" w:rsidRDefault="00000000">
      <w:pPr>
        <w:pStyle w:val="Bibliography"/>
      </w:pPr>
      <w:bookmarkStart w:id="88" w:name="ref-NordgrenEtAlSupporting2016"/>
      <w:bookmarkEnd w:id="87"/>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32">
        <w:r>
          <w:rPr>
            <w:rStyle w:val="Hyperlink"/>
          </w:rPr>
          <w:t>https://doi.org/10.1016/j.envsci.2016.05.006</w:t>
        </w:r>
      </w:hyperlink>
      <w:r>
        <w:t>.</w:t>
      </w:r>
    </w:p>
    <w:p w14:paraId="65E7AF79" w14:textId="77777777" w:rsidR="00181EB1" w:rsidRDefault="00000000">
      <w:pPr>
        <w:pStyle w:val="Bibliography"/>
      </w:pPr>
      <w:bookmarkStart w:id="89" w:name="ref-ParetoCours1896"/>
      <w:bookmarkEnd w:id="88"/>
      <w:r>
        <w:t xml:space="preserve">Pareto, Vilfredo. 1896. </w:t>
      </w:r>
      <w:r>
        <w:rPr>
          <w:i/>
          <w:iCs/>
        </w:rPr>
        <w:t>Cours D’Economie Politique</w:t>
      </w:r>
      <w:r>
        <w:t>. Lausanne.</w:t>
      </w:r>
    </w:p>
    <w:p w14:paraId="0443A79A" w14:textId="77777777" w:rsidR="00181EB1" w:rsidRDefault="00000000">
      <w:pPr>
        <w:pStyle w:val="Bibliography"/>
      </w:pPr>
      <w:bookmarkStart w:id="90" w:name="ref-PattersonEtAlHydrologic2020"/>
      <w:bookmarkEnd w:id="89"/>
      <w:r>
        <w:t xml:space="preserve">Patterson, Noelle K., Belize A. Lane, Samuel Sandoval-Solis, Gregory B. Pasternack, Sarah M. Yarnell, and Yexuan Qiu. 2020. “A Hydrologic Feature Detection Algorithm to Quantify Seasonal Components of Flow Regimes.” </w:t>
      </w:r>
      <w:r>
        <w:rPr>
          <w:i/>
          <w:iCs/>
        </w:rPr>
        <w:t>Journal of Hydrology</w:t>
      </w:r>
      <w:r>
        <w:t xml:space="preserve"> 585 (June): 124787. </w:t>
      </w:r>
      <w:hyperlink r:id="rId33">
        <w:r>
          <w:rPr>
            <w:rStyle w:val="Hyperlink"/>
          </w:rPr>
          <w:t>https://doi.org/10.1016/j.jhydrol.2020.124787</w:t>
        </w:r>
      </w:hyperlink>
      <w:r>
        <w:t>.</w:t>
      </w:r>
    </w:p>
    <w:p w14:paraId="32816EFA" w14:textId="77777777" w:rsidR="00181EB1" w:rsidRDefault="00000000">
      <w:pPr>
        <w:pStyle w:val="Bibliography"/>
      </w:pPr>
      <w:bookmarkStart w:id="91" w:name="ref-PoffEtAlNatural1997"/>
      <w:bookmarkEnd w:id="90"/>
      <w:r>
        <w:t xml:space="preserve">Poff, N. LeRoy, J. David Allan, Mark B. Bain, James R. Karr, Karen L. Prestegaard, Brian D. Richter, Richard E. Sparks, and Julie C. Stromberg. 1997. “The Natural Flow Regime.” </w:t>
      </w:r>
      <w:r>
        <w:rPr>
          <w:i/>
          <w:iCs/>
        </w:rPr>
        <w:t>BioScience</w:t>
      </w:r>
      <w:r>
        <w:t xml:space="preserve"> 47 (11): 769–84. </w:t>
      </w:r>
      <w:hyperlink r:id="rId34">
        <w:r>
          <w:rPr>
            <w:rStyle w:val="Hyperlink"/>
          </w:rPr>
          <w:t>https://doi.org/10.2307/1313099</w:t>
        </w:r>
      </w:hyperlink>
      <w:r>
        <w:t>.</w:t>
      </w:r>
    </w:p>
    <w:p w14:paraId="2A8B30DB" w14:textId="77777777" w:rsidR="00181EB1" w:rsidRDefault="00000000">
      <w:pPr>
        <w:pStyle w:val="Bibliography"/>
      </w:pPr>
      <w:bookmarkStart w:id="92" w:name="ref-ReussCoping1992"/>
      <w:bookmarkEnd w:id="91"/>
      <w:r>
        <w:t xml:space="preserve">Reuss, Martin. 1992. “Coping With Uncertainty: Social Scientists, Engineers, and Federal Water Resources Planning.” </w:t>
      </w:r>
      <w:r>
        <w:rPr>
          <w:i/>
          <w:iCs/>
        </w:rPr>
        <w:t>Natural Resources Journal</w:t>
      </w:r>
      <w:r>
        <w:t xml:space="preserve"> 32 (1): 101–36.</w:t>
      </w:r>
    </w:p>
    <w:p w14:paraId="38DE18B3" w14:textId="77777777" w:rsidR="00181EB1" w:rsidRDefault="00000000">
      <w:pPr>
        <w:pStyle w:val="Bibliography"/>
      </w:pPr>
      <w:bookmarkStart w:id="93" w:name="ref-RichterEtAlMethod1996"/>
      <w:bookmarkEnd w:id="92"/>
      <w:r>
        <w:t xml:space="preserve">Richter, Brian D., Jeffrey V. Baumgartner, Jennifer Powell, and David P. Braun. 1996. “A Method for Assessing Hydrologic Alteration Within Ecosystems.” </w:t>
      </w:r>
      <w:r>
        <w:rPr>
          <w:i/>
          <w:iCs/>
        </w:rPr>
        <w:t>Conservation Biology</w:t>
      </w:r>
      <w:r>
        <w:t xml:space="preserve"> 10 (4): 1163–74. </w:t>
      </w:r>
      <w:hyperlink r:id="rId35">
        <w:r>
          <w:rPr>
            <w:rStyle w:val="Hyperlink"/>
          </w:rPr>
          <w:t>https://doi.org/10.1046/j.1523-1739.1996.10041163.x</w:t>
        </w:r>
      </w:hyperlink>
      <w:r>
        <w:t>.</w:t>
      </w:r>
    </w:p>
    <w:p w14:paraId="3B666E62" w14:textId="77777777" w:rsidR="00181EB1" w:rsidRDefault="00000000">
      <w:pPr>
        <w:pStyle w:val="Bibliography"/>
      </w:pPr>
      <w:bookmarkStart w:id="94" w:name="ref-RodellEtAlEmerging2018"/>
      <w:bookmarkEnd w:id="93"/>
      <w:r>
        <w:t xml:space="preserve">Rodell, M., J. S. Famiglietti, D. N. Wiese, J. T. Reager, H. K. Beaudoing, F. W. Landerer, and M.-H. Lo. 2018. “Emerging Trends in Global Freshwater Availability.” </w:t>
      </w:r>
      <w:r>
        <w:rPr>
          <w:i/>
          <w:iCs/>
        </w:rPr>
        <w:t>Nature</w:t>
      </w:r>
      <w:r>
        <w:t xml:space="preserve"> 557 (7707): 651–59. </w:t>
      </w:r>
      <w:hyperlink r:id="rId36">
        <w:r>
          <w:rPr>
            <w:rStyle w:val="Hyperlink"/>
          </w:rPr>
          <w:t>https://doi.org/10.1038/s41586-018-0123-1</w:t>
        </w:r>
      </w:hyperlink>
      <w:r>
        <w:t>.</w:t>
      </w:r>
    </w:p>
    <w:p w14:paraId="63A579E5" w14:textId="77777777" w:rsidR="00181EB1" w:rsidRDefault="00000000">
      <w:pPr>
        <w:pStyle w:val="Bibliography"/>
      </w:pPr>
      <w:bookmarkStart w:id="95" w:name="ref-RogersFieringUse1986"/>
      <w:bookmarkEnd w:id="94"/>
      <w:r>
        <w:t xml:space="preserve">Rogers, Peter P., and Myron B Fiering. 1986. “Use of Systems Analysis in Water Management.” </w:t>
      </w:r>
      <w:r>
        <w:rPr>
          <w:i/>
          <w:iCs/>
        </w:rPr>
        <w:t>Water Resources Research</w:t>
      </w:r>
      <w:r>
        <w:t xml:space="preserve"> 22 (9S). </w:t>
      </w:r>
      <w:hyperlink r:id="rId37">
        <w:r>
          <w:rPr>
            <w:rStyle w:val="Hyperlink"/>
          </w:rPr>
          <w:t>https://doi.org/10.1029/WR022i09Sp0146S</w:t>
        </w:r>
      </w:hyperlink>
      <w:r>
        <w:t>.</w:t>
      </w:r>
    </w:p>
    <w:p w14:paraId="5E422D4B" w14:textId="77777777" w:rsidR="00181EB1" w:rsidRDefault="00000000">
      <w:pPr>
        <w:pStyle w:val="Bibliography"/>
      </w:pPr>
      <w:bookmarkStart w:id="96" w:name="X35601437fc25b0fdd92b478f2f9ddeaed3398df"/>
      <w:bookmarkEnd w:id="95"/>
      <w:r>
        <w:t>Scott River Watershed Council. 2018. “Restoring Priority Coho Habitat in the Scott River Watershed Modeling and Planning Report.”</w:t>
      </w:r>
    </w:p>
    <w:p w14:paraId="2BD06DB0" w14:textId="77777777" w:rsidR="00181EB1" w:rsidRDefault="00000000">
      <w:pPr>
        <w:pStyle w:val="Bibliography"/>
      </w:pPr>
      <w:bookmarkStart w:id="97" w:name="X334218043bd9d5b07a848a610917fcfef0168db"/>
      <w:bookmarkEnd w:id="96"/>
      <w:r>
        <w:t>Scott Valley Area Plan Committee. 1980. “Scott Valley Area Plan.” Siskiyou County.</w:t>
      </w:r>
    </w:p>
    <w:p w14:paraId="760CD1CD" w14:textId="77777777" w:rsidR="00181EB1" w:rsidRDefault="00000000">
      <w:pPr>
        <w:pStyle w:val="Bibliography"/>
      </w:pPr>
      <w:bookmarkStart w:id="98" w:name="ref-SiskiyouCountyScott2021"/>
      <w:bookmarkEnd w:id="97"/>
      <w:r>
        <w:t>Siskiyou County. 2021. “Scott Valley Groundwater Sustainability Plan.”</w:t>
      </w:r>
    </w:p>
    <w:p w14:paraId="64D98FA5" w14:textId="77777777" w:rsidR="00181EB1" w:rsidRDefault="00000000">
      <w:pPr>
        <w:pStyle w:val="Bibliography"/>
      </w:pPr>
      <w:bookmarkStart w:id="99" w:name="X2560a5ce8c29a4d10823717cd7284f11df015d4"/>
      <w:bookmarkEnd w:id="98"/>
      <w:r>
        <w:t>State Water Resources Control Board. 2021. “Establishment of Minimum Instream Flow Requirements, Curtialment Authority, and Information Order in the Klamath Watershed.” {{NOTICE OF APPROVAL OF EMERGENCY REGULATORY ACTION}} OAL 2021-0820-05.</w:t>
      </w:r>
    </w:p>
    <w:p w14:paraId="0968959F" w14:textId="77777777" w:rsidR="00181EB1" w:rsidRDefault="00000000">
      <w:pPr>
        <w:pStyle w:val="Bibliography"/>
      </w:pPr>
      <w:bookmarkStart w:id="100" w:name="Xc65d78564b05799285cd4578f858a1851ca0d64"/>
      <w:bookmarkEnd w:id="99"/>
      <w:r>
        <w:t>———. 2024a. “Establishment of Minimum Instream Flow Requirements, Curtialment Authority, and Information Order in the Scott River and Shasta River Watersheds.” {{NOTICE OF APPROVAL OF EMERGENCY REGULATORY ACTION}} OAL 2024-0123-03.</w:t>
      </w:r>
    </w:p>
    <w:p w14:paraId="0C409EBA" w14:textId="77777777" w:rsidR="00181EB1" w:rsidRDefault="00000000">
      <w:pPr>
        <w:pStyle w:val="Bibliography"/>
      </w:pPr>
      <w:bookmarkStart w:id="101" w:name="Xa7b10fbb32571a990cee2341e679d296b855974"/>
      <w:bookmarkEnd w:id="100"/>
      <w:r>
        <w:lastRenderedPageBreak/>
        <w:t>———. 2024b. “RESOLUTION NO. 2024-0036: REGARDING FLOW EFFORTS IN THE SCOTT RIVER AND SHASTA RIVER WATERSHEDS.” 2024-0036.</w:t>
      </w:r>
    </w:p>
    <w:p w14:paraId="2615EE42" w14:textId="77777777" w:rsidR="00181EB1" w:rsidRDefault="00000000">
      <w:pPr>
        <w:pStyle w:val="Bibliography"/>
      </w:pPr>
      <w:bookmarkStart w:id="102" w:name="ref-SunEtAlNexus2018"/>
      <w:bookmarkEnd w:id="101"/>
      <w:r>
        <w:t xml:space="preserve">Sun, Zan, Yi Zheng, Xi Li, Yong Tian, Feng Han, Ye Zhong, Jie Liu, and Chunmiao Zheng. 2018. “The Nexus of Water, Ecosystems, and Agriculture in Endorheic River Basins: A System Analysis Based on Integrated Ecohydrological Modeling.” </w:t>
      </w:r>
      <w:r>
        <w:rPr>
          <w:i/>
          <w:iCs/>
        </w:rPr>
        <w:t>Water Resources Research</w:t>
      </w:r>
      <w:r>
        <w:t xml:space="preserve"> 54 (10): 7534–56. </w:t>
      </w:r>
      <w:hyperlink r:id="rId38">
        <w:r>
          <w:rPr>
            <w:rStyle w:val="Hyperlink"/>
          </w:rPr>
          <w:t>https://doi.org/10.1029/2018WR023364</w:t>
        </w:r>
      </w:hyperlink>
      <w:r>
        <w:t>.</w:t>
      </w:r>
    </w:p>
    <w:p w14:paraId="326225A8" w14:textId="77777777" w:rsidR="00181EB1" w:rsidRDefault="00000000">
      <w:pPr>
        <w:pStyle w:val="Bibliography"/>
      </w:pPr>
      <w:bookmarkStart w:id="103" w:name="ref-TharmeGlobal2003"/>
      <w:bookmarkEnd w:id="102"/>
      <w:r>
        <w:t xml:space="preserve">Tharme,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39">
        <w:r>
          <w:rPr>
            <w:rStyle w:val="Hyperlink"/>
          </w:rPr>
          <w:t>https://doi.org/10.1002/rra.736</w:t>
        </w:r>
      </w:hyperlink>
      <w:r>
        <w:t>.</w:t>
      </w:r>
    </w:p>
    <w:p w14:paraId="7A4B6309" w14:textId="77777777" w:rsidR="00181EB1" w:rsidRDefault="00000000">
      <w:pPr>
        <w:pStyle w:val="Bibliography"/>
      </w:pPr>
      <w:bookmarkStart w:id="104" w:name="ref-TolleyEtAlSensitivity2019"/>
      <w:bookmarkEnd w:id="103"/>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40">
        <w:r>
          <w:rPr>
            <w:rStyle w:val="Hyperlink"/>
          </w:rPr>
          <w:t>https://doi.org/10.1029/2018WR024209</w:t>
        </w:r>
      </w:hyperlink>
      <w:r>
        <w:t>.</w:t>
      </w:r>
    </w:p>
    <w:p w14:paraId="39235BA3" w14:textId="77777777" w:rsidR="00181EB1" w:rsidRDefault="00000000">
      <w:pPr>
        <w:pStyle w:val="Bibliography"/>
      </w:pPr>
      <w:bookmarkStart w:id="105" w:name="ref-VanSteenbergenPromoting2006"/>
      <w:bookmarkEnd w:id="104"/>
      <w:r>
        <w:t xml:space="preserve">Van Steenbergen, Frank. 2006. “Promoting Local Management in Groundwater.” </w:t>
      </w:r>
      <w:r>
        <w:rPr>
          <w:i/>
          <w:iCs/>
        </w:rPr>
        <w:t>Hydrogeology Journal</w:t>
      </w:r>
      <w:r>
        <w:t xml:space="preserve"> 14 (3): 380–91. </w:t>
      </w:r>
      <w:hyperlink r:id="rId41">
        <w:r>
          <w:rPr>
            <w:rStyle w:val="Hyperlink"/>
          </w:rPr>
          <w:t>https://doi.org/10.1007/s10040-005-0015-y</w:t>
        </w:r>
      </w:hyperlink>
      <w:r>
        <w:t>.</w:t>
      </w:r>
    </w:p>
    <w:p w14:paraId="1C7F505D" w14:textId="77777777" w:rsidR="00181EB1" w:rsidRDefault="00000000">
      <w:pPr>
        <w:pStyle w:val="Bibliography"/>
      </w:pPr>
      <w:bookmarkStart w:id="106" w:name="ref-WilliamsEtAlLarge2020"/>
      <w:bookmarkEnd w:id="105"/>
      <w:r>
        <w:t xml:space="preserve">Williams, A. Park, Edward R. Cook, Jason E. Smerdon, Benjamin I. Cook, John T. Abatzoglou, Kasey Bolles, Seung H. Baek, Andrew M. Badger, and Ben Livneh. 2020. “Large Contribution from Anthropogenic Warming to an Emerging North American Megadrought.” </w:t>
      </w:r>
      <w:r>
        <w:rPr>
          <w:i/>
          <w:iCs/>
        </w:rPr>
        <w:t>Science</w:t>
      </w:r>
      <w:r>
        <w:t xml:space="preserve"> 368 (6488): 314–18. </w:t>
      </w:r>
      <w:hyperlink r:id="rId42">
        <w:r>
          <w:rPr>
            <w:rStyle w:val="Hyperlink"/>
          </w:rPr>
          <w:t>https://doi.org/10.1126/science.aaz9600</w:t>
        </w:r>
      </w:hyperlink>
      <w:r>
        <w:t>.</w:t>
      </w:r>
    </w:p>
    <w:p w14:paraId="5B3AB296" w14:textId="77777777" w:rsidR="00181EB1" w:rsidRDefault="00000000">
      <w:pPr>
        <w:pStyle w:val="Bibliography"/>
      </w:pPr>
      <w:bookmarkStart w:id="107" w:name="ref-WuEtAlOptimizing2015"/>
      <w:bookmarkEnd w:id="106"/>
      <w:r>
        <w:t xml:space="preserve">Wu, Bin, Yi Zheng, Xin Wu, Yong Tian, Feng Han, Jie Liu, and Chunmiao Zheng. 2015. “Optimizing Water Resources Management in Large River Basins with Integrated Surface Water-Groundwater Modeling: A Surrogate-Based Approach.” </w:t>
      </w:r>
      <w:r>
        <w:rPr>
          <w:i/>
          <w:iCs/>
        </w:rPr>
        <w:t>Water Resources Research</w:t>
      </w:r>
      <w:r>
        <w:t xml:space="preserve"> 51 (4): 2153–73. </w:t>
      </w:r>
      <w:hyperlink r:id="rId43">
        <w:r>
          <w:rPr>
            <w:rStyle w:val="Hyperlink"/>
          </w:rPr>
          <w:t>https://doi.org/10.1002/2014WR016653</w:t>
        </w:r>
      </w:hyperlink>
      <w:r>
        <w:t>.</w:t>
      </w:r>
    </w:p>
    <w:p w14:paraId="75E2042C" w14:textId="77777777" w:rsidR="00181EB1" w:rsidRDefault="00000000">
      <w:pPr>
        <w:pStyle w:val="Bibliography"/>
      </w:pPr>
      <w:bookmarkStart w:id="108" w:name="ref-YarnellEtAlFunctional2015"/>
      <w:bookmarkEnd w:id="107"/>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44">
        <w:r>
          <w:rPr>
            <w:rStyle w:val="Hyperlink"/>
          </w:rPr>
          <w:t>https://doi.org/10.1093/biosci/biv102</w:t>
        </w:r>
      </w:hyperlink>
      <w:r>
        <w:t>.</w:t>
      </w:r>
    </w:p>
    <w:p w14:paraId="7AC70A76" w14:textId="77777777" w:rsidR="00181EB1" w:rsidRDefault="00000000">
      <w:pPr>
        <w:pStyle w:val="Bibliography"/>
      </w:pPr>
      <w:bookmarkStart w:id="109" w:name="ref-YehBeckerMultiobjective1982"/>
      <w:bookmarkEnd w:id="108"/>
      <w:r>
        <w:t xml:space="preserve">Yeh, William W-G., and Leonard Becker. 1982. “Multiobjective Analysis of Multireservoir Operations.” </w:t>
      </w:r>
      <w:r>
        <w:rPr>
          <w:i/>
          <w:iCs/>
        </w:rPr>
        <w:t>Water Resources Research</w:t>
      </w:r>
      <w:r>
        <w:t xml:space="preserve"> 18 (5): 1326–36. </w:t>
      </w:r>
      <w:hyperlink r:id="rId45">
        <w:r>
          <w:rPr>
            <w:rStyle w:val="Hyperlink"/>
          </w:rPr>
          <w:t>https://doi.org/10.1029/WR018i005p01326</w:t>
        </w:r>
      </w:hyperlink>
      <w:r>
        <w:t>.</w:t>
      </w:r>
    </w:p>
    <w:p w14:paraId="40E94216" w14:textId="77777777" w:rsidR="00181EB1" w:rsidRDefault="00000000">
      <w:pPr>
        <w:pStyle w:val="Bibliography"/>
      </w:pPr>
      <w:bookmarkStart w:id="110" w:name="X8bf5592004e543b04dfcfc3edb39663c8006d78"/>
      <w:bookmarkEnd w:id="109"/>
      <w:r>
        <w:t>Yolo Subbasin Groundwater Agency. 2022. “Yolo Subbasin Groundwater Sustainability Plan.” Woodland, CA.</w:t>
      </w:r>
    </w:p>
    <w:bookmarkEnd w:id="52"/>
    <w:bookmarkEnd w:id="110"/>
    <w:p w14:paraId="4F990B26" w14:textId="77777777" w:rsidR="00181EB1" w:rsidRDefault="00000000">
      <w:r>
        <w:br w:type="page"/>
      </w:r>
      <w:bookmarkEnd w:id="50"/>
    </w:p>
    <w:sectPr w:rsidR="00181E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148DC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A89C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604EF19E"/>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0D668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7C2644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7676399">
    <w:abstractNumId w:val="0"/>
  </w:num>
  <w:num w:numId="2" w16cid:durableId="1306543582">
    <w:abstractNumId w:val="1"/>
  </w:num>
  <w:num w:numId="3" w16cid:durableId="996692252">
    <w:abstractNumId w:val="1"/>
  </w:num>
  <w:num w:numId="4" w16cid:durableId="133075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1293477">
    <w:abstractNumId w:val="2"/>
    <w:lvlOverride w:ilvl="0"/>
    <w:lvlOverride w:ilvl="1"/>
    <w:lvlOverride w:ilvl="2"/>
    <w:lvlOverride w:ilvl="3"/>
    <w:lvlOverride w:ilvl="4"/>
    <w:lvlOverride w:ilvl="5"/>
    <w:lvlOverride w:ilvl="6"/>
    <w:lvlOverride w:ilvl="7"/>
    <w:lvlOverride w:ilvl="8"/>
  </w:num>
  <w:num w:numId="6" w16cid:durableId="13226637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9707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81EB1"/>
    <w:rsid w:val="00181EB1"/>
    <w:rsid w:val="00D31543"/>
    <w:rsid w:val="00E3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2DBA"/>
  <w15:docId w15:val="{6F675532-DA81-46A3-B045-44D45B7B8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clim.2021.719150" TargetMode="External"/><Relationship Id="rId18" Type="http://schemas.openxmlformats.org/officeDocument/2006/relationships/hyperlink" Target="https://doi.org/10.1029/WR009i004p00826" TargetMode="External"/><Relationship Id="rId26" Type="http://schemas.openxmlformats.org/officeDocument/2006/relationships/hyperlink" Target="https://doi.org/10.1002/eco.70098" TargetMode="External"/><Relationship Id="rId39" Type="http://schemas.openxmlformats.org/officeDocument/2006/relationships/hyperlink" Target="https://doi.org/10.1002/rra.736" TargetMode="External"/><Relationship Id="rId21" Type="http://schemas.openxmlformats.org/officeDocument/2006/relationships/hyperlink" Target="https://doi.org/10.1029/2018WR023901" TargetMode="External"/><Relationship Id="rId34" Type="http://schemas.openxmlformats.org/officeDocument/2006/relationships/hyperlink" Target="https://doi.org/10.2307/1313099" TargetMode="External"/><Relationship Id="rId42" Type="http://schemas.openxmlformats.org/officeDocument/2006/relationships/hyperlink" Target="https://doi.org/10.1126/science.aaz9600" TargetMode="External"/><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61/(ASCE)0733-9496(1996)122:5(356)" TargetMode="External"/><Relationship Id="rId29" Type="http://schemas.openxmlformats.org/officeDocument/2006/relationships/hyperlink" Target="https://doi.org/10.1007/BF0316167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doi.org/10.1577/1548-8675(2003)023%3c0001:DOFPFF%3e2.0.CO;2" TargetMode="External"/><Relationship Id="rId32" Type="http://schemas.openxmlformats.org/officeDocument/2006/relationships/hyperlink" Target="https://doi.org/10.1016/j.envsci.2016.05.006" TargetMode="External"/><Relationship Id="rId37" Type="http://schemas.openxmlformats.org/officeDocument/2006/relationships/hyperlink" Target="https://doi.org/10.1029/WR022i09Sp0146S" TargetMode="External"/><Relationship Id="rId40" Type="http://schemas.openxmlformats.org/officeDocument/2006/relationships/hyperlink" Target="https://doi.org/10.1029/2018WR024209" TargetMode="External"/><Relationship Id="rId45" Type="http://schemas.openxmlformats.org/officeDocument/2006/relationships/hyperlink" Target="https://doi.org/10.1029/WR018i005p01326" TargetMode="External"/><Relationship Id="rId5" Type="http://schemas.openxmlformats.org/officeDocument/2006/relationships/image" Target="media/image1.png"/><Relationship Id="rId15" Type="http://schemas.openxmlformats.org/officeDocument/2006/relationships/hyperlink" Target="https://doi.org/10.1577/1548-8675(1994)014%3c0237:HDACSO%3e2.3.CO;2" TargetMode="External"/><Relationship Id="rId23" Type="http://schemas.openxmlformats.org/officeDocument/2006/relationships/hyperlink" Target="https://doi.org/10.1029/WR019i002p00305" TargetMode="External"/><Relationship Id="rId28" Type="http://schemas.openxmlformats.org/officeDocument/2006/relationships/hyperlink" Target="https://doi.org/10.3133/wsp1462" TargetMode="External"/><Relationship Id="rId36" Type="http://schemas.openxmlformats.org/officeDocument/2006/relationships/hyperlink" Target="https://doi.org/10.1038/s41586-018-0123-1" TargetMode="External"/><Relationship Id="rId10" Type="http://schemas.openxmlformats.org/officeDocument/2006/relationships/image" Target="media/image6.png"/><Relationship Id="rId19" Type="http://schemas.openxmlformats.org/officeDocument/2006/relationships/hyperlink" Target="https://doi.org/10.1029/WR011i002p00208" TargetMode="External"/><Relationship Id="rId31" Type="http://schemas.openxmlformats.org/officeDocument/2006/relationships/hyperlink" Target="https://doi.org/10.1029/WR009i004p00837" TargetMode="External"/><Relationship Id="rId44" Type="http://schemas.openxmlformats.org/officeDocument/2006/relationships/hyperlink" Target="https://doi.org/10.1093/biosci/biv10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2/2015WR017114" TargetMode="External"/><Relationship Id="rId22" Type="http://schemas.openxmlformats.org/officeDocument/2006/relationships/hyperlink" Target="https://doi.org/10.1111/j.1752-1688.2000.tb04280.x" TargetMode="External"/><Relationship Id="rId27" Type="http://schemas.openxmlformats.org/officeDocument/2006/relationships/hyperlink" Target="https://doi.org/10.1061/(ASCE)0733-9496(2004)130:2(93)" TargetMode="External"/><Relationship Id="rId30" Type="http://schemas.openxmlformats.org/officeDocument/2006/relationships/hyperlink" Target="https://doi.org/10.2307/1312122" TargetMode="External"/><Relationship Id="rId35" Type="http://schemas.openxmlformats.org/officeDocument/2006/relationships/hyperlink" Target="https://doi.org/10.1046/j.1523-1739.1996.10041163.x" TargetMode="External"/><Relationship Id="rId43" Type="http://schemas.openxmlformats.org/officeDocument/2006/relationships/hyperlink" Target="https://doi.org/10.1002/2014WR016653"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oi.org/10.1002/eap.3013" TargetMode="External"/><Relationship Id="rId17" Type="http://schemas.openxmlformats.org/officeDocument/2006/relationships/hyperlink" Target="https://doi.org/10.2135/cropsci1983.0011183X002300040016x" TargetMode="External"/><Relationship Id="rId25" Type="http://schemas.openxmlformats.org/officeDocument/2006/relationships/hyperlink" Target="https://doi.org/10.1029/2004WR003787" TargetMode="External"/><Relationship Id="rId33" Type="http://schemas.openxmlformats.org/officeDocument/2006/relationships/hyperlink" Target="https://doi.org/10.1016/j.jhydrol.2020.124787" TargetMode="External"/><Relationship Id="rId38" Type="http://schemas.openxmlformats.org/officeDocument/2006/relationships/hyperlink" Target="https://doi.org/10.1029/2018WR023364" TargetMode="External"/><Relationship Id="rId46" Type="http://schemas.openxmlformats.org/officeDocument/2006/relationships/fontTable" Target="fontTable.xml"/><Relationship Id="rId20" Type="http://schemas.openxmlformats.org/officeDocument/2006/relationships/hyperlink" Target="https://doi.org/10.4159/harvard.9780674421042.intro" TargetMode="External"/><Relationship Id="rId41" Type="http://schemas.openxmlformats.org/officeDocument/2006/relationships/hyperlink" Target="https://doi.org/10.1007/s10040-005-001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11207</Words>
  <Characters>63882</Characters>
  <Application>Microsoft Office Word</Application>
  <DocSecurity>0</DocSecurity>
  <Lines>532</Lines>
  <Paragraphs>149</Paragraphs>
  <ScaleCrop>false</ScaleCrop>
  <Company/>
  <LinksUpToDate>false</LinksUpToDate>
  <CharactersWithSpaces>74940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dc:creator>
  <cp:keywords/>
  <cp:lastModifiedBy>Kouba, Claire</cp:lastModifiedBy>
  <cp:revision>2</cp:revision>
  <dcterms:created xsi:type="dcterms:W3CDTF">2026-05-05T23:37:00Z</dcterms:created>
  <dcterms:modified xsi:type="dcterms:W3CDTF">2026-05-05T23:38:00Z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