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1.png" ContentType="image/png"/>
  <Override PartName="/word/media/rId34.png" ContentType="image/png"/>
  <Override PartName="/word/media/rId50.png" ContentType="image/png"/>
  <Override PartName="/word/media/rId53.png" ContentType="image/png"/>
  <Override PartName="/word/media/rId6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w:t>
      </w:r>
      <w:r>
        <w:t xml:space="preserve"> </w:t>
      </w:r>
      <w:r>
        <w:t xml:space="preserve">assessment</w:t>
      </w:r>
      <w:r>
        <w:t xml:space="preserve"> </w:t>
      </w:r>
      <w:r>
        <w:t xml:space="preserve">of</w:t>
      </w:r>
      <w:r>
        <w:t xml:space="preserve"> </w:t>
      </w:r>
      <w:r>
        <w:t xml:space="preserve">a</w:t>
      </w:r>
      <w:r>
        <w:t xml:space="preserve"> </w:t>
      </w:r>
      <w:r>
        <w:t xml:space="preserve">stakeholder-defined</w:t>
      </w:r>
      <w:r>
        <w:t xml:space="preserve"> </w:t>
      </w:r>
      <w:r>
        <w:t xml:space="preserve">portfolio</w:t>
      </w:r>
      <w:r>
        <w:t xml:space="preserve"> </w:t>
      </w:r>
      <w:r>
        <w:t xml:space="preserve">of</w:t>
      </w:r>
      <w:r>
        <w:t xml:space="preserve"> </w:t>
      </w:r>
      <w:r>
        <w:t xml:space="preserve">groundwater</w:t>
      </w:r>
      <w:r>
        <w:t xml:space="preserve"> </w:t>
      </w:r>
      <w:r>
        <w:t xml:space="preserve">and</w:t>
      </w:r>
      <w:r>
        <w:t xml:space="preserve"> </w:t>
      </w:r>
      <w:r>
        <w:t xml:space="preserve">stream</w:t>
      </w:r>
      <w:r>
        <w:t xml:space="preserve"> </w:t>
      </w:r>
      <w:r>
        <w:t xml:space="preserve">management</w:t>
      </w:r>
      <w:r>
        <w:t xml:space="preserve"> </w:t>
      </w:r>
      <w:r>
        <w:t xml:space="preserve">actions</w:t>
      </w:r>
      <w:r>
        <w:t xml:space="preserve"> </w:t>
      </w:r>
      <w:r>
        <w:t xml:space="preserve">in</w:t>
      </w:r>
      <w:r>
        <w:t xml:space="preserve"> </w:t>
      </w:r>
      <w:r>
        <w:t xml:space="preserve">an</w:t>
      </w:r>
      <w:r>
        <w:t xml:space="preserve"> </w:t>
      </w:r>
      <w:r>
        <w:t xml:space="preserve">agricultural</w:t>
      </w:r>
      <w:r>
        <w:t xml:space="preserve"> </w:t>
      </w:r>
      <w:r>
        <w:t xml:space="preserve">basin</w:t>
      </w:r>
    </w:p>
    <w:p>
      <w:pPr>
        <w:pStyle w:val="Author"/>
      </w:pPr>
      <w:r>
        <w:t xml:space="preserve">Claire</w:t>
      </w:r>
      <w:r>
        <w:t xml:space="preserve"> </w:t>
      </w:r>
      <w:r>
        <w:t xml:space="preserve">Kouba</w:t>
      </w:r>
    </w:p>
    <w:p>
      <w:pPr>
        <w:pStyle w:val="Date"/>
      </w:pPr>
      <w:r>
        <w:t xml:space="preserve">2024-11-27</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recently finalized a long-term Groundwater Sustainability Plan (GSP). We developed a summary statistic or proxy for each of the three primary policy objectives in the GSP (environmental, agricultural, and project cost). We then used them to summarize the results of 40 management scenarios developed for the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The development of basin-specific objective functions, especially ones using output from existing hydrologic models, could help quantify management decision trade-offs and improve stakeholder communication in ongoing water planning efforts throughout the region.</w:t>
      </w:r>
    </w:p>
    <w:p>
      <w:r>
        <w:br w:type="page"/>
      </w:r>
    </w:p>
    <w:bookmarkEnd w:id="20"/>
    <w:bookmarkStart w:id="24" w:name="introduction"/>
    <w:p>
      <w:pPr>
        <w:pStyle w:val="Heading1"/>
      </w:pPr>
      <w:r>
        <w:rPr>
          <w:rStyle w:val="SectionNumber"/>
        </w:rPr>
        <w:t xml:space="preserve">1</w:t>
      </w:r>
      <w:r>
        <w:tab/>
      </w:r>
      <w:r>
        <w:t xml:space="preserve">Introduction</w:t>
      </w:r>
    </w:p>
    <w:p>
      <w:pPr>
        <w:pStyle w:val="FirstParagraph"/>
      </w:pPr>
      <w:r>
        <w:t xml:space="preserve">Sustainable development of water resources, in an era of climate change and increasing human water consumption</w:t>
      </w:r>
      <w:r>
        <w:t xml:space="preserve"> </w:t>
      </w:r>
      <w:r>
        <w:t xml:space="preserve">(e.g., Williams et al. 2020; Rodell et al. 2018)</w:t>
      </w:r>
      <w:r>
        <w:t xml:space="preserve">, requires an interdisciplinary understanding of connected socio-hydrologic systems</w:t>
      </w:r>
      <w:r>
        <w:t xml:space="preserve"> </w:t>
      </w:r>
      <w:r>
        <w:t xml:space="preserve">(Reuss 1992; Di Baldassarre et al. 2019)</w:t>
      </w:r>
      <w:r>
        <w:t xml:space="preserve">. One such interdisciplinary approach is water resources systems analysis (WRSA), which involves applying optimization methods to water resource planning</w:t>
      </w:r>
      <w:r>
        <w:t xml:space="preserve"> </w:t>
      </w:r>
      <w:r>
        <w:t xml:space="preserve">(Maass et al. 1962; Cohon and Marks 1975; C. M. Brown et al. 2015)</w:t>
      </w:r>
      <w:r>
        <w:t xml:space="preserve">. The utility of such studies typically depends on robust definitions of the</w:t>
      </w:r>
      <w:r>
        <w:t xml:space="preserve"> </w:t>
      </w:r>
      <w:r>
        <w:t xml:space="preserve">“</w:t>
      </w:r>
      <w:r>
        <w:t xml:space="preserve">objective function(s)</w:t>
      </w:r>
      <w:r>
        <w:t xml:space="preserve">”</w:t>
      </w:r>
      <w:r>
        <w:t xml:space="preserve">, which summarize and quantify the desired outcome(s) of the proposed project or management scenario</w:t>
      </w:r>
      <w:r>
        <w:t xml:space="preserve"> </w:t>
      </w:r>
      <w:r>
        <w:t xml:space="preserve">(Gorelick 1983)</w:t>
      </w:r>
      <w:r>
        <w:t xml:space="preserve">. In practice, classical WRSA approaches have been criticized as being too removed from stakeholder concerns</w:t>
      </w:r>
      <w:r>
        <w:t xml:space="preserve"> </w:t>
      </w:r>
      <w:r>
        <w:t xml:space="preserve">(e.g., Rogers and Fiering 1986)</w:t>
      </w:r>
      <w:r>
        <w:t xml:space="preserve">. In this study, we take advantage of the authors’ involvement in an existing water resource planning process, and a previously-developed integrated surface- and groundwater model [the Scott Valley Integrated Hydrologic Model, or SVIHM;</w:t>
      </w:r>
      <w:r>
        <w:t xml:space="preserve"> </w:t>
      </w:r>
      <w:r>
        <w:t xml:space="preserve">Tolley, Foglia, and Harter (2019)</w:t>
      </w:r>
      <w:r>
        <w:t xml:space="preserve">], to test the utility of introducing elements of multi-objective optimization into the prioritization of groundwater management alternatives.</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recently spent three years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was available to support this policy-making process, and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To investigate whether an explicit optimization framework would yield different prioritization of management actions than the set agreed upon in public meetings,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4"/>
    <w:bookmarkStart w:id="41" w:name="X525b2f83bcefbf206e3ace342b868d96bb1ee57"/>
    <w:p>
      <w:pPr>
        <w:pStyle w:val="Heading1"/>
      </w:pPr>
      <w:r>
        <w:rPr>
          <w:rStyle w:val="SectionNumber"/>
        </w:rPr>
        <w:t xml:space="preserve">2</w:t>
      </w:r>
      <w:r>
        <w:tab/>
      </w:r>
      <w:r>
        <w:t xml:space="preserve">Case study and summary of GSP development</w:t>
      </w:r>
    </w:p>
    <w:bookmarkStart w:id="28"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surrounded by several mountain ranges, including the Scott Bar, Marble, Salmon and Scott Mountains to the north, west, southwest, and south, respectively. The valley floor overlies unconsolidated alluvial sediments of up to 79 m (260 ft) thickness</w:t>
      </w:r>
      <w:r>
        <w:t xml:space="preserve"> </w:t>
      </w:r>
      <w:r>
        <w:t xml:space="preserve">(SWRCB 1975)</w:t>
      </w:r>
      <w:r>
        <w:t xml:space="preserve">. The sediments form a mostly unconfined aquifer system bordered by low permeable, fractured underlying and adjacent bedrock composed of mostly Paleozoic metasedimentary formations</w:t>
      </w:r>
      <w:r>
        <w:t xml:space="preserve"> </w:t>
      </w:r>
      <w:r>
        <w:t xml:space="preserve">(Mack 1958)</w:t>
      </w:r>
      <w:r>
        <w:t xml:space="preserve">.</w:t>
      </w:r>
    </w:p>
    <w:p>
      <w:pPr>
        <w:pStyle w:val="BodyText"/>
      </w:pPr>
      <w:r>
        <w:t xml:space="preserve">The Scott River begins near the community of Callahan, where the East and South Forks of the Scott River converge, and flows north through the agricultural and residential areas of Scott Valley (Figure</w:t>
      </w:r>
      <w:r>
        <w:t xml:space="preserve"> </w:t>
      </w:r>
      <w:r>
        <w:t xml:space="preserve">1</w:t>
      </w:r>
      <w:r>
        <w:t xml:space="preserve">). Then, 58.0 km (36.0 mi) downstream of Callahan, it passes a key stream gauge (USGS Station ID 11519500, or the Fort Jones Gauge or FJ Gauge) and enters more rugged terrain, flowing 34.7 km (21.6 mi) through a steep canyon until it meets the Klamath River. Because practically all water use in Scott Valley occurs upgradient of the FJ Gauge, it is used to assess hydrologic conditions and inform water management decisions in the populated areas of the valley</w:t>
      </w:r>
      <w:r>
        <w:t xml:space="preserve"> </w:t>
      </w:r>
      <w:r>
        <w:t xml:space="preserve">(e.g., Siskiyou County 2021)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Melting snowpack in the surrounding mountains generates streamflow from April through July, though onset and duration of snowmelt varies based on the snowpack volume and timing of warm air temperatures. This seasonality in water input creates seasonal flow in the Scott River and tributary streams, which experience a pronounced wet season and dry season with high and low flows, respectively (Figure</w:t>
      </w:r>
      <w:r>
        <w:t xml:space="preserve"> </w:t>
      </w:r>
      <w:r>
        <w:t xml:space="preserve">2</w:t>
      </w:r>
      <w:r>
        <w:t xml:space="preserve">, panel C).</w:t>
      </w:r>
    </w:p>
    <w:p>
      <w:pPr>
        <w:pStyle w:val="BodyText"/>
      </w:pPr>
      <w:r>
        <w:t xml:space="preserve">Streams and groundwater are highly interconnected in the Scott River watershed. Tributary streams and the Scott River are a source of recharge to the aquifer, and groundwater discharge sustains streamflow in some areas, especially during the dry season of August-October or November. In the past two decades, in most dry-to-average type water years, the water table elevation has fallen below the stream bed and reaches of the Scott River have gone dry</w:t>
      </w:r>
      <w:r>
        <w:t xml:space="preserve"> </w:t>
      </w:r>
      <w:r>
        <w:t xml:space="preserve">(Tolley, Foglia, and Harter 2019)</w:t>
      </w:r>
      <w:r>
        <w:t xml:space="preserve">.</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6" name="Picture"/>
            <a:graphic>
              <a:graphicData uri="http://schemas.openxmlformats.org/drawingml/2006/picture">
                <pic:pic>
                  <pic:nvPicPr>
                    <pic:cNvPr descr="Graphics%20and%20Supplements/Figure%201.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28"/>
    <w:bookmarkStart w:id="29" w:name="X33d0072624d566dcf1fc914eaa47e60d958b5ff"/>
    <w:p>
      <w:pPr>
        <w:pStyle w:val="Heading2"/>
      </w:pPr>
      <w:r>
        <w:rPr>
          <w:rStyle w:val="SectionNumber"/>
        </w:rPr>
        <w:t xml:space="preserve">2.2</w:t>
      </w:r>
      <w:r>
        <w:tab/>
      </w:r>
      <w:r>
        <w:t xml:space="preserve">Human population, land use, and local economy</w:t>
      </w:r>
    </w:p>
    <w:p>
      <w:pPr>
        <w:pStyle w:val="FirstParagraph"/>
      </w:pPr>
      <w:r>
        <w:t xml:space="preserve">The population of Scott Valley is approximately 5,200, based on area-weighted block-level 2020 census data, including the populations of the two incorporated towns of Etna and Fort Jones [population 678 and 695, respectively;</w:t>
      </w:r>
      <w:r>
        <w:t xml:space="preserve"> </w:t>
      </w:r>
      <w:r>
        <w:t xml:space="preserve">U.S. Census Bureau (2021)</w:t>
      </w:r>
      <w:r>
        <w:t xml:space="preserve">]. 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Much of the upper mountainous area of the watershed is part of the Klamath National Forest. On the valley floor, according to land use surveys conducted by DWR</w:t>
      </w:r>
      <w:r>
        <w:t xml:space="preserve"> </w:t>
      </w:r>
      <w:r>
        <w:t xml:space="preserve">(DWR 2017)</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Fort Jones and Etna are categorized as severely economically disadvantaged (defined as communities with an annual median household income [MHI] of less than 60% of the average annual MHI in California). Based on the 2013-2017 American Community Survey Five Year Estimates, the statewide annual MHI is $67,169, and Fort Jones and Etna both qualify as SDACs with annual MHIs of $29,662 and $35,333, respectively</w:t>
      </w:r>
      <w:r>
        <w:t xml:space="preserve"> </w:t>
      </w:r>
      <w:r>
        <w:t xml:space="preserve">(U.S. Census Bureau 2018)</w:t>
      </w:r>
      <w:r>
        <w:t xml:space="preserve">. The unincorporated community of Greenview is listed in government databases as a disadvantaged community (defined as an MHI of less than 80% of average state MHI), but no MHI data are available for this community</w:t>
      </w:r>
      <w:r>
        <w:t xml:space="preserve"> </w:t>
      </w:r>
      <w:r>
        <w:t xml:space="preserve">(DWR 2019)</w:t>
      </w:r>
      <w:r>
        <w:t xml:space="preserve">.</w:t>
      </w:r>
    </w:p>
    <w:p>
      <w:pPr>
        <w:pStyle w:val="TableCaption"/>
      </w:pPr>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End w:id="29"/>
    <w:bookmarkStart w:id="38" w:name="water-uses-and-management-objectives"/>
    <w:p>
      <w:pPr>
        <w:pStyle w:val="Heading2"/>
      </w:pPr>
      <w:r>
        <w:rPr>
          <w:rStyle w:val="SectionNumber"/>
        </w:rPr>
        <w:t xml:space="preserve">2.3</w:t>
      </w:r>
      <w:r>
        <w:tab/>
      </w:r>
      <w:r>
        <w:t xml:space="preserve">Water uses and management objectives</w:t>
      </w:r>
    </w:p>
    <w:p>
      <w:pPr>
        <w:pStyle w:val="FirstParagraph"/>
      </w:pPr>
      <w:r>
        <w:t xml:space="preserve">Like many rural watersheds in arid to semi-arid regions, balancing environmental and agricultural water demands is a significant challenge faced by local water managers. Water uses, land management, and the measurement units used in local regulatory documents were discussed in Chapter 1 of this dissertation:</w:t>
      </w:r>
    </w:p>
    <w:p>
      <w:pPr>
        <w:pStyle w:val="BlockText"/>
      </w:pPr>
      <w:r>
        <w:t xml:space="preserve">“Water in Scott Valley is used for agricultural, domestic, and municipal supply. It also facilitates recreation and provides Native American cultural services, among other designated beneficial uses</w:t>
      </w:r>
      <w:r>
        <w:t xml:space="preserve"> </w:t>
      </w:r>
      <w:r>
        <w:t xml:space="preserve">(NCRWQCB 2006)</w:t>
      </w:r>
      <w:r>
        <w:t xml:space="preserve">. 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lockText"/>
      </w:pPr>
      <w:r>
        <w:t xml:space="preserve">Historically, local regulation of land use has focused on maintaining the rural and agricultural character of Scott Valley</w:t>
      </w:r>
      <w:r>
        <w:t xml:space="preserve"> </w:t>
      </w:r>
      <w:r>
        <w:t xml:space="preserve">(Scott Valley Area Plan Committee 1980)</w:t>
      </w:r>
      <w:r>
        <w:t xml:space="preserve">. Regulating land use to improve ecological outcomes would entail significant economic, political and social risks, because much of the economic activity in this area is related to agriculture. The primary crops grown in Scott Valley are alfalfa and pasture for cattle feed</w:t>
      </w:r>
      <w:r>
        <w:t xml:space="preserve"> </w:t>
      </w:r>
      <w:r>
        <w:t xml:space="preserve">(Siskiyou County 2021)</w:t>
      </w:r>
      <w:r>
        <w:t xml:space="preserve">. In addition to local economic impact, Scott River conditions influence fish population dynamics both within the watershed and in the broader Klamath system. The health of the Klamath salmon run has implications for commercial fishing, recreational activities, and cultural practices of Native American tribes in the region, including the Quartz Valley Indian Community and the Karuk and Yurok Tribes</w:t>
      </w:r>
      <w:r>
        <w:t xml:space="preserve"> </w:t>
      </w:r>
      <w:r>
        <w:t xml:space="preserve">(Graham 2012)</w:t>
      </w:r>
      <w:r>
        <w:t xml:space="preserve">.</w:t>
      </w:r>
    </w:p>
    <w:p>
      <w:pPr>
        <w:pStyle w:val="BlockText"/>
      </w:pPr>
      <w:r>
        <w:t xml:space="preserve">All of the regulatory and management programs in this region, including recommended instream flows</w:t>
      </w:r>
      <w:r>
        <w:t xml:space="preserve"> </w:t>
      </w:r>
      <w:r>
        <w:t xml:space="preserve">(CDFW 2017)</w:t>
      </w:r>
      <w:r>
        <w:t xml:space="preserve"> </w:t>
      </w:r>
      <w:r>
        <w:t xml:space="preserve">and legal rights governing surface water diversion</w:t>
      </w:r>
      <w:r>
        <w:t xml:space="preserve"> </w:t>
      </w:r>
      <w:r>
        <w:t xml:space="preserve">(Superior Court of Siskiyou County 1980)</w:t>
      </w:r>
      <w:r>
        <w:t xml:space="preserve">, are tabulated in units of cubic feet per second (cfs). For consistency, this document will also use primarily cfs units, with metric units in parentheses.”</w:t>
      </w:r>
    </w:p>
    <w:bookmarkStart w:id="30" w:name="environmental-stream-flows"/>
    <w:p>
      <w:pPr>
        <w:pStyle w:val="Heading3"/>
      </w:pPr>
      <w:r>
        <w:rPr>
          <w:rStyle w:val="SectionNumber"/>
        </w:rPr>
        <w:t xml:space="preserve">2.3.1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Cs/>
          <w:i/>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(L. R. Brown, Moyle, and Yoshiyama 1994)</w:t>
      </w:r>
      <w:r>
        <w:t xml:space="preserve">.</w:t>
      </w:r>
    </w:p>
    <w:p>
      <w:pPr>
        <w:pStyle w:val="BodyText"/>
      </w:pPr>
      <w:r>
        <w:t xml:space="preserve">To complete their life cycle, coho salmon require several key functional flows in the Scott Valley freshwater stream system, including the following:</w:t>
      </w:r>
    </w:p>
    <w:p>
      <w:pPr>
        <w:numPr>
          <w:ilvl w:val="0"/>
          <w:numId w:val="1001"/>
        </w:numPr>
        <w:pStyle w:val="Compact"/>
      </w:pPr>
      <w:r>
        <w:t xml:space="preserve">Fall flows, increasing after the dry season in response to early wet season storms, that occur early enough to provide adult fall-run spawners access to preferred spawning reaches</w:t>
      </w:r>
    </w:p>
    <w:p>
      <w:pPr>
        <w:numPr>
          <w:ilvl w:val="0"/>
          <w:numId w:val="1001"/>
        </w:numPr>
        <w:pStyle w:val="Compact"/>
      </w:pPr>
      <w:r>
        <w:t xml:space="preserve">Flows providing habitat for rearing juvenile salmon for their ~12-15 months of freshwater residence</w:t>
      </w:r>
    </w:p>
    <w:p>
      <w:pPr>
        <w:numPr>
          <w:ilvl w:val="0"/>
          <w:numId w:val="1001"/>
        </w:numPr>
        <w:pStyle w:val="Compact"/>
      </w:pPr>
      <w:r>
        <w:t xml:space="preserve">Sufficient flow in the spring for yearling smolts to emigrate to the ocean</w:t>
      </w:r>
    </w:p>
    <w:p>
      <w:pPr>
        <w:pStyle w:val="FirstParagraph"/>
      </w:pPr>
      <w:r>
        <w:t xml:space="preserve">Other species may require other functional flows [e.g., cottonwood trees require flood-stage flows to disperse their seeds;</w:t>
      </w:r>
      <w:r>
        <w:t xml:space="preserve"> </w:t>
      </w:r>
      <w:r>
        <w:t xml:space="preserve">Mahoney and Rood (1998)</w:t>
      </w:r>
      <w:r>
        <w:t xml:space="preserve">], but in this work we focus on coho salmon, the most vulnerable species in the watershed. Future work could evaluate the suite of flows needed by a larger set of species in Scott Valley.</w:t>
      </w:r>
    </w:p>
    <w:bookmarkEnd w:id="30"/>
    <w:bookmarkStart w:id="37" w:name="agricultural-water-demand"/>
    <w:p>
      <w:pPr>
        <w:pStyle w:val="Heading3"/>
      </w:pPr>
      <w:r>
        <w:rPr>
          <w:rStyle w:val="SectionNumber"/>
        </w:rPr>
        <w:t xml:space="preserve">2.3.2</w:t>
      </w:r>
      <w:r>
        <w:tab/>
      </w:r>
      <w:r>
        <w:t xml:space="preserve">Agricultural water demand</w:t>
      </w:r>
    </w:p>
    <w:p>
      <w:pPr>
        <w:pStyle w:val="FirstParagraph"/>
      </w:pPr>
      <w:r>
        <w:t xml:space="preserve">Agricultural water demand in Scott Valley has been simulated for a historical model period of water years 1991-2018 (Oct. 1 of 1990 to Sept. 30 of 2018), using the calibrated Scott Valley Integrated Hydrologic Model [SVIHM;</w:t>
      </w:r>
      <w:r>
        <w:t xml:space="preserve"> </w:t>
      </w:r>
      <w:r>
        <w:t xml:space="preserve">Harter and Hines (2008)</w:t>
      </w:r>
      <w:r>
        <w:t xml:space="preserve">;</w:t>
      </w:r>
      <w:r>
        <w:t xml:space="preserve"> </w:t>
      </w:r>
      <w:r>
        <w:t xml:space="preserve">Foglia et al. (2013)</w:t>
      </w:r>
      <w:r>
        <w:t xml:space="preserve">;</w:t>
      </w:r>
      <w:r>
        <w:t xml:space="preserve"> </w:t>
      </w:r>
      <w:r>
        <w:t xml:space="preserve">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In dry water years, initial soil moisture levels may be lower, and irrigation demand may be somewhat higher, though annual crop ET and irrigation demand is relatively stable year to year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In the mid-twentieth century, farms and ranches irrigated grain, alfalfa and pasture crops mainly with diverted surface water, which was abundant until mid or late summer, and many utilized flood irrigation. On this schedule two alfalfa cuttings were harvested, with the last irrigation typically occurring in July. Since the 1970s, widespread construction of irrigation wells has effectively extended the irrigation season and allowed alfalfa farmers to harvest three or four cuttings in a growing season. (Additionally, higher-irrigation efficiency technology like wheel-line and center-pivot sprinklers became common, though this does not alter the consumptive demand of the cultivated crops.) Based on historical crop coverage and water demand estimates by Harter and Hines</w:t>
      </w:r>
      <w:r>
        <w:t xml:space="preserve"> </w:t>
      </w:r>
      <w:r>
        <w:t xml:space="preserve">(2008)</w:t>
      </w:r>
      <w:r>
        <w:t xml:space="preserve">,</w:t>
      </w:r>
      <w:r>
        <w:t xml:space="preserve"> </w:t>
      </w:r>
      <w:r>
        <w:t xml:space="preserve">“</w:t>
      </w:r>
      <w:r>
        <w:t xml:space="preserve">the amount of water likely used by crops has increased from 1958 to 2000 by between 15 percent (10,000 more acre feet) and 30 percent (20,000 acre feet) depending on the date when surface irrigation [is assumed to have ceased historically], i.e. July 15, Aug 1 or Aug 15.</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2" name="Picture"/>
            <a:graphic>
              <a:graphicData uri="http://schemas.openxmlformats.org/drawingml/2006/picture">
                <pic:pic>
                  <pic:nvPicPr>
                    <pic:cNvPr descr="Graphics%20and%20Supplements/Figure%202.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5" name="Picture"/>
            <a:graphic>
              <a:graphicData uri="http://schemas.openxmlformats.org/drawingml/2006/picture">
                <pic:pic>
                  <pic:nvPicPr>
                    <pic:cNvPr descr="Graphics%20and%20Supplements/Figure%203.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37"/>
    <w:bookmarkEnd w:id="38"/>
    <w:bookmarkStart w:id="39" w:name="gsp-development"/>
    <w:p>
      <w:pPr>
        <w:pStyle w:val="Heading2"/>
      </w:pPr>
      <w:r>
        <w:rPr>
          <w:rStyle w:val="SectionNumber"/>
        </w:rPr>
        <w:t xml:space="preserve">2.4</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w:t>
      </w:r>
      <w:r>
        <w:t xml:space="preserve">undesirable results</w:t>
      </w:r>
      <w:r>
        <w:t xml:space="preserve">”</w:t>
      </w:r>
      <w:r>
        <w:t xml:space="preserve"> </w:t>
      </w:r>
      <w:r>
        <w:t xml:space="preserve">that would be</w:t>
      </w:r>
      <w:r>
        <w:t xml:space="preserve"> </w:t>
      </w:r>
      <w:r>
        <w:t xml:space="preserve">“</w:t>
      </w:r>
      <w:r>
        <w:t xml:space="preserve">significant and unreasonable</w:t>
      </w:r>
      <w:r>
        <w:t xml:space="preserve">”</w:t>
      </w:r>
      <w:r>
        <w:t xml:space="preserve">. The central undesirable result in Scott Valley is streamflow depletion due to groundwater pumping. Consequently, a central challenge of GSP development was defining a reasonable amount of streamflow depletion reversal, accounting for environmental water demand and what degree of agricultural water security was necessary to sustain the local economy.</w:t>
      </w:r>
    </w:p>
    <w:p>
      <w:pPr>
        <w:pStyle w:val="BodyText"/>
      </w:pPr>
      <w:r>
        <w:t xml:space="preserve">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39"/>
    <w:bookmarkStart w:id="40" w:name="hydrologic-model-summary"/>
    <w:p>
      <w:pPr>
        <w:pStyle w:val="Heading2"/>
      </w:pPr>
      <w:r>
        <w:rPr>
          <w:rStyle w:val="SectionNumber"/>
        </w:rPr>
        <w:t xml:space="preserve">2.5</w:t>
      </w:r>
      <w:r>
        <w:tab/>
      </w:r>
      <w:r>
        <w:t xml:space="preserve">Hydrologic model summary</w:t>
      </w:r>
    </w:p>
    <w:p>
      <w:pPr>
        <w:pStyle w:val="FirstParagraph"/>
      </w:pPr>
      <w:r>
        <w:t xml:space="preserve">The Scott Valley Integrated Hydrologic Model (SVIHM) is a surface and groundwater model driven by tributary stream inflows, precipitation inputs, and reference evapotranspiration (ET</w:t>
      </w:r>
      <w:r>
        <w:rPr>
          <w:vertAlign w:val="subscript"/>
        </w:rPr>
        <w:t xml:space="preserve">0</w:t>
      </w:r>
      <w:r>
        <w:t xml:space="preserve">). The boundary of the model domain corresponds approximately to the extent of the alluvial aquifer. For detailed information about the model structure, sensitivity, calibration, uncertainty, and validation of results, see recent work by Tolley et al.</w:t>
      </w:r>
      <w:r>
        <w:t xml:space="preserve"> </w:t>
      </w:r>
      <w:r>
        <w:t xml:space="preserve">(2019)</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1991-2018.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numPr>
          <w:ilvl w:val="0"/>
          <w:numId w:val="1002"/>
        </w:numPr>
        <w:pStyle w:val="Compact"/>
      </w:pPr>
      <w:r>
        <w:t xml:space="preserve">A prediction of Scott River flow the Fort Jones Gauge, which is co-located with the surface water outlet of the model domain; and</w:t>
      </w:r>
    </w:p>
    <w:p>
      <w:pPr>
        <w:numPr>
          <w:ilvl w:val="0"/>
          <w:numId w:val="1002"/>
        </w:numPr>
        <w:pStyle w:val="Compact"/>
      </w:pPr>
      <w:r>
        <w:t xml:space="preserve">Simulated total ET of crops and native vegetation within the model domain.</w:t>
      </w:r>
    </w:p>
    <w:bookmarkEnd w:id="40"/>
    <w:bookmarkEnd w:id="41"/>
    <w:bookmarkStart w:id="66"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 maximizing specific environmental flows, maintain current levels of agricultural productivity (represented as minimizing reduction in agricultural water use), and minimizing new infrastructure costs (represented as a categorical infrastructure/feasibility proxy) (Table</w:t>
      </w:r>
      <w:r>
        <w:t xml:space="preserve"> </w:t>
      </w:r>
      <w:r>
        <w:t xml:space="preserve">2</w:t>
      </w:r>
      <w:r>
        <w:t xml:space="preserve">). 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BodyText"/>
      </w:pPr>
      <w:r>
        <w:t xml:space="preserve">We should note that protecting domestic water use was also discussed as a management objective, but this was not evaluated as an objective function in management scenarios, for three main reasons: it was assumed that solving the environmental flows problem would intrinsically keep groundwater levels sufficiently high to protect domestic groundwater use from well outages; the number of reported well outages in recent dry years was minimal; and the data necessary to assess domestic well outages (specifically, total well depth and pump depth information) was available only for a small number of wells.</w:t>
      </w:r>
    </w:p>
    <w:p>
      <w:pPr>
        <w:pStyle w:val="TableCaption"/>
      </w:pPr>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45" w:name="objective-functions"/>
    <w:p>
      <w:pPr>
        <w:pStyle w:val="Heading2"/>
      </w:pPr>
      <w:r>
        <w:rPr>
          <w:rStyle w:val="SectionNumber"/>
        </w:rPr>
        <w:t xml:space="preserve">3.1</w:t>
      </w:r>
      <w:r>
        <w:tab/>
      </w:r>
      <w:r>
        <w:t xml:space="preserve">Objective functions</w:t>
      </w:r>
    </w:p>
    <w:bookmarkStart w:id="42" w:name="hydrologic-benefit-function"/>
    <w:p>
      <w:pPr>
        <w:pStyle w:val="Heading3"/>
      </w:pPr>
      <w:r>
        <w:rPr>
          <w:rStyle w:val="SectionNumber"/>
        </w:rPr>
        <w:t xml:space="preserve">3.1.1</w:t>
      </w:r>
      <w:r>
        <w:tab/>
      </w:r>
      <w:r>
        <w:t xml:space="preserve">Hydrologic Benefit function</w:t>
      </w:r>
    </w:p>
    <w:p>
      <w:pPr>
        <w:pStyle w:val="FirstParagraph"/>
      </w:pPr>
      <w:r>
        <w:t xml:space="preserve">In Chapter 1 of this dissertation, we showed that the degree to which the water year provided ecological services needed by coho salmon can be estimated using a Hydrologic Benefit (HB) function, which summarizes environmental flows in a single index value for a given water year. A set of streamflow metrics related to the timing, amplitude, and duration of flow phenomena were weighted according to their power to predict salmon coho smolt production per female spawner. These weighted metrics are combined linearly to predict a value for coho salmon reproduction. See Chapter 1 for more details on these calculations. Specifically, the HB function predicts a higher number of coho salmon produced per female spawner (coho smolts per female, or coho spf-equivalent) when fall flows rise above 10 and 100 cfs earlier in the fall, when the wet season onset is earlier, and when the wet season duration is longer. The equation to calculate the HB value for a given water year is as follows:</w:t>
      </w:r>
    </w:p>
    <w:p>
      <w:pPr>
        <w:pStyle w:val="BodyText"/>
      </w:pPr>
      <m:oMathPara>
        <m:oMathParaPr>
          <m:jc m:val="center"/>
        </m:oMathParaPr>
        <m:oMath>
          <m:r>
            <m:t>H</m:t>
          </m:r>
          <m:sSub>
            <m:e>
              <m:r>
                <m:t>B</m:t>
              </m:r>
            </m:e>
            <m:sub>
              <m:r>
                <m:t>w</m:t>
              </m:r>
              <m:r>
                <m:t>y</m:t>
              </m:r>
            </m:sub>
          </m:sSub>
          <m:r>
            <m:rPr>
              <m:sty m:val="p"/>
            </m:rPr>
            <m:t>=</m:t>
          </m:r>
          <m:r>
            <m:t>b</m:t>
          </m:r>
          <m:r>
            <m:rPr>
              <m:sty m:val="p"/>
            </m:rPr>
            <m:t>+</m:t>
          </m:r>
          <m:sSub>
            <m:e>
              <m:r>
                <m:t>m</m:t>
              </m:r>
            </m:e>
            <m:sub>
              <m:r>
                <m:t>1</m:t>
              </m:r>
            </m:sub>
          </m:sSub>
          <m:r>
            <m:rPr>
              <m:sty m:val="p"/>
            </m:rPr>
            <m:t>*</m:t>
          </m:r>
          <m:r>
            <m:t>m</m:t>
          </m:r>
          <m:r>
            <m:t>e</m:t>
          </m:r>
          <m:r>
            <m:t>t</m:t>
          </m:r>
          <m:r>
            <m:t>r</m:t>
          </m:r>
          <m:r>
            <m:t>i</m:t>
          </m:r>
          <m:sSub>
            <m:e>
              <m:r>
                <m:t>c</m:t>
              </m:r>
            </m:e>
            <m:sub>
              <m:r>
                <m:t>1</m:t>
              </m:r>
              <m:r>
                <m:rPr>
                  <m:sty m:val="p"/>
                </m:rPr>
                <m:t>,</m:t>
              </m:r>
              <m:r>
                <m:t> </m:t>
              </m:r>
              <m:r>
                <m:t>w</m:t>
              </m:r>
              <m:r>
                <m:t>y</m:t>
              </m:r>
            </m:sub>
          </m:sSub>
          <m:r>
            <m:rPr>
              <m:sty m:val="p"/>
            </m:rPr>
            <m:t>+</m:t>
          </m:r>
          <m:r>
            <m:rPr>
              <m:sty m:val="p"/>
            </m:rPr>
            <m:t>.</m:t>
          </m:r>
          <m:r>
            <m:rPr>
              <m:sty m:val="p"/>
            </m:rPr>
            <m:t>.</m:t>
          </m:r>
          <m:r>
            <m:rPr>
              <m:sty m:val="p"/>
            </m:rPr>
            <m:t>.</m:t>
          </m:r>
          <m:r>
            <m:rPr>
              <m:sty m:val="p"/>
            </m:rPr>
            <m:t>+</m:t>
          </m:r>
          <m:sSub>
            <m:e>
              <m:r>
                <m:t>m</m:t>
              </m:r>
            </m:e>
            <m:sub>
              <m:r>
                <m:t>4</m:t>
              </m:r>
            </m:sub>
          </m:sSub>
          <m:r>
            <m:rPr>
              <m:sty m:val="p"/>
            </m:rPr>
            <m:t>*</m:t>
          </m:r>
          <m:r>
            <m:t>m</m:t>
          </m:r>
          <m:r>
            <m:t>e</m:t>
          </m:r>
          <m:r>
            <m:t>t</m:t>
          </m:r>
          <m:r>
            <m:t>r</m:t>
          </m:r>
          <m:r>
            <m:t>i</m:t>
          </m:r>
          <m:sSub>
            <m:e>
              <m:r>
                <m:t>c</m:t>
              </m:r>
            </m:e>
            <m:sub>
              <m:r>
                <m:t>4</m:t>
              </m:r>
              <m:r>
                <m:rPr>
                  <m:sty m:val="p"/>
                </m:rPr>
                <m:t>,</m:t>
              </m:r>
              <m:r>
                <m:t> </m:t>
              </m:r>
              <m:r>
                <m:t>w</m:t>
              </m:r>
              <m:r>
                <m:t>y</m:t>
              </m:r>
            </m:sub>
          </m:sSub>
        </m:oMath>
      </m:oMathPara>
    </w:p>
    <w:p>
      <w:pPr>
        <w:pStyle w:val="FirstParagraph"/>
      </w:pPr>
      <w:r>
        <w:t xml:space="preserve">Where:</w:t>
      </w:r>
    </w:p>
    <w:p>
      <w:pPr>
        <w:pStyle w:val="BodyText"/>
      </w:pPr>
      <m:oMath>
        <m:r>
          <m:t>H</m:t>
        </m:r>
        <m:sSub>
          <m:e>
            <m:r>
              <m:t>B</m:t>
            </m:r>
          </m:e>
          <m:sub>
            <m:r>
              <m:t>w</m:t>
            </m:r>
            <m:r>
              <m:t>y</m:t>
            </m:r>
          </m:sub>
        </m:sSub>
      </m:oMath>
      <w:r>
        <w:t xml:space="preserve"> </w:t>
      </w:r>
      <w:r>
        <w:t xml:space="preserve">is the Hydrologic Benefit value for a given water year (predicted coho spf or coho spf equivalent)</w:t>
      </w:r>
    </w:p>
    <w:p>
      <w:pPr>
        <w:pStyle w:val="BodyText"/>
      </w:pPr>
      <m:oMath>
        <m:r>
          <m:t>b</m:t>
        </m:r>
        <m:r>
          <m:rPr>
            <m:sty m:val="p"/>
          </m:rPr>
          <m:t>=</m:t>
        </m:r>
        <m:r>
          <m:t>87.4</m:t>
        </m:r>
      </m:oMath>
      <w:r>
        <w:t xml:space="preserve"> </w:t>
      </w:r>
      <w:r>
        <w:t xml:space="preserve">coho spf equiv.</w:t>
      </w:r>
    </w:p>
    <w:p>
      <w:pPr>
        <w:pStyle w:val="BodyText"/>
      </w:pPr>
      <m:oMath>
        <m:sSub>
          <m:e>
            <m:r>
              <m:t>m</m:t>
            </m:r>
          </m:e>
          <m:sub>
            <m:r>
              <m:t>1</m:t>
            </m:r>
          </m:sub>
        </m:sSub>
        <m:r>
          <m:rPr>
            <m:sty m:val="p"/>
          </m:rPr>
          <m:t>=</m:t>
        </m:r>
        <m:r>
          <m:rPr>
            <m:sty m:val="p"/>
          </m:rPr>
          <m:t>−</m:t>
        </m:r>
        <m:r>
          <m:t>0.030</m:t>
        </m:r>
      </m:oMath>
      <w:r>
        <w:t xml:space="preserve"> </w:t>
      </w:r>
      <w:r>
        <w:t xml:space="preserve">coho spf equiv. per day of reconnection after Aug. 31 (100 cfs)</w:t>
      </w:r>
    </w:p>
    <w:p>
      <w:pPr>
        <w:pStyle w:val="BodyText"/>
      </w:pPr>
      <m:oMath>
        <m:sSub>
          <m:e>
            <m:r>
              <m:t>m</m:t>
            </m:r>
          </m:e>
          <m:sub>
            <m:r>
              <m:t>2</m:t>
            </m:r>
          </m:sub>
        </m:sSub>
        <m:r>
          <m:rPr>
            <m:sty m:val="p"/>
          </m:rPr>
          <m:t>=</m:t>
        </m:r>
        <m:r>
          <m:rPr>
            <m:sty m:val="p"/>
          </m:rPr>
          <m:t>−</m:t>
        </m:r>
        <m:r>
          <m:t>0.365</m:t>
        </m:r>
      </m:oMath>
      <w:r>
        <w:t xml:space="preserve"> </w:t>
      </w:r>
      <w:r>
        <w:t xml:space="preserve">coho spf equiv. per day of reconnection after Aug. 31 (200 cfs)</w:t>
      </w:r>
    </w:p>
    <w:p>
      <w:pPr>
        <w:pStyle w:val="BodyText"/>
      </w:pPr>
      <m:oMath>
        <m:sSub>
          <m:e>
            <m:r>
              <m:t>m</m:t>
            </m:r>
          </m:e>
          <m:sub>
            <m:r>
              <m:t>3</m:t>
            </m:r>
          </m:sub>
        </m:sSub>
        <m:r>
          <m:rPr>
            <m:sty m:val="p"/>
          </m:rPr>
          <m:t>=</m:t>
        </m:r>
        <m:r>
          <m:t>0.033</m:t>
        </m:r>
      </m:oMath>
      <w:r>
        <w:t xml:space="preserve"> </w:t>
      </w:r>
      <w:r>
        <w:t xml:space="preserve">coho spf equiv. per day of disconnection after Aug. 31 (200 cfs)</w:t>
      </w:r>
    </w:p>
    <w:p>
      <w:pPr>
        <w:pStyle w:val="BodyText"/>
      </w:pPr>
      <m:oMath>
        <m:sSub>
          <m:e>
            <m:r>
              <m:t>m</m:t>
            </m:r>
          </m:e>
          <m:sub>
            <m:r>
              <m:t>4</m:t>
            </m:r>
          </m:sub>
        </m:sSub>
        <m:r>
          <m:rPr>
            <m:sty m:val="p"/>
          </m:rPr>
          <m:t>=</m:t>
        </m:r>
        <m:r>
          <m:rPr>
            <m:sty m:val="p"/>
          </m:rPr>
          <m:t>−</m:t>
        </m:r>
        <m:r>
          <m:t>0.191</m:t>
        </m:r>
      </m:oMath>
      <w:r>
        <w:t xml:space="preserve"> </w:t>
      </w:r>
      <w:r>
        <w:t xml:space="preserve">coho spf equiv. per day of reconnection after Aug. 31 (8 cfs)</w:t>
      </w:r>
    </w:p>
    <w:p>
      <w:pPr>
        <w:pStyle w:val="BodyText"/>
      </w:pPr>
      <m:oMath>
        <m:sSub>
          <m:e>
            <m:r>
              <m:t>m</m:t>
            </m:r>
          </m:e>
          <m:sub>
            <m:r>
              <m:t>5</m:t>
            </m:r>
          </m:sub>
        </m:sSub>
        <m:r>
          <m:rPr>
            <m:sty m:val="p"/>
          </m:rPr>
          <m:t>=</m:t>
        </m:r>
        <m:r>
          <m:rPr>
            <m:sty m:val="p"/>
          </m:rPr>
          <m:t>−</m:t>
        </m:r>
        <m:r>
          <m:t>0.004</m:t>
        </m:r>
      </m:oMath>
      <w:r>
        <w:t xml:space="preserve"> </w:t>
      </w:r>
      <w:r>
        <w:t xml:space="preserve">coho spf equiv. per cubic meter of lower dry season flow magnitude</w:t>
      </w:r>
    </w:p>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 4.5 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2"/>
    <w:bookmarkStart w:id="43"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Specifically, conversion of ET to yield or revenue would introduce multiple uncertainties, such as those related to marginal crop production costs and available technology</w:t>
      </w:r>
      <w:r>
        <w:t xml:space="preserve"> </w:t>
      </w:r>
      <w:r>
        <w:t xml:space="preserve">(Howitt 1995)</w:t>
      </w:r>
      <w:r>
        <w:t xml:space="preserve">. In studies that do implement a water-to-yield or -revenue conversion, multi-year average values for per-acre yield and/or revenue are commonly used</w:t>
      </w:r>
      <w:r>
        <w:t xml:space="preserve"> </w:t>
      </w:r>
      <w:r>
        <w:t xml:space="preserve">(e.g., Cole and Medellín-Azuara 2021 for the Scott Valley case)</w:t>
      </w:r>
      <w:r>
        <w:t xml:space="preserve">, since those are typically the only values available. This approach is most valid when the marginal change in productivity is small relative to the average</w:t>
      </w:r>
      <w:r>
        <w:t xml:space="preserve"> </w:t>
      </w:r>
      <w:r>
        <w:t xml:space="preserve">(Howitt 1995)</w:t>
      </w:r>
      <w:r>
        <w:t xml:space="preserve">. Additionally, average values cannot account for time-varying costs of a management action</w:t>
      </w:r>
      <w:r>
        <w:t xml:space="preserve"> </w:t>
      </w:r>
      <w:r>
        <w:t xml:space="preserve">(e.g., the increase in cost of lettuce cultivation due to banning a certain pesticide is higher in some seasons than in others, as described in Sunding 1996)</w:t>
      </w:r>
      <w:r>
        <w:t xml:space="preserv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3"/>
    <w:bookmarkStart w:id="44"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numPr>
          <w:ilvl w:val="0"/>
          <w:numId w:val="1003"/>
        </w:numPr>
        <w:pStyle w:val="Compact"/>
      </w:pPr>
      <w:r>
        <w:t xml:space="preserve">No feasibility barriers (basecase; maintain current practices)</w:t>
      </w:r>
    </w:p>
    <w:p>
      <w:pPr>
        <w:numPr>
          <w:ilvl w:val="0"/>
          <w:numId w:val="1003"/>
        </w:numPr>
        <w:pStyle w:val="Compact"/>
      </w:pPr>
      <w:r>
        <w:t xml:space="preserve">Implementable with current infrastructure</w:t>
      </w:r>
    </w:p>
    <w:p>
      <w:pPr>
        <w:numPr>
          <w:ilvl w:val="0"/>
          <w:numId w:val="1003"/>
        </w:numPr>
        <w:pStyle w:val="Compact"/>
      </w:pPr>
      <w:r>
        <w:t xml:space="preserve">Requires new infrastructure that would take 1-2 years to build</w:t>
      </w:r>
    </w:p>
    <w:p>
      <w:pPr>
        <w:numPr>
          <w:ilvl w:val="0"/>
          <w:numId w:val="1003"/>
        </w:numPr>
        <w:pStyle w:val="Compact"/>
      </w:pPr>
      <w:r>
        <w:t xml:space="preserve">Requires new infrastructure that would take 3-5 years to build</w:t>
      </w:r>
    </w:p>
    <w:p>
      <w:pPr>
        <w:numPr>
          <w:ilvl w:val="0"/>
          <w:numId w:val="1003"/>
        </w:numPr>
        <w:pStyle w:val="Compact"/>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4</w:t>
      </w:r>
      <w:r>
        <w:t xml:space="preserve"> </w:t>
      </w:r>
      <w:r>
        <w:t xml:space="preserve">for full list of assigned categories.</w:t>
      </w:r>
    </w:p>
    <w:bookmarkEnd w:id="44"/>
    <w:bookmarkEnd w:id="45"/>
    <w:bookmarkStart w:id="48" w:name="analyses-of-objective-function-values"/>
    <w:p>
      <w:pPr>
        <w:pStyle w:val="Heading2"/>
      </w:pPr>
      <w:r>
        <w:rPr>
          <w:rStyle w:val="SectionNumber"/>
        </w:rPr>
        <w:t xml:space="preserve">3.2</w:t>
      </w:r>
      <w:r>
        <w:tab/>
      </w:r>
      <w:r>
        <w:t xml:space="preserve">Analyses of objective function values</w:t>
      </w:r>
    </w:p>
    <w:bookmarkStart w:id="46" w:name="trade-off-efficiency-and-low-coho-years"/>
    <w:p>
      <w:pPr>
        <w:pStyle w:val="Heading3"/>
      </w:pPr>
      <w:r>
        <w:rPr>
          <w:rStyle w:val="SectionNumber"/>
        </w:rPr>
        <w:t xml:space="preserve">3.2.1</w:t>
      </w:r>
      <w:r>
        <w:tab/>
      </w:r>
      <w:r>
        <w:t xml:space="preserve">Trade-off efficiency and</w:t>
      </w:r>
      <w:r>
        <w:t xml:space="preserve"> </w:t>
      </w:r>
      <w:r>
        <w:t xml:space="preserve">“</w:t>
      </w:r>
      <w:r>
        <w:t xml:space="preserve">low-coho</w:t>
      </w:r>
      <w:r>
        <w:t xml:space="preserve">”</w:t>
      </w:r>
      <w:r>
        <w:t xml:space="preserve"> </w:t>
      </w:r>
      <w:r>
        <w:t xml:space="preserve">years</w:t>
      </w:r>
    </w:p>
    <w:p>
      <w:pPr>
        <w:pStyle w:val="FirstParagraph"/>
      </w:pPr>
      <w:r>
        <w:t xml:space="preserve">As discussed previously, balancing agricultural and environmental water demands in this watershed typically takes the form of seeking management actions that can improve flow conditions while minimizing the resulting reduction in agricultural water availability. These objectives are non-commensurable (i.e., an estimated level of fish reproduction cannot be converted into units of agricultural productivity), making an explicit quantification and consideration of benefit trade-offs a critical feature of this decision-support analysis</w:t>
      </w:r>
      <w:r>
        <w:t xml:space="preserve"> </w:t>
      </w:r>
      <w:r>
        <w:t xml:space="preserve">(Cohon and Marks 1975)</w:t>
      </w:r>
      <w:r>
        <w:t xml:space="preserve">. Environmental benefits are less commonly quantified than agricultural costs</w:t>
      </w:r>
      <w:r>
        <w:t xml:space="preserve"> </w:t>
      </w:r>
      <w:r>
        <w:t xml:space="preserve">(e.g., Sunding 1996, which assessed numerical costs of a management action and assumed qualitative environmental/human health benefits)</w:t>
      </w:r>
      <w:r>
        <w:t xml:space="preserve">, but the HB function makes this trade-off quantification possible in the Scott Valley case.</w:t>
      </w:r>
    </w:p>
    <w:p>
      <w:pPr>
        <w:pStyle w:val="BodyText"/>
      </w:pPr>
      <w:r>
        <w:t xml:space="preserve">For this analysis, which is not intended to identify one</w:t>
      </w:r>
      <w:r>
        <w:t xml:space="preserve"> </w:t>
      </w:r>
      <w:r>
        <w:t xml:space="preserve">“</w:t>
      </w:r>
      <w:r>
        <w:t xml:space="preserve">best</w:t>
      </w:r>
      <w:r>
        <w:t xml:space="preserve">”</w:t>
      </w:r>
      <w:r>
        <w:t xml:space="preserve"> </w:t>
      </w:r>
      <w:r>
        <w:t xml:space="preserve">or optimal solution, these trade-offs can be considered using scenario objective value differences relative to their basecase (historical simulated) values. We will call this quantity the</w:t>
      </w:r>
      <w:r>
        <w:t xml:space="preserve"> </w:t>
      </w:r>
      <w:r>
        <w:t xml:space="preserve">“</w:t>
      </w:r>
      <w:r>
        <w:t xml:space="preserve">trade-off efficiency</w:t>
      </w:r>
      <w:r>
        <w:t xml:space="preserve">”</w:t>
      </w:r>
      <w:r>
        <w:t xml:space="preserve"> </w:t>
      </w:r>
      <w:r>
        <w:t xml:space="preserve">of a management scenario. For a given scenario, the trade-off efficiency, or Eff</w:t>
      </w:r>
      <w:r>
        <w:rPr>
          <w:vertAlign w:val="subscript"/>
        </w:rPr>
        <w:t xml:space="preserve">scen</w:t>
      </w:r>
      <w:r>
        <w:t xml:space="preserve">, is unitless (i.e., it has units of coho spf-equiv. per coho spf-equiv. / million m</w:t>
      </w:r>
      <w:r>
        <w:rPr>
          <w:vertAlign w:val="superscript"/>
        </w:rPr>
        <w:t xml:space="preserve">3</w:t>
      </w:r>
      <w:r>
        <w:t xml:space="preserve"> </w:t>
      </w:r>
      <w:r>
        <w:t xml:space="preserve">per million m</w:t>
      </w:r>
      <w:r>
        <w:rPr>
          <w:vertAlign w:val="superscript"/>
        </w:rPr>
        <w:t xml:space="preserve">3</w:t>
      </w:r>
      <w:r>
        <w:t xml:space="preserve">), as shown in the formula below.</w:t>
      </w:r>
    </w:p>
    <w:p>
      <w:pPr>
        <w:pStyle w:val="BodyText"/>
      </w:pPr>
      <w:r>
        <w:t xml:space="preserve">An efficiency for a subset of years can be calculated by averaging the efficiency values over that set of water years only. The set of years with low basecase HB values (operationally defined as values lower than 45 coho spf-equivalent, composed of 1993, 1995, 2002, and 2014-16) is relevant to water managers (see Discussion), and is henceforth referred to as the set of</w:t>
      </w:r>
      <w:r>
        <w:t xml:space="preserve"> </w:t>
      </w:r>
      <w:r>
        <w:t xml:space="preserve">“</w:t>
      </w:r>
      <w:r>
        <w:t xml:space="preserve">low-coho</w:t>
      </w:r>
      <w:r>
        <w:t xml:space="preserve">”</w:t>
      </w:r>
      <w:r>
        <w:t xml:space="preserve"> </w:t>
      </w:r>
      <w:r>
        <w:t xml:space="preserve">years. A low-coho year efficiency was calculated in addition to the efficiencies averaged over all water years.</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0"/>
              <m:supHide m:val="0"/>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0"/>
              <m:supHide m:val="0"/>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endChr m:val=")"/>
                  <m:sep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endChr m:val=")"/>
                  <m:sep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46"/>
    <w:bookmarkStart w:id="47"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47"/>
    <w:bookmarkEnd w:id="48"/>
    <w:bookmarkStart w:id="49"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3</w:t>
      </w:r>
      <w:r>
        <w:t xml:space="preserve">). Within each category various details were altered (e.g., an alfalfa irrigation cessation date of July 10 versus August 15, or an assumed crop water consumption of 80% versus 90% of historical). See</w:t>
      </w:r>
      <w:r>
        <w:t xml:space="preserve"> </w:t>
      </w:r>
      <w:r>
        <w:rPr>
          <w:iCs/>
          <w:i/>
        </w:rPr>
        <w:t xml:space="preserve">Chapter 2 Supplement</w:t>
      </w:r>
      <w:r>
        <w:t xml:space="preserve"> </w:t>
      </w:r>
      <w:r>
        <w:t xml:space="preserve">for more detailed scenario descriptions.</w:t>
      </w:r>
    </w:p>
    <w:p>
      <w:pPr>
        <w:pStyle w:val="TableCaption"/>
      </w:pPr>
      <w:r>
        <w:t xml:space="preserve">Table 3:</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Expanded 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(lower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(higher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49"/>
    <w:bookmarkStart w:id="65"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39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(Table</w:t>
      </w:r>
      <w:r>
        <w:t xml:space="preserve"> </w:t>
      </w:r>
      <w:r>
        <w:t xml:space="preserve">4</w:t>
      </w:r>
      <w:r>
        <w:t xml:space="preserve">).</w:t>
      </w:r>
    </w:p>
    <w:bookmarkStart w:id="56" w:name="X7919b09686293416b4bcb59483f48ae87a57064"/>
    <w:p>
      <w:pPr>
        <w:pStyle w:val="Heading3"/>
      </w:pPr>
      <w:r>
        <w:rPr>
          <w:rStyle w:val="SectionNumber"/>
        </w:rPr>
        <w:t xml:space="preserve">3.4.1</w:t>
      </w:r>
      <w:r>
        <w:tab/>
      </w:r>
      <w:r>
        <w:t xml:space="preserve">Environmental and agricultural objective function values</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1" name="Picture"/>
            <a:graphic>
              <a:graphicData uri="http://schemas.openxmlformats.org/drawingml/2006/picture">
                <pic:pic>
                  <pic:nvPicPr>
                    <pic:cNvPr descr="Graphics%20and%20Supplements/Figure%204.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54" name="Picture"/>
            <a:graphic>
              <a:graphicData uri="http://schemas.openxmlformats.org/drawingml/2006/picture">
                <pic:pic>
                  <pic:nvPicPr>
                    <pic:cNvPr descr="Graphics%20and%20Supplements/Figure%205.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BodyText"/>
      </w:pPr>
      <w:r>
        <w:t xml:space="preserve">The aggregate hydrologic impact of each management scenario can be compared against the historical basecase using the annual objective function values over the full 28-year record (e.g., Figure</w:t>
      </w:r>
      <w:r>
        <w:t xml:space="preserve"> </w:t>
      </w:r>
      <w:r>
        <w:t xml:space="preserve">5</w:t>
      </w:r>
      <w:r>
        <w:t xml:space="preserve">) or using the 28-year mean values for each scenario (Figure</w:t>
      </w:r>
      <w:r>
        <w:t xml:space="preserve"> </w:t>
      </w:r>
      <w:r>
        <w:t xml:space="preserve">6</w:t>
      </w:r>
      <w:r>
        <w:t xml:space="preserve">; Table</w:t>
      </w:r>
      <w:r>
        <w:t xml:space="preserve"> </w:t>
      </w:r>
      <w:r>
        <w:t xml:space="preserve">4</w:t>
      </w:r>
      <w:r>
        <w:t xml:space="preserve">). In the basecase scenario, the 28-year mean annual ET volume is 111 million m</w:t>
      </w:r>
      <w:r>
        <w:rPr>
          <w:vertAlign w:val="superscript"/>
        </w:rPr>
        <w:t xml:space="preserve">3</w:t>
      </w:r>
      <w:r>
        <w:t xml:space="preserve"> </w:t>
      </w:r>
      <w:r>
        <w:t xml:space="preserve">of water, and the 28-year mean of annual HB values is 55.9 coho spf-equivalent (Table</w:t>
      </w:r>
      <w:r>
        <w:t xml:space="preserve"> </w:t>
      </w:r>
      <w:r>
        <w:t xml:space="preserve">4</w:t>
      </w:r>
      <w:r>
        <w:t xml:space="preserve">). Annual ET volume is relatively stable over the model period of water years 1991-2018, while annual HB values are much more variable (Figure</w:t>
      </w:r>
      <w:r>
        <w:t xml:space="preserve"> </w:t>
      </w:r>
      <w:r>
        <w:t xml:space="preserve">5</w:t>
      </w:r>
      <w:r>
        <w:t xml:space="preserve">). Among the 39 management scenarios, mean ET values ranged from 0 to 112 million m</w:t>
      </w:r>
      <w:r>
        <w:rPr>
          <w:vertAlign w:val="superscript"/>
        </w:rPr>
        <w:t xml:space="preserve">3</w:t>
      </w:r>
      <w:r>
        <w:t xml:space="preserve"> </w:t>
      </w:r>
      <w:r>
        <w:t xml:space="preserve">of water, while HB values ranged from 56 to 66.5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6</w:t>
      </w:r>
      <w:r>
        <w:t xml:space="preserve">). The scenarios in this group all require some degree of infrastructure investment, and they have a minimal impact on crop ET: the mean ET values of scenarios in this cluster are 109 to 112 million m</w:t>
      </w:r>
      <w:r>
        <w:rPr>
          <w:vertAlign w:val="superscript"/>
        </w:rPr>
        <w:t xml:space="preserve">3</w:t>
      </w:r>
      <w:r>
        <w:t xml:space="preserve">, or 2 percent less to 0.6 percent more than basecase. Their mean improvement in HB values over the basecase ranges from 0 to 2 coho spf-equivalent.</w:t>
      </w:r>
    </w:p>
    <w:p>
      <w:pPr>
        <w:pStyle w:val="BodyText"/>
      </w:pPr>
      <w:r>
        <w:t xml:space="preserve">The mean ET volumes of the two Crop Change scenarios fall below those in the aforementioned cluster, with 90 and 101 million m</w:t>
      </w:r>
      <w:r>
        <w:rPr>
          <w:vertAlign w:val="superscript"/>
        </w:rPr>
        <w:t xml:space="preserve">3</w:t>
      </w:r>
      <w:r>
        <w:t xml:space="preserve">, while HB values are 57.5 and 56.9 respectively (Figure</w:t>
      </w:r>
      <w:r>
        <w:t xml:space="preserve"> </w:t>
      </w:r>
      <w:r>
        <w:t xml:space="preserve">6</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w:t>
      </w:r>
      <w:r>
        <w:t xml:space="preserve">farmer benefit</w:t>
      </w:r>
      <w:r>
        <w:t xml:space="preserve">”</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6</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 2021)</w:t>
      </w:r>
      <w:r>
        <w:t xml:space="preserve">. The mean ET values of scenarios in these two categories are 34 to 111 million m</w:t>
      </w:r>
      <w:r>
        <w:rPr>
          <w:vertAlign w:val="superscript"/>
        </w:rPr>
        <w:t xml:space="preserve">3</w:t>
      </w:r>
      <w:r>
        <w:t xml:space="preserve">, or 69 to 0.3 percent less than basecase; HB gains over basecase are 1 to 11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6</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6 million m</w:t>
      </w:r>
      <w:r>
        <w:rPr>
          <w:vertAlign w:val="superscript"/>
        </w:rPr>
        <w:t xml:space="preserve">3</w:t>
      </w:r>
      <w:r>
        <w:t xml:space="preserve"> </w:t>
      </w:r>
      <w:r>
        <w:t xml:space="preserve">(~6%) less than basecase, while the mean HB value is 2 coho spf-equivalent greater than basecase.</w:t>
      </w:r>
    </w:p>
    <w:p>
      <w:pPr>
        <w:pStyle w:val="BodyText"/>
      </w:pPr>
      <w:r>
        <w:t xml:space="preserve">The remaining two categories, abbreviated as</w:t>
      </w:r>
      <w:r>
        <w:t xml:space="preserve"> </w:t>
      </w:r>
      <w:r>
        <w:t xml:space="preserve">“</w:t>
      </w:r>
      <w:r>
        <w:t xml:space="preserve">NatVeg</w:t>
      </w:r>
      <w:r>
        <w:t xml:space="preserve">”</w:t>
      </w:r>
      <w:r>
        <w:t xml:space="preserve"> </w:t>
      </w:r>
      <w:r>
        <w:t xml:space="preserve">and</w:t>
      </w:r>
      <w:r>
        <w:t xml:space="preserve"> </w:t>
      </w:r>
      <w:r>
        <w:t xml:space="preserve">“</w:t>
      </w:r>
      <w:r>
        <w:t xml:space="preserve">NatVegET</w:t>
      </w:r>
      <w:r>
        <w:t xml:space="preserve">”</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w:t>
      </w:r>
      <w:r>
        <w:t xml:space="preserve">pre-historic</w:t>
      </w:r>
      <w:r>
        <w:t xml:space="preserve">”</w:t>
      </w:r>
      <w:r>
        <w:t xml:space="preserve">,</w:t>
      </w:r>
      <w:r>
        <w:t xml:space="preserve"> </w:t>
      </w:r>
      <w:r>
        <w:t xml:space="preserve">“</w:t>
      </w:r>
      <w:r>
        <w:t xml:space="preserve">unimpaired</w:t>
      </w:r>
      <w:r>
        <w:t xml:space="preserve">”</w:t>
      </w:r>
      <w:r>
        <w:t xml:space="preserve">, or</w:t>
      </w:r>
      <w:r>
        <w:t xml:space="preserve"> </w:t>
      </w:r>
      <w:r>
        <w:t xml:space="preserve">“</w:t>
      </w:r>
      <w:r>
        <w:t xml:space="preserve">conservation</w:t>
      </w:r>
      <w:r>
        <w:t xml:space="preserve">”</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6</w:t>
      </w:r>
      <w:r>
        <w:t xml:space="preserve">).</w:t>
      </w:r>
    </w:p>
    <w:p>
      <w:pPr>
        <w:pStyle w:val="BodyText"/>
      </w:pPr>
      <w:r>
        <w:t xml:space="preserve">The key geographic feature in the NatVeg and NatVegET scenarios is the</w:t>
      </w:r>
      <w:r>
        <w:t xml:space="preserve"> </w:t>
      </w:r>
      <w:r>
        <w:t xml:space="preserve">“</w:t>
      </w:r>
      <w:r>
        <w:t xml:space="preserve">Interconnected Zone</w:t>
      </w:r>
      <w:r>
        <w:t xml:space="preserve">”</w:t>
      </w:r>
      <w:r>
        <w:t xml:space="preserve"> </w:t>
      </w:r>
      <w:r>
        <w:t xml:space="preserve">in the 1980 Scott Valley surface water adjudication</w:t>
      </w:r>
      <w:r>
        <w:t xml:space="preserve"> </w:t>
      </w:r>
      <w:r>
        <w:t xml:space="preserve">(Superior Court of Siskiyou County 1980)</w:t>
      </w:r>
      <w:r>
        <w:t xml:space="preserve">, referred to here as the</w:t>
      </w:r>
      <w:r>
        <w:t xml:space="preserve"> </w:t>
      </w:r>
      <w:r>
        <w:t xml:space="preserve">“</w:t>
      </w:r>
      <w:r>
        <w:t xml:space="preserve">adjudicated zone</w:t>
      </w:r>
      <w:r>
        <w:t xml:space="preserv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45 cm/year (56%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Cs/>
          <w:i/>
        </w:rPr>
        <w:t xml:space="preserve">Supplemental Material</w:t>
      </w:r>
      <w:r>
        <w:t xml:space="preserve"> </w:t>
      </w:r>
      <w:r>
        <w:t xml:space="preserve">for more details on this scenario design.)</w:t>
      </w:r>
    </w:p>
    <w:p>
      <w:pPr>
        <w:pStyle w:val="TableCaption"/>
      </w:pPr>
      <w:r>
        <w:t xml:space="preserve">Table 4:</w:t>
      </w:r>
      <w:r>
        <w:t xml:space="preserve"> </w:t>
      </w:r>
      <w:r>
        <w:t xml:space="preserve">Scenario attributes for 40 scenarios. Units for Hydrologic Benefit (HB) value are coho smolt per female-equivalent; for ET are million cubic meters; both are averages of 28 annual values. Efficiency not calculated for scenarios with no average ET loss. (L-C) indicates the efficiency is averaged over the six low-coho years that occurred within that period, rather than the full model period 1991-2018.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 (L-C)</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111.49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mar_ilr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mar_ilr_max_0.003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mar_ilr_max_0.019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mar_ilr_max_0.035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irr_eff_improve_0.1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irr_eff_improve_0.2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reservoir_sfork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reservoir_etna_29kAF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irrig_0.8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irrig_0.9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alf_irr_stop_jul10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alf_irr_stop_aug01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alf_irr_stop_aug01_dry_yrs_only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alf_irr_stop_aug15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alf_irr_stop_aug15_dry_yrs_only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curtail_start_jun01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curtail_start_jun15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curtail_start_jul01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curtail_start_jul15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curtail_start_aug01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curtail_start_aug15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natveg_gwmixed_all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natveg_inside_adj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natveg_gwmixed_inside_adj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natveg_outside_adj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natveg_gwmixed_outside_adj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natveg_all_et_check_1.0nvkc_4.5m_ext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natveg_gwmixed_all_et_check_1.0nvkc_4.5m_ext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natveg_inside_adj_et_check_1.0nvkc_4.5m_ext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natveg_gwmixed_inside_adj_et_check_1.0nvkc_4.5m_ext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natveg_outside_adj_et_check_1.0nvkc_4.5m_ext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r>
      <w:tr>
        <w:trPr>
          <w:trHeight w:val="360"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natveg_gwmixed_outside_adj_et_check_1.0nvkc_4.5m_ext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65.21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r>
    </w:tbl>
    <w:bookmarkEnd w:id="56"/>
    <w:bookmarkStart w:id="60"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0.03 to 4 when averaged over all years, and were higher (ranging from 0.04 to 4.7) in low-coho years (Table</w:t>
      </w:r>
      <w:r>
        <w:t xml:space="preserve"> </w:t>
      </w:r>
      <w:r>
        <w:t xml:space="preserve">4</w:t>
      </w:r>
      <w:r>
        <w:t xml:space="preserve">). The range covers two orders of magnitude because the denominator of the ratio, lost ET, ranges from 0.3% to 100%, while the HB gains fall more narrowly between 0.1% to 19%.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w:t>
      </w:r>
      <w:r>
        <w:t xml:space="preserve">low-efficiency</w:t>
      </w:r>
      <w:r>
        <w:t xml:space="preserve">”</w:t>
      </w:r>
      <w:r>
        <w:t xml:space="preserve"> </w:t>
      </w:r>
      <w:r>
        <w:t xml:space="preserve">cluster, with all-years efficiencies of less than 1: Crop Change, Curtailment, and the two Natural Vegetation categories (Figure</w:t>
      </w:r>
      <w:r>
        <w:t xml:space="preserve"> </w:t>
      </w:r>
      <w:r>
        <w:t xml:space="preserve">7</w:t>
      </w:r>
      <w:r>
        <w:t xml:space="preserve">). These scenarios can produce substantial HB gains (ranging from 0 to 11) coho spf-equiv., but result in severe agricultural productivity reductions (0.4% to 100%). The</w:t>
      </w:r>
      <w:r>
        <w:t xml:space="preserve"> </w:t>
      </w:r>
      <w:r>
        <w:t xml:space="preserve">“</w:t>
      </w:r>
      <w:r>
        <w:t xml:space="preserve">high-efficiency</w:t>
      </w:r>
      <w:r>
        <w:t xml:space="preserve">”</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(0.4 to 1.4 million m</w:t>
      </w:r>
      <w:r>
        <w:rPr>
          <w:vertAlign w:val="superscript"/>
        </w:rPr>
        <w:t xml:space="preserve">3</w:t>
      </w:r>
      <w:r>
        <w:t xml:space="preserve">, or 0.3 to 1.2 percent of basecase crop ET).</w:t>
      </w:r>
    </w:p>
    <w:p>
      <w:pPr>
        <w:pStyle w:val="CaptionedFigure"/>
      </w:pPr>
      <w:r>
        <w:drawing>
          <wp:inline>
            <wp:extent cx="4620126" cy="5544151"/>
            <wp:effectExtent b="0" l="0" r="0" t="0"/>
            <wp:docPr descr="Figure 7:  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 title="" id="58" name="Picture"/>
            <a:graphic>
              <a:graphicData uri="http://schemas.openxmlformats.org/drawingml/2006/picture">
                <pic:pic>
                  <pic:nvPicPr>
                    <pic:cNvPr descr="Kouba_Fish_and_Ag_Benefit_MS_files/figure-docx/efficiency-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Figure 7:</w:t>
      </w:r>
      <w:r>
        <w:t xml:space="preserve"> </w:t>
      </w:r>
      <w:r>
        <w:t xml:space="preserve"> </w:t>
      </w:r>
      <w:r>
        <w:t xml:space="preserve">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w:t>
      </w:r>
    </w:p>
    <w:bookmarkEnd w:id="60"/>
    <w:bookmarkStart w:id="64"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4</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6</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(Table</w:t>
      </w:r>
      <w:r>
        <w:t xml:space="preserve"> </w:t>
      </w:r>
      <w:r>
        <w:t xml:space="preserve">5</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5</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w:t>
      </w:r>
      <w:r>
        <w:t xml:space="preserve">Voluntary Managed Land Repurposing</w:t>
      </w:r>
      <w:r>
        <w:t xml:space="preserve">”</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5334000" cy="4909038"/>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62" name="Picture"/>
            <a:graphic>
              <a:graphicData uri="http://schemas.openxmlformats.org/drawingml/2006/picture">
                <pic:pic>
                  <pic:nvPicPr>
                    <pic:cNvPr descr="Graphics%20and%20Supplements/hbf%20et%20infra%20plot3d_2024.11.PNG" id="63" name="Picture"/>
                    <pic:cNvPicPr>
                      <a:picLocks noChangeArrowheads="1" noChangeAspect="1"/>
                    </pic:cNvPicPr>
                  </pic:nvPicPr>
                  <pic:blipFill>
                    <a:blip r:embed="rId61"/>
                    <a:stretch>
                      <a:fillRect/>
                    </a:stretch>
                  </pic:blipFill>
                  <pic:spPr bwMode="auto">
                    <a:xfrm>
                      <a:off x="0" y="0"/>
                      <a:ext cx="5334000" cy="4909038"/>
                    </a:xfrm>
                    <a:prstGeom prst="rect">
                      <a:avLst/>
                    </a:prstGeom>
                    <a:noFill/>
                    <a:ln w="9525">
                      <a:noFill/>
                      <a:headEnd/>
                      <a:tailEnd/>
                    </a:ln>
                  </pic:spPr>
                </pic:pic>
              </a:graphicData>
            </a:graphic>
          </wp:inline>
        </w:drawing>
      </w:r>
    </w:p>
    <w:p>
      <w:pPr>
        <w:pStyle w:val="ImageCaption"/>
      </w:pPr>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r>
        <w:t xml:space="preserve">Table 5:</w:t>
      </w:r>
      <w:r>
        <w:t xml:space="preserve"> </w:t>
      </w:r>
      <w:r>
        <w:t xml:space="preserve">List of management actions in Chapter 4 of the GSP and analogues in the set of 40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109-111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109-111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44-101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90-101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34-111</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bl>
    <w:p>
      <w:r>
        <w:br w:type="page"/>
      </w:r>
    </w:p>
    <w:bookmarkEnd w:id="64"/>
    <w:bookmarkEnd w:id="65"/>
    <w:bookmarkEnd w:id="66"/>
    <w:bookmarkStart w:id="72" w:name="discussion"/>
    <w:p>
      <w:pPr>
        <w:pStyle w:val="Heading1"/>
      </w:pPr>
      <w:r>
        <w:rPr>
          <w:rStyle w:val="SectionNumber"/>
        </w:rPr>
        <w:t xml:space="preserve">4</w:t>
      </w:r>
      <w:r>
        <w:tab/>
      </w:r>
      <w:r>
        <w:t xml:space="preserve">Discussion</w:t>
      </w:r>
    </w:p>
    <w:p>
      <w:pPr>
        <w:pStyle w:val="FirstParagraph"/>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67" w:name="Xa151cb59b4ad5c02348e31b83bab4d8169de230"/>
    <w:p>
      <w:pPr>
        <w:pStyle w:val="Heading2"/>
      </w:pPr>
      <w:r>
        <w:rPr>
          <w:rStyle w:val="SectionNumber"/>
        </w:rPr>
        <w:t xml:space="preserve">4.1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 A water year with a low HB value (e.g., &lt;45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67"/>
    <w:bookmarkStart w:id="68" w:name="Xeb4407dfc59ea709d91a13199c8e469abf09cea"/>
    <w:p>
      <w:pPr>
        <w:pStyle w:val="Heading2"/>
      </w:pPr>
      <w:r>
        <w:rPr>
          <w:rStyle w:val="SectionNumber"/>
        </w:rPr>
        <w:t xml:space="preserve">4.2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5</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45 predicted coho spf-equivalent, tend to occur in years following one or more dry years (i.e., 1993, 1995, 2002, and 2014-16 in Figure</w:t>
      </w:r>
      <w:r>
        <w:t xml:space="preserve"> </w:t>
      </w:r>
      <w:r>
        <w:t xml:space="preserve">5</w:t>
      </w:r>
      <w:r>
        <w:t xml:space="preserve">;</w:t>
      </w:r>
      <w:r>
        <w:t xml:space="preserve"> </w:t>
      </w:r>
      <w:r>
        <w:t xml:space="preserve">“</w:t>
      </w:r>
      <w:r>
        <w:t xml:space="preserve">low-coho years</w:t>
      </w:r>
      <w:r>
        <w:t xml:space="preserve">”</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5</w:t>
      </w:r>
      <w:r>
        <w:t xml:space="preserve">), the low-coho year HB performance of various model scenarios is a key scenario differentiator.</w:t>
      </w:r>
    </w:p>
    <w:bookmarkEnd w:id="68"/>
    <w:bookmarkStart w:id="69" w:name="environmental-agricultural-trade-offs"/>
    <w:p>
      <w:pPr>
        <w:pStyle w:val="Heading2"/>
      </w:pPr>
      <w:r>
        <w:rPr>
          <w:rStyle w:val="SectionNumber"/>
        </w:rPr>
        <w:t xml:space="preserve">4.3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HB gains in low-coho years are modest under cutoff dates of August 15th and August 1st (averaging 3 and 4 more coho spf than basecase in low-coho years, respectively), and ET costs are small (averaging 1 and 4 million m</w:t>
      </w:r>
      <w:r>
        <w:rPr>
          <w:vertAlign w:val="superscript"/>
        </w:rPr>
        <w:t xml:space="preserve">3</w:t>
      </w:r>
      <w:r>
        <w:t xml:space="preserve">, respectively, in all years); conversely, the more extreme July 10th cutoff date produces an average of 4 more predicted coho-spf in low-coho years and an average of 10 million m</w:t>
      </w:r>
      <w:r>
        <w:rPr>
          <w:vertAlign w:val="superscript"/>
        </w:rPr>
        <w:t xml:space="preserve">3</w:t>
      </w:r>
      <w:r>
        <w:t xml:space="preserve">, or 9%, reduction in ET in all years (panels A and B of Figure</w:t>
      </w:r>
      <w:r>
        <w:t xml:space="preserve"> </w:t>
      </w:r>
      <w:r>
        <w:t xml:space="preserve">5</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0.5 million m</w:t>
      </w:r>
      <w:r>
        <w:rPr>
          <w:vertAlign w:val="superscript"/>
        </w:rPr>
        <w:t xml:space="preserve">3</w:t>
      </w:r>
      <w:r>
        <w:t xml:space="preserve"> </w:t>
      </w:r>
      <w:r>
        <w:t xml:space="preserve">less than basecase in all years) and improves HB performance only slightly (1 coho spf gain over basecase in low-coho years). At the other extreme, the Curtailment scenario in which all irrigation is cut off on August 1st (</w:t>
      </w:r>
      <w:r>
        <w:rPr>
          <w:rStyle w:val="VerbatimChar"/>
        </w:rPr>
        <w:t xml:space="preserve">curtail_start_aug01</w:t>
      </w:r>
      <w:r>
        <w:t xml:space="preserve">) produces significant HB improvements in low-coho years (with mean HB improvements of 13 coho spf-equiv.), but reduces ET by an average of 37 million m</w:t>
      </w:r>
      <w:r>
        <w:rPr>
          <w:vertAlign w:val="superscript"/>
        </w:rPr>
        <w:t xml:space="preserve">3</w:t>
      </w:r>
      <w:r>
        <w:t xml:space="preserve"> </w:t>
      </w:r>
      <w:r>
        <w:t xml:space="preserve">or 33% (panels C and D of Figure</w:t>
      </w:r>
      <w:r>
        <w:t xml:space="preserve"> </w:t>
      </w:r>
      <w:r>
        <w:t xml:space="preserve">5</w:t>
      </w:r>
      <w:r>
        <w:t xml:space="preserve">). Compared to</w:t>
      </w:r>
      <w:r>
        <w:t xml:space="preserve"> </w:t>
      </w:r>
      <w:r>
        <w:rPr>
          <w:rStyle w:val="VerbatimChar"/>
        </w:rPr>
        <w:t xml:space="preserve">curtail_start_aug01</w:t>
      </w:r>
      <w:r>
        <w:t xml:space="preserve">, the Low Flow Diversion Limits (</w:t>
      </w:r>
      <w:r>
        <w:rPr>
          <w:rStyle w:val="VerbatimChar"/>
        </w:rPr>
        <w:t xml:space="preserve">flowlims</w:t>
      </w:r>
      <w:r>
        <w:t xml:space="preserve">) scenario tends to have an intermediate effect on HB values in low-coho water years (HB improvement of 3 coho spf-equiv.), while reducing ET by an average of 6%.</w:t>
      </w:r>
    </w:p>
    <w:p>
      <w:pPr>
        <w:pStyle w:val="BodyText"/>
      </w:pPr>
      <w:r>
        <w:t xml:space="preserve">The 33 scenarios with ET lower than basecase sort clearly into one high- and one low-efficiency cluster (Figure</w:t>
      </w:r>
      <w:r>
        <w:t xml:space="preserve"> </w:t>
      </w:r>
      <w:r>
        <w:t xml:space="preserve">7</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4</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7</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5</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alf_irr_stop_aug01_dry_yrs_only</w:t>
      </w:r>
      <w:r>
        <w:t xml:space="preserve"> </w:t>
      </w:r>
      <w:r>
        <w:t xml:space="preserve">and</w:t>
      </w:r>
      <w:r>
        <w:t xml:space="preserve"> </w:t>
      </w:r>
      <w:r>
        <w:rPr>
          <w:rStyle w:val="VerbatimChar"/>
        </w:rPr>
        <w:t xml:space="preserve">alf_irr_stop_aug15_dry_yrs_only</w:t>
      </w:r>
      <w:r>
        <w:t xml:space="preserve">) are higher than for their corresponding scenarios with an intervention in all years (</w:t>
      </w:r>
      <w:r>
        <w:rPr>
          <w:rStyle w:val="VerbatimChar"/>
        </w:rPr>
        <w:t xml:space="preserve">alf_irr_stop_aug01</w:t>
      </w:r>
      <w:r>
        <w:t xml:space="preserve"> </w:t>
      </w:r>
      <w:r>
        <w:t xml:space="preserve">and</w:t>
      </w:r>
      <w:r>
        <w:t xml:space="preserve"> </w:t>
      </w:r>
      <w:r>
        <w:rPr>
          <w:rStyle w:val="VerbatimChar"/>
        </w:rPr>
        <w:t xml:space="preserve">alf_irr_stop_aug15</w:t>
      </w:r>
      <w:r>
        <w:t xml:space="preserve">; Table</w:t>
      </w:r>
      <w:r>
        <w:t xml:space="preserve"> </w:t>
      </w:r>
      <w:r>
        <w:t xml:space="preserve">4</w:t>
      </w:r>
      <w:r>
        <w:t xml:space="preserve">).</w:t>
      </w:r>
    </w:p>
    <w:bookmarkEnd w:id="69"/>
    <w:bookmarkStart w:id="70" w:name="Xb48c0b1c357814727cacf50afe35e98b0bf92dd"/>
    <w:p>
      <w:pPr>
        <w:pStyle w:val="Heading2"/>
      </w:pPr>
      <w:r>
        <w:rPr>
          <w:rStyle w:val="SectionNumber"/>
        </w:rPr>
        <w:t xml:space="preserve">4.4</w:t>
      </w:r>
      <w:r>
        <w:tab/>
      </w:r>
      <w:r>
        <w:t xml:space="preserve">Pareto-optimal solution set and GSP priority management actions</w:t>
      </w:r>
    </w:p>
    <w:p>
      <w:pPr>
        <w:pStyle w:val="FirstParagraph"/>
      </w:pPr>
      <w:r>
        <w:t xml:space="preserve">Within the proposed suite of management actions, more than half (25 of 40,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4</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7</w:t>
      </w:r>
      <w:r>
        <w:t xml:space="preserve">; Table</w:t>
      </w:r>
      <w:r>
        <w:t xml:space="preserve"> </w:t>
      </w:r>
      <w:r>
        <w:t xml:space="preserve">4</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5</w:t>
      </w:r>
      <w:r>
        <w:t xml:space="preserve">). Although the GSP management priorities emphasized infrastructure, in a strict application of these objective functions, both infrastructure-based and regulatory approaches fell within the Pareto-optimal set of management options.</w:t>
      </w:r>
    </w:p>
    <w:bookmarkEnd w:id="70"/>
    <w:bookmarkStart w:id="71" w:name="policy-implications"/>
    <w:p>
      <w:pPr>
        <w:pStyle w:val="Heading2"/>
      </w:pPr>
      <w:r>
        <w:rPr>
          <w:rStyle w:val="SectionNumber"/>
        </w:rPr>
        <w:t xml:space="preserve">4.5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numPr>
          <w:ilvl w:val="0"/>
          <w:numId w:val="1004"/>
        </w:numPr>
        <w:pStyle w:val="Compact"/>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4</w:t>
      </w:r>
      <w:r>
        <w:t xml:space="preserve">).</w:t>
      </w:r>
    </w:p>
    <w:p>
      <w:pPr>
        <w:numPr>
          <w:ilvl w:val="0"/>
          <w:numId w:val="1004"/>
        </w:numPr>
        <w:pStyle w:val="Compact"/>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numPr>
          <w:ilvl w:val="0"/>
          <w:numId w:val="1004"/>
        </w:numPr>
        <w:pStyle w:val="Compact"/>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6</w:t>
      </w:r>
      <w:r>
        <w:t xml:space="preserve">.</w:t>
      </w:r>
    </w:p>
    <w:p>
      <w:pPr>
        <w:numPr>
          <w:ilvl w:val="0"/>
          <w:numId w:val="1004"/>
        </w:numPr>
        <w:pStyle w:val="Compact"/>
      </w:pPr>
      <w:r>
        <w:t xml:space="preserve">In recent years, drought conditions have prompted state regulatory agencies to consider and then impose significant irrigation curtailments</w:t>
      </w:r>
      <w:r>
        <w:t xml:space="preserve"> </w:t>
      </w:r>
      <w:r>
        <w:t xml:space="preserve">(CDFW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5</w:t>
      </w:r>
      <w:r>
        <w:t xml:space="preserve">).</w:t>
      </w:r>
    </w:p>
    <w:bookmarkEnd w:id="71"/>
    <w:bookmarkEnd w:id="72"/>
    <w:bookmarkStart w:id="73" w:name="conclusion"/>
    <w:p>
      <w:pPr>
        <w:pStyle w:val="Heading1"/>
      </w:pPr>
      <w:r>
        <w:rPr>
          <w:rStyle w:val="SectionNumber"/>
        </w:rPr>
        <w:t xml:space="preserve">5</w:t>
      </w:r>
      <w:r>
        <w:tab/>
      </w:r>
      <w:r>
        <w:t xml:space="preserve">Conclusion</w:t>
      </w:r>
    </w:p>
    <w:p>
      <w:pPr>
        <w:pStyle w:val="FirstParagraph"/>
      </w:pPr>
      <w:r>
        <w:t xml:space="preserve">In this study, functions quantifying the achievement of the two management objectives (environmental and agricultural) were applied to 40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7</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73"/>
    <w:bookmarkStart w:id="149" w:name="references"/>
    <w:p>
      <w:pPr>
        <w:pStyle w:val="Heading1"/>
      </w:pPr>
      <w:r>
        <w:t xml:space="preserve">References</w:t>
      </w:r>
    </w:p>
    <w:bookmarkStart w:id="148" w:name="refs"/>
    <w:bookmarkStart w:id="75" w:name="ref-Brown2015"/>
    <w:p>
      <w:pPr>
        <w:pStyle w:val="Bibliography"/>
      </w:pPr>
      <w:r>
        <w:t xml:space="preserve">Brown, Casey M, Jay R Lund, Ximing Cai, Patrick M Reed, Edith A Zagona, Avi Ostfeld, Jim Hall, Gregory W Characklis, Winston Yu, and Levi Brekke. 2015.</w:t>
      </w:r>
      <w:r>
        <w:t xml:space="preserve"> </w:t>
      </w:r>
      <w:r>
        <w:t xml:space="preserve">“</w:t>
      </w:r>
      <w:r>
        <w:t xml:space="preserve">The future of water resources systems analysis: Toward a scientific framework for sustainable water management</w:t>
      </w:r>
      <w:r>
        <w:t xml:space="preserve">.”</w:t>
      </w:r>
      <w:r>
        <w:t xml:space="preserve"> </w:t>
      </w:r>
      <w:r>
        <w:rPr>
          <w:iCs/>
          <w:i/>
        </w:rPr>
        <w:t xml:space="preserve">Water Resources Research</w:t>
      </w:r>
      <w:r>
        <w:t xml:space="preserve"> </w:t>
      </w:r>
      <w:r>
        <w:t xml:space="preserve">51: 6110–24.</w:t>
      </w:r>
      <w:r>
        <w:t xml:space="preserve"> </w:t>
      </w:r>
      <w:hyperlink r:id="rId74">
        <w:r>
          <w:rPr>
            <w:rStyle w:val="Hyperlink"/>
          </w:rPr>
          <w:t xml:space="preserve">https://doi.org/10.1002/2015WR017114.Received</w:t>
        </w:r>
      </w:hyperlink>
      <w:r>
        <w:t xml:space="preserve">.</w:t>
      </w:r>
    </w:p>
    <w:bookmarkEnd w:id="75"/>
    <w:bookmarkStart w:id="77" w:name="ref-Brown1994"/>
    <w:p>
      <w:pPr>
        <w:pStyle w:val="Bibliography"/>
      </w:pPr>
      <w:r>
        <w:t xml:space="preserve">Brown, Larry R., Peter B. Moyle, and Ronald M. Yoshiyama. 1994.</w:t>
      </w:r>
      <w:r>
        <w:t xml:space="preserve"> </w:t>
      </w:r>
      <w:r>
        <w:t xml:space="preserve">“</w:t>
      </w:r>
      <w:r>
        <w:t xml:space="preserve">Historical Decline and Current Status of Coho Salmon in California</w:t>
      </w:r>
      <w:r>
        <w:t xml:space="preserve">.”</w:t>
      </w:r>
      <w:r>
        <w:t xml:space="preserve"> </w:t>
      </w:r>
      <w:r>
        <w:rPr>
          <w:iCs/>
          <w:i/>
        </w:rPr>
        <w:t xml:space="preserve">North American Journal of Fisheries Management</w:t>
      </w:r>
      <w:r>
        <w:t xml:space="preserve"> </w:t>
      </w:r>
      <w:r>
        <w:t xml:space="preserve">14 (2): 237–61.</w:t>
      </w:r>
      <w:r>
        <w:t xml:space="preserve"> </w:t>
      </w:r>
      <w:hyperlink r:id="rId76">
        <w:r>
          <w:rPr>
            <w:rStyle w:val="Hyperlink"/>
          </w:rPr>
          <w:t xml:space="preserve">https://doi.org/10.1577/1548-8675(1994)014&lt;0237:hdacso&gt;2.3.co;2</w:t>
        </w:r>
      </w:hyperlink>
      <w:r>
        <w:t xml:space="preserve">.</w:t>
      </w:r>
    </w:p>
    <w:bookmarkEnd w:id="77"/>
    <w:bookmarkStart w:id="79" w:name="ref-CDFW2015a"/>
    <w:p>
      <w:pPr>
        <w:pStyle w:val="Bibliography"/>
      </w:pPr>
      <w:r>
        <w:t xml:space="preserve">California Department of Fish and Wildlife (CDFW). 2015.</w:t>
      </w:r>
      <w:r>
        <w:t xml:space="preserve"> </w:t>
      </w:r>
      <w:r>
        <w:t xml:space="preserve">“</w:t>
      </w:r>
      <w:r>
        <w:t xml:space="preserve">Cooperative Report of the Scott River Coho Salmon Rescue and Relocation Effort: 2014 Drought Emergency</w:t>
      </w:r>
      <w:r>
        <w:t xml:space="preserve">.”</w:t>
      </w:r>
      <w:r>
        <w:t xml:space="preserve"> </w:t>
      </w:r>
      <w:r>
        <w:t xml:space="preserve">August. California Department of Fish; Wildlife (CDFW).</w:t>
      </w:r>
      <w:r>
        <w:t xml:space="preserve"> </w:t>
      </w:r>
      <w:hyperlink r:id="rId78">
        <w:r>
          <w:rPr>
            <w:rStyle w:val="Hyperlink"/>
          </w:rPr>
          <w:t xml:space="preserve">https://www.fs.usda.gov/Internet/FSE{\_}DOCUMENTS/stelprd3850544.pdf</w:t>
        </w:r>
      </w:hyperlink>
      <w:r>
        <w:t xml:space="preserve">.</w:t>
      </w:r>
    </w:p>
    <w:bookmarkEnd w:id="79"/>
    <w:bookmarkStart w:id="81" w:name="ref-CDFW2017"/>
    <w:p>
      <w:pPr>
        <w:pStyle w:val="Bibliography"/>
      </w:pPr>
      <w:r>
        <w:t xml:space="preserve">———. 2017.</w:t>
      </w:r>
      <w:r>
        <w:t xml:space="preserve"> </w:t>
      </w:r>
      <w:r>
        <w:t xml:space="preserve">“</w:t>
      </w:r>
      <w:r>
        <w:t xml:space="preserve">Interim Instream Flow Criteria for the Protection of Fishery</w:t>
      </w:r>
      <w:r>
        <w:t xml:space="preserve">.”</w:t>
      </w:r>
      <w:r>
        <w:t xml:space="preserve"> </w:t>
      </w:r>
      <w:hyperlink r:id="rId80">
        <w:r>
          <w:rPr>
            <w:rStyle w:val="Hyperlink"/>
          </w:rPr>
          <w:t xml:space="preserve">file:///Users/kelseymcneill/Downloads/Scott River{\_}FINAL 02-10-17.pdf</w:t>
        </w:r>
      </w:hyperlink>
      <w:r>
        <w:t xml:space="preserve">.</w:t>
      </w:r>
    </w:p>
    <w:bookmarkEnd w:id="81"/>
    <w:bookmarkStart w:id="83" w:name="ref-DWR2017"/>
    <w:p>
      <w:pPr>
        <w:pStyle w:val="Bibliography"/>
      </w:pPr>
      <w:r>
        <w:t xml:space="preserve">California Department of Water Resources (DWR). 2017.</w:t>
      </w:r>
      <w:r>
        <w:t xml:space="preserve"> </w:t>
      </w:r>
      <w:r>
        <w:t xml:space="preserve">“</w:t>
      </w:r>
      <w:r>
        <w:t xml:space="preserve">Crop Mapping 2016</w:t>
      </w:r>
      <w:r>
        <w:t xml:space="preserve">.”</w:t>
      </w:r>
      <w:r>
        <w:t xml:space="preserve"> </w:t>
      </w:r>
      <w:hyperlink r:id="rId82">
        <w:r>
          <w:rPr>
            <w:rStyle w:val="Hyperlink"/>
          </w:rPr>
          <w:t xml:space="preserve">https://data.cnra.ca.gov/dataset/crop-mapping-2016</w:t>
        </w:r>
      </w:hyperlink>
      <w:r>
        <w:t xml:space="preserve">.</w:t>
      </w:r>
    </w:p>
    <w:bookmarkEnd w:id="83"/>
    <w:bookmarkStart w:id="84" w:name="ref-SWRCB1975"/>
    <w:p>
      <w:pPr>
        <w:pStyle w:val="Bibliography"/>
      </w:pPr>
      <w:r>
        <w:t xml:space="preserve">California State Water Resources Control Board (SWRCB). 1975.</w:t>
      </w:r>
      <w:r>
        <w:t xml:space="preserve"> </w:t>
      </w:r>
      <w:r>
        <w:t xml:space="preserve">“</w:t>
      </w:r>
      <w:r>
        <w:t xml:space="preserve">Report on Hydrogeologic Conditions, Scott River Valley, Scott River Valley</w:t>
      </w:r>
      <w:r>
        <w:t xml:space="preserve">.”</w:t>
      </w:r>
    </w:p>
    <w:bookmarkEnd w:id="84"/>
    <w:bookmarkStart w:id="86" w:name="ref-Carter1983"/>
    <w:p>
      <w:pPr>
        <w:pStyle w:val="Bibliography"/>
      </w:pPr>
      <w:r>
        <w:t xml:space="preserve">Carter, P. R., and C. C. Sheaffer. 1983.</w:t>
      </w:r>
      <w:r>
        <w:t xml:space="preserve">“</w:t>
      </w:r>
      <w:r>
        <w:t xml:space="preserve">Alfalfa Response to Soil Water Deficits. I. Growth, Forage Quality, Yield, Water Use, and Water‐Use Efficiency 1</w:t>
      </w:r>
      <w:r>
        <w:t xml:space="preserve"> </w:t>
      </w:r>
      <w:r>
        <w:t xml:space="preserve">.”</w:t>
      </w:r>
      <w:r>
        <w:t xml:space="preserve"> </w:t>
      </w:r>
      <w:r>
        <w:rPr>
          <w:iCs/>
          <w:i/>
        </w:rPr>
        <w:t xml:space="preserve">Crop Science</w:t>
      </w:r>
      <w:r>
        <w:t xml:space="preserve"> </w:t>
      </w:r>
      <w:r>
        <w:t xml:space="preserve">23 (4): 669–75.</w:t>
      </w:r>
      <w:r>
        <w:t xml:space="preserve"> </w:t>
      </w:r>
      <w:hyperlink r:id="rId85">
        <w:r>
          <w:rPr>
            <w:rStyle w:val="Hyperlink"/>
          </w:rPr>
          <w:t xml:space="preserve">https://doi.org/10.2135/cropsci1983.0011183x002300040016x</w:t>
        </w:r>
      </w:hyperlink>
      <w:r>
        <w:t xml:space="preserve">.</w:t>
      </w:r>
    </w:p>
    <w:bookmarkEnd w:id="86"/>
    <w:bookmarkStart w:id="88" w:name="ref-CDFW2021c"/>
    <w:p>
      <w:pPr>
        <w:pStyle w:val="Bibliography"/>
      </w:pPr>
      <w:r>
        <w:t xml:space="preserve">CDFW. 2021.</w:t>
      </w:r>
      <w:r>
        <w:t xml:space="preserve"> </w:t>
      </w:r>
      <w:r>
        <w:t xml:space="preserve">“</w:t>
      </w:r>
      <w:r>
        <w:t xml:space="preserve">Minimum Flow Recommendations for the Shasta and Scott Rivers to Inform the 2021 Drought Emergency Regulations</w:t>
      </w:r>
      <w:r>
        <w:t xml:space="preserve">.”</w:t>
      </w:r>
      <w:r>
        <w:t xml:space="preserve"> </w:t>
      </w:r>
      <w:r>
        <w:t xml:space="preserve">Redding, CA: CDFW to the SWB.</w:t>
      </w:r>
      <w:r>
        <w:t xml:space="preserve"> </w:t>
      </w:r>
      <w:hyperlink r:id="rId87">
        <w:r>
          <w:rPr>
            <w:rStyle w:val="Hyperlink"/>
          </w:rPr>
          <w:t xml:space="preserve">https://www.waterboards.ca.gov/drought/scott{\_}shasta{\_}rivers/docs/swb{\_}2021{\_}shasta{\_}scott{\_}drought{\_}emergency{\_}final.pdf</w:t>
        </w:r>
      </w:hyperlink>
      <w:r>
        <w:t xml:space="preserve">.</w:t>
      </w:r>
    </w:p>
    <w:bookmarkEnd w:id="88"/>
    <w:bookmarkStart w:id="90" w:name="ref-Cohon1973"/>
    <w:p>
      <w:pPr>
        <w:pStyle w:val="Bibliography"/>
      </w:pPr>
      <w:r>
        <w:t xml:space="preserve">Cohon, Jared L., and David H. Marks. 1973.</w:t>
      </w:r>
      <w:r>
        <w:t xml:space="preserve"> </w:t>
      </w:r>
      <w:r>
        <w:t xml:space="preserve">“</w:t>
      </w:r>
      <w:r>
        <w:t xml:space="preserve">Multiobjective screening models and water resource investment</w:t>
      </w:r>
      <w:r>
        <w:t xml:space="preserve">.”</w:t>
      </w:r>
      <w:r>
        <w:t xml:space="preserve"> </w:t>
      </w:r>
      <w:r>
        <w:rPr>
          <w:iCs/>
          <w:i/>
        </w:rPr>
        <w:t xml:space="preserve">Water Resources Research</w:t>
      </w:r>
      <w:r>
        <w:t xml:space="preserve"> </w:t>
      </w:r>
      <w:r>
        <w:t xml:space="preserve">9 (4): 826–36.</w:t>
      </w:r>
      <w:r>
        <w:t xml:space="preserve"> </w:t>
      </w:r>
      <w:hyperlink r:id="rId89">
        <w:r>
          <w:rPr>
            <w:rStyle w:val="Hyperlink"/>
          </w:rPr>
          <w:t xml:space="preserve">https://doi.org/10.1029/WR009i004p00826</w:t>
        </w:r>
      </w:hyperlink>
      <w:r>
        <w:t xml:space="preserve">.</w:t>
      </w:r>
    </w:p>
    <w:bookmarkEnd w:id="90"/>
    <w:bookmarkStart w:id="92" w:name="ref-Cohon1975"/>
    <w:p>
      <w:pPr>
        <w:pStyle w:val="Bibliography"/>
      </w:pPr>
      <w:r>
        <w:t xml:space="preserve">———. 1975.</w:t>
      </w:r>
      <w:r>
        <w:t xml:space="preserve"> </w:t>
      </w:r>
      <w:r>
        <w:t xml:space="preserve">“</w:t>
      </w:r>
      <w:r>
        <w:t xml:space="preserve">A review and evaluation of multiobjective programing techniques</w:t>
      </w:r>
      <w:r>
        <w:t xml:space="preserve">.”</w:t>
      </w:r>
      <w:r>
        <w:t xml:space="preserve"> </w:t>
      </w:r>
      <w:r>
        <w:rPr>
          <w:iCs/>
          <w:i/>
        </w:rPr>
        <w:t xml:space="preserve">Water Resources Research</w:t>
      </w:r>
      <w:r>
        <w:t xml:space="preserve"> </w:t>
      </w:r>
      <w:r>
        <w:t xml:space="preserve">11 (2): 208–20.</w:t>
      </w:r>
      <w:r>
        <w:t xml:space="preserve"> </w:t>
      </w:r>
      <w:hyperlink r:id="rId91">
        <w:r>
          <w:rPr>
            <w:rStyle w:val="Hyperlink"/>
          </w:rPr>
          <w:t xml:space="preserve">https://doi.org/10.1029/WR011i002p00208</w:t>
        </w:r>
      </w:hyperlink>
      <w:r>
        <w:t xml:space="preserve">.</w:t>
      </w:r>
    </w:p>
    <w:bookmarkEnd w:id="92"/>
    <w:bookmarkStart w:id="93" w:name="ref-Cole2021"/>
    <w:p>
      <w:pPr>
        <w:pStyle w:val="Bibliography"/>
      </w:pPr>
      <w:r>
        <w:t xml:space="preserve">Cole, Spencer A., and Josué Medellín-Azuara. 2021.</w:t>
      </w:r>
      <w:r>
        <w:t xml:space="preserve"> </w:t>
      </w:r>
      <w:r>
        <w:t xml:space="preserve">“</w:t>
      </w:r>
      <w:r>
        <w:t xml:space="preserve">Siskiyou County Agricultural Economics Analysis Considering Groundwater Regulation</w:t>
      </w:r>
      <w:r>
        <w:t xml:space="preserve">.”</w:t>
      </w:r>
      <w:r>
        <w:t xml:space="preserve"> </w:t>
      </w:r>
      <w:r>
        <w:t xml:space="preserve">Merced, CA: University of California, Merced.</w:t>
      </w:r>
    </w:p>
    <w:bookmarkEnd w:id="93"/>
    <w:bookmarkStart w:id="95" w:name="ref-DiBaldassarre2019"/>
    <w:p>
      <w:pPr>
        <w:pStyle w:val="Bibliography"/>
      </w:pPr>
      <w:r>
        <w:t xml:space="preserve">Di Baldassarre, Giuliano, Murugesu Sivapalan, Maria Rusca, Christophe Cudennec, Margaret Garcia, Heidi Kreibich, Megan Konar, et al. 2019.</w:t>
      </w:r>
      <w:r>
        <w:t xml:space="preserve"> </w:t>
      </w:r>
      <w:r>
        <w:t xml:space="preserve">“</w:t>
      </w:r>
      <w:r>
        <w:t xml:space="preserve">Sociohydrology: Scientific Challenges in Addressing the Sustainable Development Goals</w:t>
      </w:r>
      <w:r>
        <w:t xml:space="preserve">.”</w:t>
      </w:r>
      <w:r>
        <w:t xml:space="preserve"> </w:t>
      </w:r>
      <w:r>
        <w:rPr>
          <w:iCs/>
          <w:i/>
        </w:rPr>
        <w:t xml:space="preserve">Water Resources Research</w:t>
      </w:r>
      <w:r>
        <w:t xml:space="preserve"> </w:t>
      </w:r>
      <w:r>
        <w:t xml:space="preserve">55 (8): 6327–55.</w:t>
      </w:r>
      <w:r>
        <w:t xml:space="preserve"> </w:t>
      </w:r>
      <w:hyperlink r:id="rId94">
        <w:r>
          <w:rPr>
            <w:rStyle w:val="Hyperlink"/>
          </w:rPr>
          <w:t xml:space="preserve">https://doi.org/10.1029/2018WR023901</w:t>
        </w:r>
      </w:hyperlink>
      <w:r>
        <w:t xml:space="preserve">.</w:t>
      </w:r>
    </w:p>
    <w:bookmarkEnd w:id="95"/>
    <w:bookmarkStart w:id="97" w:name="ref-DWR2019"/>
    <w:p>
      <w:pPr>
        <w:pStyle w:val="Bibliography"/>
      </w:pPr>
      <w:r>
        <w:t xml:space="preserve">DWR. 2019.</w:t>
      </w:r>
      <w:r>
        <w:t xml:space="preserve"> </w:t>
      </w:r>
      <w:r>
        <w:t xml:space="preserve">“</w:t>
      </w:r>
      <w:r>
        <w:t xml:space="preserve">Sustainable Groundwater Management Act 2019 Basin Prioritization</w:t>
      </w:r>
      <w:r>
        <w:t xml:space="preserve">.”</w:t>
      </w:r>
      <w:r>
        <w:t xml:space="preserve"> </w:t>
      </w:r>
      <w:r>
        <w:t xml:space="preserve">April.</w:t>
      </w:r>
      <w:r>
        <w:t xml:space="preserve"> </w:t>
      </w:r>
      <w:hyperlink r:id="rId96">
        <w:r>
          <w:rPr>
            <w:rStyle w:val="Hyperlink"/>
          </w:rPr>
          <w:t xml:space="preserve">https://data.cnra.ca.gov/dataset/13ebd2d3-4e62-4fee-9342-d7c3ef3e0079/resource/ffafd27b-5e7e-4db3-b846-e7b3cb5c614c/download/sgma{\_}bp{\_}process{\_}document.pdf</w:t>
        </w:r>
      </w:hyperlink>
      <w:r>
        <w:t xml:space="preserve">.</w:t>
      </w:r>
    </w:p>
    <w:bookmarkEnd w:id="97"/>
    <w:bookmarkStart w:id="99" w:name="ref-Foglia2013a"/>
    <w:p>
      <w:pPr>
        <w:pStyle w:val="Bibliography"/>
      </w:pPr>
      <w:r>
        <w:t xml:space="preserve">Foglia, Laura, Alison McNally, Courtney Hall, Lauren Ledesma, Ryan Hines, and Thomas Harter. 2013.</w:t>
      </w:r>
      <w:r>
        <w:t xml:space="preserve"> </w:t>
      </w:r>
      <w:r>
        <w:t xml:space="preserve">“</w:t>
      </w:r>
      <w:r>
        <w:t xml:space="preserve">Scott Valley Integrated Hydrologic Model : Data Collection , Analysis , and Water Budget</w:t>
      </w:r>
      <w:r>
        <w:t xml:space="preserve">.”</w:t>
      </w:r>
      <w:r>
        <w:t xml:space="preserve"> </w:t>
      </w:r>
      <w:r>
        <w:t xml:space="preserve">April. University of California, Davis.</w:t>
      </w:r>
      <w:r>
        <w:t xml:space="preserve"> </w:t>
      </w:r>
      <w:hyperlink r:id="rId98">
        <w:r>
          <w:rPr>
            <w:rStyle w:val="Hyperlink"/>
          </w:rPr>
          <w:t xml:space="preserve">http://groundwater.ucdavis.edu/files/165395.pdf</w:t>
        </w:r>
      </w:hyperlink>
      <w:r>
        <w:t xml:space="preserve">.</w:t>
      </w:r>
    </w:p>
    <w:bookmarkEnd w:id="99"/>
    <w:bookmarkStart w:id="101" w:name="ref-FCGMA2019"/>
    <w:p>
      <w:pPr>
        <w:pStyle w:val="Bibliography"/>
      </w:pPr>
      <w:r>
        <w:t xml:space="preserve">Fox Canyon Groundwater Management Agency. 2019.</w:t>
      </w:r>
      <w:r>
        <w:t xml:space="preserve"> </w:t>
      </w:r>
      <w:r>
        <w:t xml:space="preserve">“</w:t>
      </w:r>
      <w:r>
        <w:t xml:space="preserve">Groundwater Sustainability Plan for the Oxnard Subbasin</w:t>
      </w:r>
      <w:r>
        <w:t xml:space="preserve">.”</w:t>
      </w:r>
      <w:r>
        <w:t xml:space="preserve"> </w:t>
      </w:r>
      <w:r>
        <w:t xml:space="preserve">December. Ventura, CA.</w:t>
      </w:r>
      <w:r>
        <w:t xml:space="preserve"> </w:t>
      </w:r>
      <w:hyperlink r:id="rId100">
        <w:r>
          <w:rPr>
            <w:rStyle w:val="Hyperlink"/>
          </w:rPr>
          <w:t xml:space="preserve">https://fcgma.org/groundwater-sustainability-plan</w:t>
        </w:r>
      </w:hyperlink>
      <w:r>
        <w:t xml:space="preserve">.</w:t>
      </w:r>
    </w:p>
    <w:bookmarkEnd w:id="101"/>
    <w:bookmarkStart w:id="103" w:name="ref-Gorelick1983"/>
    <w:p>
      <w:pPr>
        <w:pStyle w:val="Bibliography"/>
      </w:pPr>
      <w:r>
        <w:t xml:space="preserve">Gorelick, Steven M. 1983.</w:t>
      </w:r>
      <w:r>
        <w:t xml:space="preserve"> </w:t>
      </w:r>
      <w:r>
        <w:t xml:space="preserve">“</w:t>
      </w:r>
      <w:r>
        <w:t xml:space="preserve">A review of distributed parameter groundwater management modeling methods</w:t>
      </w:r>
      <w:r>
        <w:t xml:space="preserve">.”</w:t>
      </w:r>
      <w:r>
        <w:t xml:space="preserve"> </w:t>
      </w:r>
      <w:r>
        <w:rPr>
          <w:iCs/>
          <w:i/>
        </w:rPr>
        <w:t xml:space="preserve">Water Resources Research</w:t>
      </w:r>
      <w:r>
        <w:t xml:space="preserve"> </w:t>
      </w:r>
      <w:r>
        <w:t xml:space="preserve">19 (2): 305–19.</w:t>
      </w:r>
      <w:r>
        <w:t xml:space="preserve"> </w:t>
      </w:r>
      <w:hyperlink r:id="rId102">
        <w:r>
          <w:rPr>
            <w:rStyle w:val="Hyperlink"/>
          </w:rPr>
          <w:t xml:space="preserve">https://doi.org/10.1029/WR019i002p00305</w:t>
        </w:r>
      </w:hyperlink>
      <w:r>
        <w:t xml:space="preserve">.</w:t>
      </w:r>
    </w:p>
    <w:bookmarkEnd w:id="103"/>
    <w:bookmarkStart w:id="105" w:name="ref-Graham2012"/>
    <w:p>
      <w:pPr>
        <w:pStyle w:val="Bibliography"/>
      </w:pPr>
      <w:r>
        <w:t xml:space="preserve">Graham, Rhea. 2012.</w:t>
      </w:r>
      <w:r>
        <w:t xml:space="preserve"> </w:t>
      </w:r>
      <w:r>
        <w:t xml:space="preserve">“</w:t>
      </w:r>
      <w:r>
        <w:t xml:space="preserve">Klamath River Basin Restoration Nonuse Value Survey Klamath River Basin Restoration Nonuse Value Survey Final Report Prepared by</w:t>
      </w:r>
      <w:r>
        <w:t xml:space="preserve">.”</w:t>
      </w:r>
      <w:r>
        <w:t xml:space="preserve"> </w:t>
      </w:r>
      <w:hyperlink r:id="rId104">
        <w:r>
          <w:rPr>
            <w:rStyle w:val="Hyperlink"/>
          </w:rPr>
          <w:t xml:space="preserve">https://kbifrm.psmfc.org/wp-content/uploads/2016/12/Graham{\_}2012{\_}0010{\_}Klamath-River-Basin-Restoration-Nonuse-Value-Survey-Final-Report.pdf</w:t>
        </w:r>
      </w:hyperlink>
      <w:r>
        <w:t xml:space="preserve">.</w:t>
      </w:r>
    </w:p>
    <w:bookmarkEnd w:id="105"/>
    <w:bookmarkStart w:id="107" w:name="ref-Harter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Davis. CA: Groundwater Cooperative Extension Program University of California, Davis.</w:t>
      </w:r>
      <w:r>
        <w:t xml:space="preserve"> </w:t>
      </w:r>
      <w:hyperlink r:id="rId106">
        <w:r>
          <w:rPr>
            <w:rStyle w:val="Hyperlink"/>
          </w:rPr>
          <w:t xml:space="preserve">http://groundwater.ucdavis.edu/files/136426.pdf</w:t>
        </w:r>
      </w:hyperlink>
      <w:r>
        <w:t xml:space="preserve">.</w:t>
      </w:r>
    </w:p>
    <w:bookmarkEnd w:id="107"/>
    <w:bookmarkStart w:id="109" w:name="ref-Howitt1995"/>
    <w:p>
      <w:pPr>
        <w:pStyle w:val="Bibliography"/>
      </w:pPr>
      <w:r>
        <w:t xml:space="preserve">Howitt, Richard E. 1995.</w:t>
      </w:r>
      <w:r>
        <w:t xml:space="preserve"> </w:t>
      </w:r>
      <w:r>
        <w:t xml:space="preserve">“</w:t>
      </w:r>
      <w:r>
        <w:t xml:space="preserve">Positive Mathematical Programming</w:t>
      </w:r>
      <w:r>
        <w:t xml:space="preserve">.”</w:t>
      </w:r>
      <w:r>
        <w:t xml:space="preserve"> </w:t>
      </w:r>
      <w:r>
        <w:rPr>
          <w:iCs/>
          <w:i/>
        </w:rPr>
        <w:t xml:space="preserve">American Journal of Agricultural Economics</w:t>
      </w:r>
      <w:r>
        <w:t xml:space="preserve"> </w:t>
      </w:r>
      <w:r>
        <w:t xml:space="preserve">77 (2): 329–42.</w:t>
      </w:r>
      <w:r>
        <w:t xml:space="preserve"> </w:t>
      </w:r>
      <w:hyperlink r:id="rId108">
        <w:r>
          <w:rPr>
            <w:rStyle w:val="Hyperlink"/>
          </w:rPr>
          <w:t xml:space="preserve">https://doi.org/10.2307/1243543</w:t>
        </w:r>
      </w:hyperlink>
      <w:r>
        <w:t xml:space="preserve">.</w:t>
      </w:r>
    </w:p>
    <w:bookmarkEnd w:id="109"/>
    <w:bookmarkStart w:id="111" w:name="ref-Kapelan2005"/>
    <w:p>
      <w:pPr>
        <w:pStyle w:val="Bibliography"/>
      </w:pPr>
      <w:r>
        <w:t xml:space="preserve">Kapelan, Zoran S., Dragan A. Savic, and Godfrey A. Walters. 2005.</w:t>
      </w:r>
      <w:r>
        <w:t xml:space="preserve"> </w:t>
      </w:r>
      <w:r>
        <w:t xml:space="preserve">“</w:t>
      </w:r>
      <w:r>
        <w:t xml:space="preserve">Multiobjective design of water distribution systems under uncertainty</w:t>
      </w:r>
      <w:r>
        <w:t xml:space="preserve">.”</w:t>
      </w:r>
      <w:r>
        <w:t xml:space="preserve"> </w:t>
      </w:r>
      <w:r>
        <w:rPr>
          <w:iCs/>
          <w:i/>
        </w:rPr>
        <w:t xml:space="preserve">Water Resources Research</w:t>
      </w:r>
      <w:r>
        <w:t xml:space="preserve"> </w:t>
      </w:r>
      <w:r>
        <w:t xml:space="preserve">41 (11): 1–15.</w:t>
      </w:r>
      <w:r>
        <w:t xml:space="preserve"> </w:t>
      </w:r>
      <w:hyperlink r:id="rId110">
        <w:r>
          <w:rPr>
            <w:rStyle w:val="Hyperlink"/>
          </w:rPr>
          <w:t xml:space="preserve">https://doi.org/10.1029/2004WR003787</w:t>
        </w:r>
      </w:hyperlink>
      <w:r>
        <w:t xml:space="preserve">.</w:t>
      </w:r>
    </w:p>
    <w:bookmarkEnd w:id="111"/>
    <w:bookmarkStart w:id="113" w:name="ref-Maass1962"/>
    <w:p>
      <w:pPr>
        <w:pStyle w:val="Bibliography"/>
      </w:pPr>
      <w:r>
        <w:t xml:space="preserve">Maass, Arthur, Maynard M. Hufschmidt, Robert Dorfman, Harold A. Thomas, Stephen A. Marglin, and Gordon Maskew Fair. 1962.</w:t>
      </w:r>
      <w:r>
        <w:t xml:space="preserve"> </w:t>
      </w:r>
      <w:r>
        <w:rPr>
          <w:iCs/>
          <w:i/>
        </w:rPr>
        <w:t xml:space="preserve">Design of Water-Resource Systems: New Techniques for Relating Economic Objectives, Engineering Analysis, and Governmental Planning</w:t>
      </w:r>
      <w:r>
        <w:t xml:space="preserve">. Cambridge, Mass.: Harvard University Press.</w:t>
      </w:r>
      <w:r>
        <w:t xml:space="preserve"> </w:t>
      </w:r>
      <w:hyperlink r:id="rId112">
        <w:r>
          <w:rPr>
            <w:rStyle w:val="Hyperlink"/>
          </w:rPr>
          <w:t xml:space="preserve">https://doi.org/10.4159/harvard.9780674421042</w:t>
        </w:r>
      </w:hyperlink>
      <w:r>
        <w:t xml:space="preserve">.</w:t>
      </w:r>
    </w:p>
    <w:bookmarkEnd w:id="113"/>
    <w:bookmarkStart w:id="115" w:name="ref-Mack1958"/>
    <w:p>
      <w:pPr>
        <w:pStyle w:val="Bibliography"/>
      </w:pPr>
      <w:r>
        <w:t xml:space="preserve">Mack, Seymour. 1958.</w:t>
      </w:r>
      <w:r>
        <w:t xml:space="preserve"> </w:t>
      </w:r>
      <w:r>
        <w:t xml:space="preserve">“</w:t>
      </w:r>
      <w:r>
        <w:t xml:space="preserve">Geology and Ground-Water Features of Scott Valley Siskiyou County, California.</w:t>
      </w:r>
      <w:r>
        <w:t xml:space="preserve">”</w:t>
      </w:r>
      <w:r>
        <w:t xml:space="preserve"> Geological Survey Water-Supply Paper 1462.</w:t>
      </w:r>
      <w:r>
        <w:t xml:space="preserve"> </w:t>
      </w:r>
      <w:hyperlink r:id="rId114">
        <w:r>
          <w:rPr>
            <w:rStyle w:val="Hyperlink"/>
          </w:rPr>
          <w:t xml:space="preserve">https://pubs.usgs.gov/wsp/1462/report.pdf</w:t>
        </w:r>
      </w:hyperlink>
      <w:r>
        <w:t xml:space="preserve">.</w:t>
      </w:r>
    </w:p>
    <w:bookmarkEnd w:id="115"/>
    <w:bookmarkStart w:id="117" w:name="ref-Mahoney1998"/>
    <w:p>
      <w:pPr>
        <w:pStyle w:val="Bibliography"/>
      </w:pPr>
      <w:r>
        <w:t xml:space="preserve">Mahoney, John M., and Stewart B. Rood. 1998.</w:t>
      </w:r>
      <w:r>
        <w:t xml:space="preserve"> </w:t>
      </w:r>
      <w:r>
        <w:t xml:space="preserve">“</w:t>
      </w:r>
      <w:r>
        <w:t xml:space="preserve">Streamflow requirements for cottonwood seedling recruitment-An integrative model</w:t>
      </w:r>
      <w:r>
        <w:t xml:space="preserve">.”</w:t>
      </w:r>
      <w:r>
        <w:t xml:space="preserve"> </w:t>
      </w:r>
      <w:r>
        <w:rPr>
          <w:iCs/>
          <w:i/>
        </w:rPr>
        <w:t xml:space="preserve">Wetlands</w:t>
      </w:r>
      <w:r>
        <w:t xml:space="preserve"> </w:t>
      </w:r>
      <w:r>
        <w:t xml:space="preserve">18 (4): 634–45.</w:t>
      </w:r>
      <w:r>
        <w:t xml:space="preserve"> </w:t>
      </w:r>
      <w:hyperlink r:id="rId116">
        <w:r>
          <w:rPr>
            <w:rStyle w:val="Hyperlink"/>
          </w:rPr>
          <w:t xml:space="preserve">https://doi.org/10.1007/BF03161678</w:t>
        </w:r>
      </w:hyperlink>
      <w:r>
        <w:t xml:space="preserve">.</w:t>
      </w:r>
    </w:p>
    <w:bookmarkEnd w:id="117"/>
    <w:bookmarkStart w:id="119" w:name="ref-Monarchi1973"/>
    <w:p>
      <w:pPr>
        <w:pStyle w:val="Bibliography"/>
      </w:pPr>
      <w:r>
        <w:t xml:space="preserve">Monarchi, David E., Chester C. Kisiel, and Lucien Duckstein. 1973.</w:t>
      </w:r>
      <w:r>
        <w:t xml:space="preserve"> </w:t>
      </w:r>
      <w:r>
        <w:t xml:space="preserve">“</w:t>
      </w:r>
      <w:r>
        <w:t xml:space="preserve">Interactive multiobjective programing in water resources: A case study</w:t>
      </w:r>
      <w:r>
        <w:t xml:space="preserve">.”</w:t>
      </w:r>
      <w:r>
        <w:t xml:space="preserve"> </w:t>
      </w:r>
      <w:r>
        <w:rPr>
          <w:iCs/>
          <w:i/>
        </w:rPr>
        <w:t xml:space="preserve">Water Resources Research</w:t>
      </w:r>
      <w:r>
        <w:t xml:space="preserve"> </w:t>
      </w:r>
      <w:r>
        <w:t xml:space="preserve">9 (4): 837–50.</w:t>
      </w:r>
      <w:r>
        <w:t xml:space="preserve"> </w:t>
      </w:r>
      <w:hyperlink r:id="rId118">
        <w:r>
          <w:rPr>
            <w:rStyle w:val="Hyperlink"/>
          </w:rPr>
          <w:t xml:space="preserve">https://doi.org/10.1029/WR009i004p00837</w:t>
        </w:r>
      </w:hyperlink>
      <w:r>
        <w:t xml:space="preserve">.</w:t>
      </w:r>
    </w:p>
    <w:bookmarkEnd w:id="119"/>
    <w:bookmarkStart w:id="120" w:name="ref-NCRWQCB2006b"/>
    <w:p>
      <w:pPr>
        <w:pStyle w:val="Bibliography"/>
      </w:pPr>
      <w:r>
        <w:t xml:space="preserve">North Coast Regional Water Quality Control Board (NCRWQCB). 2006.</w:t>
      </w:r>
      <w:r>
        <w:t xml:space="preserve"> </w:t>
      </w:r>
      <w:r>
        <w:t xml:space="preserve">“</w:t>
      </w:r>
      <w:r>
        <w:t xml:space="preserve">Action Plan for the Scott River Sediment and Temperature Total Maximum Daily Loads (Basin Plan Language)</w:t>
      </w:r>
      <w:r>
        <w:t xml:space="preserve">.”</w:t>
      </w:r>
    </w:p>
    <w:bookmarkEnd w:id="120"/>
    <w:bookmarkStart w:id="122" w:name="ref-Ohlberger2018"/>
    <w:p>
      <w:pPr>
        <w:pStyle w:val="Bibliography"/>
      </w:pPr>
      <w:r>
        <w:t xml:space="preserve">Ohlberger, Jan, Thomas W. Buehrens, Samuel J. Brenkman, Patrick Crain, Thomas P. Quinn, and Ray Hilborn. 2018.</w:t>
      </w:r>
      <w:r>
        <w:t xml:space="preserve"> </w:t>
      </w:r>
      <w:r>
        <w:t xml:space="preserve">“</w:t>
      </w:r>
      <w:r>
        <w:t xml:space="preserve">Effects of past and projected river discharge variability on freshwater production in an anadromous fish</w:t>
      </w:r>
      <w:r>
        <w:t xml:space="preserve">.”</w:t>
      </w:r>
      <w:r>
        <w:t xml:space="preserve"> </w:t>
      </w:r>
      <w:r>
        <w:rPr>
          <w:iCs/>
          <w:i/>
        </w:rPr>
        <w:t xml:space="preserve">Freshwater Biology</w:t>
      </w:r>
      <w:r>
        <w:t xml:space="preserve"> </w:t>
      </w:r>
      <w:r>
        <w:t xml:space="preserve">63 (4): 331–40.</w:t>
      </w:r>
      <w:r>
        <w:t xml:space="preserve"> </w:t>
      </w:r>
      <w:hyperlink r:id="rId121">
        <w:r>
          <w:rPr>
            <w:rStyle w:val="Hyperlink"/>
          </w:rPr>
          <w:t xml:space="preserve">https://doi.org/10.1111/fwb.13070</w:t>
        </w:r>
      </w:hyperlink>
      <w:r>
        <w:t xml:space="preserve">.</w:t>
      </w:r>
    </w:p>
    <w:bookmarkEnd w:id="122"/>
    <w:bookmarkStart w:id="123" w:name="ref-Pareto1896"/>
    <w:p>
      <w:pPr>
        <w:pStyle w:val="Bibliography"/>
      </w:pPr>
      <w:r>
        <w:t xml:space="preserve">Pareto, Vilfredo. 1896.</w:t>
      </w:r>
      <w:r>
        <w:t xml:space="preserve"> </w:t>
      </w:r>
      <w:r>
        <w:rPr>
          <w:iCs/>
          <w:i/>
        </w:rPr>
        <w:t xml:space="preserve">Cours D’Economie Politique</w:t>
      </w:r>
      <w:r>
        <w:t xml:space="preserve">. Lausanne.</w:t>
      </w:r>
    </w:p>
    <w:bookmarkEnd w:id="123"/>
    <w:bookmarkStart w:id="124" w:name="ref-Reuss1992"/>
    <w:p>
      <w:pPr>
        <w:pStyle w:val="Bibliography"/>
      </w:pPr>
      <w:r>
        <w:t xml:space="preserve">Reuss, M. 1992.</w:t>
      </w:r>
      <w:r>
        <w:t xml:space="preserve"> </w:t>
      </w:r>
      <w:r>
        <w:t xml:space="preserve">“</w:t>
      </w:r>
      <w:r>
        <w:t xml:space="preserve">Coping with uncertainty: social scientists, engineers, and federal water resources planning</w:t>
      </w:r>
      <w:r>
        <w:t xml:space="preserve">.”</w:t>
      </w:r>
      <w:r>
        <w:t xml:space="preserve"> </w:t>
      </w:r>
      <w:r>
        <w:rPr>
          <w:iCs/>
          <w:i/>
        </w:rPr>
        <w:t xml:space="preserve">Natural Resources Journal</w:t>
      </w:r>
      <w:r>
        <w:t xml:space="preserve"> </w:t>
      </w:r>
      <w:r>
        <w:t xml:space="preserve">32 (1): 101–35.</w:t>
      </w:r>
    </w:p>
    <w:bookmarkEnd w:id="124"/>
    <w:bookmarkStart w:id="126" w:name="ref-Rodell2018"/>
    <w:p>
      <w:pPr>
        <w:pStyle w:val="Bibliography"/>
      </w:pPr>
      <w:r>
        <w:t xml:space="preserve">Rodell, M., J. S. Famiglietti, D. N. Wiese, J. T. Reager, H. K. Beaudoing, F. W. Landerer, and M. H. Lo. 2018.</w:t>
      </w:r>
      <w:r>
        <w:t xml:space="preserve"> </w:t>
      </w:r>
      <w:r>
        <w:t xml:space="preserve">“</w:t>
      </w:r>
      <w:r>
        <w:t xml:space="preserve">Emerging trends in global freshwater availability</w:t>
      </w:r>
      <w:r>
        <w:t xml:space="preserve">.”</w:t>
      </w:r>
      <w:r>
        <w:t xml:space="preserve"> </w:t>
      </w:r>
      <w:r>
        <w:rPr>
          <w:iCs/>
          <w:i/>
        </w:rPr>
        <w:t xml:space="preserve">Nature</w:t>
      </w:r>
      <w:r>
        <w:t xml:space="preserve"> </w:t>
      </w:r>
      <w:r>
        <w:t xml:space="preserve">557 (7707): 651–59.</w:t>
      </w:r>
      <w:r>
        <w:t xml:space="preserve"> </w:t>
      </w:r>
      <w:hyperlink r:id="rId125">
        <w:r>
          <w:rPr>
            <w:rStyle w:val="Hyperlink"/>
          </w:rPr>
          <w:t xml:space="preserve">https://doi.org/10.1038/s41586-018-0123-1</w:t>
        </w:r>
      </w:hyperlink>
      <w:r>
        <w:t xml:space="preserve">.</w:t>
      </w:r>
    </w:p>
    <w:bookmarkEnd w:id="126"/>
    <w:bookmarkStart w:id="128" w:name="ref-Rogers1986a"/>
    <w:p>
      <w:pPr>
        <w:pStyle w:val="Bibliography"/>
      </w:pPr>
      <w:r>
        <w:t xml:space="preserve">Rogers, Peter P., and Myron B. Fiering. 1986.</w:t>
      </w:r>
      <w:r>
        <w:t xml:space="preserve"> </w:t>
      </w:r>
      <w:r>
        <w:t xml:space="preserve">“</w:t>
      </w:r>
      <w:r>
        <w:t xml:space="preserve">Use of systems analysis in water management</w:t>
      </w:r>
      <w:r>
        <w:t xml:space="preserve">.”</w:t>
      </w:r>
      <w:r>
        <w:t xml:space="preserve"> </w:t>
      </w:r>
      <w:r>
        <w:rPr>
          <w:iCs/>
          <w:i/>
        </w:rPr>
        <w:t xml:space="preserve">Water Resources Research</w:t>
      </w:r>
      <w:r>
        <w:t xml:space="preserve"> </w:t>
      </w:r>
      <w:r>
        <w:t xml:space="preserve">22 (9 S): 146S–158S.</w:t>
      </w:r>
      <w:r>
        <w:t xml:space="preserve"> </w:t>
      </w:r>
      <w:hyperlink r:id="rId127">
        <w:r>
          <w:rPr>
            <w:rStyle w:val="Hyperlink"/>
          </w:rPr>
          <w:t xml:space="preserve">https://doi.org/10.1029/WR022i09Sp0146S</w:t>
        </w:r>
      </w:hyperlink>
      <w:r>
        <w:t xml:space="preserve">.</w:t>
      </w:r>
    </w:p>
    <w:bookmarkEnd w:id="128"/>
    <w:bookmarkStart w:id="129" w:name="ref-SVAP1980"/>
    <w:p>
      <w:pPr>
        <w:pStyle w:val="Bibliography"/>
      </w:pPr>
      <w:r>
        <w:t xml:space="preserve">Scott Valley Area Plan Committee. 1980.</w:t>
      </w:r>
      <w:r>
        <w:t xml:space="preserve"> </w:t>
      </w:r>
      <w:r>
        <w:t xml:space="preserve">“</w:t>
      </w:r>
      <w:r>
        <w:t xml:space="preserve">Scott Valley Area Plan (SVAP)</w:t>
      </w:r>
      <w:r>
        <w:t xml:space="preserve">.”</w:t>
      </w:r>
    </w:p>
    <w:bookmarkEnd w:id="129"/>
    <w:bookmarkStart w:id="131" w:name="ref-SiskiyouCounty2021"/>
    <w:p>
      <w:pPr>
        <w:pStyle w:val="Bibliography"/>
      </w:pPr>
      <w:r>
        <w:t xml:space="preserve">Siskiyou County Flood Control and Water Conservation District. 2021.</w:t>
      </w:r>
      <w:r>
        <w:t xml:space="preserve"> </w:t>
      </w:r>
      <w:r>
        <w:t xml:space="preserve">“</w:t>
      </w:r>
      <w:r>
        <w:t xml:space="preserve">Scott Valley Groundwater Sustainability Plan</w:t>
      </w:r>
      <w:r>
        <w:t xml:space="preserve">.”</w:t>
      </w:r>
      <w:r>
        <w:t xml:space="preserve"> </w:t>
      </w:r>
      <w:r>
        <w:t xml:space="preserve">Siskiyou County Flood Control; Water Conservation District.</w:t>
      </w:r>
      <w:r>
        <w:t xml:space="preserve"> </w:t>
      </w:r>
      <w:hyperlink r:id="rId130">
        <w:r>
          <w:rPr>
            <w:rStyle w:val="Hyperlink"/>
          </w:rPr>
          <w:t xml:space="preserve">https://www.co.siskiyou.ca.us/naturalresources/page/scott-valley-gsp-chapters</w:t>
        </w:r>
      </w:hyperlink>
      <w:r>
        <w:t xml:space="preserve">.</w:t>
      </w:r>
    </w:p>
    <w:bookmarkEnd w:id="131"/>
    <w:bookmarkStart w:id="133" w:name="ref-SVGAC2021_June"/>
    <w:p>
      <w:pPr>
        <w:pStyle w:val="Bibliography"/>
      </w:pPr>
      <w:r>
        <w:t xml:space="preserve">Siskiyou County GSA - Scott Valley Groundwater Advisory Committee. 2021.</w:t>
      </w:r>
      <w:r>
        <w:t xml:space="preserve"> </w:t>
      </w:r>
      <w:r>
        <w:t xml:space="preserve">“</w:t>
      </w:r>
      <w:r>
        <w:t xml:space="preserve">Siskiyou County Groundwater Sustainability Agency: Scott Valley Advisory Committee Meeting</w:t>
      </w:r>
      <w:r>
        <w:t xml:space="preserve">.”</w:t>
      </w:r>
      <w:r>
        <w:t xml:space="preserve"> </w:t>
      </w:r>
      <w:r>
        <w:t xml:space="preserve">Fort Jones, CA: Siskiyou County.</w:t>
      </w:r>
      <w:r>
        <w:t xml:space="preserve"> </w:t>
      </w:r>
      <w:hyperlink r:id="rId132">
        <w:r>
          <w:rPr>
            <w:rStyle w:val="Hyperlink"/>
          </w:rPr>
          <w:t xml:space="preserve">https://www.co.siskiyou.ca.us/scottvga/page/scott-valley-groundwater-advisory-committee-meeting-15</w:t>
        </w:r>
      </w:hyperlink>
      <w:r>
        <w:t xml:space="preserve">.</w:t>
      </w:r>
    </w:p>
    <w:bookmarkEnd w:id="133"/>
    <w:bookmarkStart w:id="135" w:name="ref-Sunding1996"/>
    <w:p>
      <w:pPr>
        <w:pStyle w:val="Bibliography"/>
      </w:pPr>
      <w:r>
        <w:t xml:space="preserve">Sunding, David L. 1996.</w:t>
      </w:r>
      <w:r>
        <w:t xml:space="preserve"> </w:t>
      </w:r>
      <w:r>
        <w:t xml:space="preserve">“</w:t>
      </w:r>
      <w:r>
        <w:t xml:space="preserve">Measuring the Marginal Cost of Nonuniform Environmental Regulations</w:t>
      </w:r>
      <w:r>
        <w:t xml:space="preserve">.”</w:t>
      </w:r>
      <w:r>
        <w:t xml:space="preserve"> </w:t>
      </w:r>
      <w:r>
        <w:rPr>
          <w:iCs/>
          <w:i/>
        </w:rPr>
        <w:t xml:space="preserve">American Journal of Agricultural Economics</w:t>
      </w:r>
      <w:r>
        <w:t xml:space="preserve"> </w:t>
      </w:r>
      <w:r>
        <w:t xml:space="preserve">78 (4): 1098–1107.</w:t>
      </w:r>
      <w:r>
        <w:t xml:space="preserve"> </w:t>
      </w:r>
      <w:hyperlink r:id="rId134">
        <w:r>
          <w:rPr>
            <w:rStyle w:val="Hyperlink"/>
          </w:rPr>
          <w:t xml:space="preserve">https://doi.org/10.2307/1243866</w:t>
        </w:r>
      </w:hyperlink>
      <w:r>
        <w:t xml:space="preserve">.</w:t>
      </w:r>
    </w:p>
    <w:bookmarkEnd w:id="135"/>
    <w:bookmarkStart w:id="137" w:name="ref-SuperiorCourtofSiskiyouCounty1980"/>
    <w:p>
      <w:pPr>
        <w:pStyle w:val="Bibliography"/>
      </w:pPr>
      <w:r>
        <w:t xml:space="preserve">Superior Court of Siskiyou County. 1980.</w:t>
      </w:r>
      <w:r>
        <w:t xml:space="preserve"> </w:t>
      </w:r>
      <w:r>
        <w:t xml:space="preserve">“</w:t>
      </w:r>
      <w:r>
        <w:t xml:space="preserve">Scott River Adjudication, Decree No. 30662. Scott River stream system, Siskiyou County. California State Water Resources Conrol Board.</w:t>
      </w:r>
      <w:r>
        <w:t xml:space="preserve">”</w:t>
      </w:r>
      <w:r>
        <w:t xml:space="preserve"> Sacramento.</w:t>
      </w:r>
      <w:r>
        <w:t xml:space="preserve"> </w:t>
      </w:r>
      <w:hyperlink r:id="rId136">
        <w:r>
          <w:rPr>
            <w:rStyle w:val="Hyperlink"/>
          </w:rPr>
          <w:t xml:space="preserve">https://www.waterboards.ca.gov/waterrights/board{\_}decisions/adopted{\_}orders/judgments/docs/scottriver{\_}jd.pdf</w:t>
        </w:r>
      </w:hyperlink>
      <w:r>
        <w:t xml:space="preserve">.</w:t>
      </w:r>
    </w:p>
    <w:bookmarkEnd w:id="137"/>
    <w:bookmarkStart w:id="139" w:name="ref-Tolley2019"/>
    <w:p>
      <w:pPr>
        <w:pStyle w:val="Bibliography"/>
      </w:pPr>
      <w:r>
        <w:t xml:space="preserve">Tolley, Douglas G., Laura Foglia, and Thomas Harter. 2019.</w:t>
      </w:r>
      <w:r>
        <w:t xml:space="preserve"> </w:t>
      </w:r>
      <w:r>
        <w:t xml:space="preserve">“</w:t>
      </w:r>
      <w:r>
        <w:t xml:space="preserve">Sensitivity Analysis and Calibration of an Integrated Hydrologic Model in an Irrigated Agricultural Basin with a Groundwater-Dependent Ecosystem</w:t>
      </w:r>
      <w:r>
        <w:t xml:space="preserve">.”</w:t>
      </w:r>
      <w:r>
        <w:t xml:space="preserve"> </w:t>
      </w:r>
      <w:r>
        <w:rPr>
          <w:iCs/>
          <w:i/>
        </w:rPr>
        <w:t xml:space="preserve">Water Resources Research</w:t>
      </w:r>
      <w:r>
        <w:t xml:space="preserve"> </w:t>
      </w:r>
      <w:r>
        <w:t xml:space="preserve">55 (8).</w:t>
      </w:r>
      <w:r>
        <w:t xml:space="preserve"> </w:t>
      </w:r>
      <w:hyperlink r:id="rId138">
        <w:r>
          <w:rPr>
            <w:rStyle w:val="Hyperlink"/>
          </w:rPr>
          <w:t xml:space="preserve">https://doi.org/10.1029/2018WR024209</w:t>
        </w:r>
      </w:hyperlink>
      <w:r>
        <w:t xml:space="preserve">.</w:t>
      </w:r>
    </w:p>
    <w:bookmarkEnd w:id="139"/>
    <w:bookmarkStart w:id="141" w:name="ref-USCensusBureau2018"/>
    <w:p>
      <w:pPr>
        <w:pStyle w:val="Bibliography"/>
      </w:pPr>
      <w:r>
        <w:t xml:space="preserve">U.S. Census Bureau. 2018.</w:t>
      </w:r>
      <w:r>
        <w:t xml:space="preserve"> </w:t>
      </w:r>
      <w:r>
        <w:t xml:space="preserve">“</w:t>
      </w:r>
      <w:r>
        <w:t xml:space="preserve">2013-2017 American Community Survey 5-Year Estimates.</w:t>
      </w:r>
      <w:r>
        <w:t xml:space="preserve">”</w:t>
      </w:r>
      <w:r>
        <w:t xml:space="preserve"> </w:t>
      </w:r>
      <w:hyperlink r:id="rId140">
        <w:r>
          <w:rPr>
            <w:rStyle w:val="Hyperlink"/>
          </w:rPr>
          <w:t xml:space="preserve">http://www.dof.ca.gov/Reports/Demographic{\_}Reports/American{\_}Community{\_}Survey/{\#}ACS2017x5</w:t>
        </w:r>
      </w:hyperlink>
      <w:r>
        <w:t xml:space="preserve">.</w:t>
      </w:r>
    </w:p>
    <w:bookmarkEnd w:id="141"/>
    <w:bookmarkStart w:id="143" w:name="ref-USCensus2021"/>
    <w:p>
      <w:pPr>
        <w:pStyle w:val="Bibliography"/>
      </w:pPr>
      <w:r>
        <w:t xml:space="preserve">———. 2021.</w:t>
      </w:r>
      <w:r>
        <w:t xml:space="preserve"> </w:t>
      </w:r>
      <w:r>
        <w:t xml:space="preserve">“</w:t>
      </w:r>
      <w:r>
        <w:t xml:space="preserve">2020 Decennial Census</w:t>
      </w:r>
      <w:r>
        <w:t xml:space="preserve">.”</w:t>
      </w:r>
      <w:r>
        <w:t xml:space="preserve"> </w:t>
      </w:r>
      <w:hyperlink r:id="rId142">
        <w:r>
          <w:rPr>
            <w:rStyle w:val="Hyperlink"/>
          </w:rPr>
          <w:t xml:space="preserve">https://data.census.gov/cedsci</w:t>
        </w:r>
      </w:hyperlink>
      <w:r>
        <w:t xml:space="preserve">.</w:t>
      </w:r>
    </w:p>
    <w:bookmarkEnd w:id="143"/>
    <w:bookmarkStart w:id="144" w:name="ref-Williams2020"/>
    <w:p>
      <w:pPr>
        <w:pStyle w:val="Bibliography"/>
      </w:pPr>
      <w:r>
        <w:t xml:space="preserve">Williams, AP, ER Cook, JE Smerdon, BI Cook, JT Abatzoglou, Kasey Bolles, SH Baek, AM Badger, and Ben Livne. 2020.</w:t>
      </w:r>
      <w:r>
        <w:t xml:space="preserve"> </w:t>
      </w:r>
      <w:r>
        <w:t xml:space="preserve">“</w:t>
      </w:r>
      <w:r>
        <w:t xml:space="preserve">Large contribution from anthropogenic warming to an emerging North American megadrought</w:t>
      </w:r>
      <w:r>
        <w:t xml:space="preserve">.”</w:t>
      </w:r>
      <w:r>
        <w:t xml:space="preserve"> </w:t>
      </w:r>
      <w:r>
        <w:rPr>
          <w:iCs/>
          <w:i/>
        </w:rPr>
        <w:t xml:space="preserve">Science</w:t>
      </w:r>
      <w:r>
        <w:t xml:space="preserve"> </w:t>
      </w:r>
      <w:r>
        <w:t xml:space="preserve">In press (April): 314–18.</w:t>
      </w:r>
    </w:p>
    <w:bookmarkEnd w:id="144"/>
    <w:bookmarkStart w:id="146" w:name="ref-Yeh1982"/>
    <w:p>
      <w:pPr>
        <w:pStyle w:val="Bibliography"/>
      </w:pPr>
      <w:r>
        <w:t xml:space="preserve">Yeh, William W‐G, and Leonard Becker. 1982.</w:t>
      </w:r>
      <w:r>
        <w:t xml:space="preserve"> </w:t>
      </w:r>
      <w:r>
        <w:t xml:space="preserve">“</w:t>
      </w:r>
      <w:r>
        <w:t xml:space="preserve">Multiobjective analysis of multireservoir operations</w:t>
      </w:r>
      <w:r>
        <w:t xml:space="preserve">.”</w:t>
      </w:r>
      <w:r>
        <w:t xml:space="preserve"> </w:t>
      </w:r>
      <w:r>
        <w:rPr>
          <w:iCs/>
          <w:i/>
        </w:rPr>
        <w:t xml:space="preserve">Water Resources Research</w:t>
      </w:r>
      <w:r>
        <w:t xml:space="preserve"> </w:t>
      </w:r>
      <w:r>
        <w:t xml:space="preserve">18 (5): 1326–36.</w:t>
      </w:r>
      <w:r>
        <w:t xml:space="preserve"> </w:t>
      </w:r>
      <w:hyperlink r:id="rId145">
        <w:r>
          <w:rPr>
            <w:rStyle w:val="Hyperlink"/>
          </w:rPr>
          <w:t xml:space="preserve">https://doi.org/10.1029/WR018i005p01326</w:t>
        </w:r>
      </w:hyperlink>
      <w:r>
        <w:t xml:space="preserve">.</w:t>
      </w:r>
    </w:p>
    <w:bookmarkEnd w:id="146"/>
    <w:bookmarkStart w:id="147" w:name="ref-YSGA2022"/>
    <w:p>
      <w:pPr>
        <w:pStyle w:val="Bibliography"/>
      </w:pPr>
      <w:r>
        <w:t xml:space="preserve">Yolo Subbasin Groundwater Agency. 2022.</w:t>
      </w:r>
      <w:r>
        <w:t xml:space="preserve"> </w:t>
      </w:r>
      <w:r>
        <w:t xml:space="preserve">“</w:t>
      </w:r>
      <w:r>
        <w:t xml:space="preserve">Yolo Subbasin Groundwater Agency 2022 Groundwater Sustainability Plan</w:t>
      </w:r>
      <w:r>
        <w:t xml:space="preserve">.”</w:t>
      </w:r>
      <w:r>
        <w:t xml:space="preserve"> </w:t>
      </w:r>
      <w:r>
        <w:t xml:space="preserve">Woodland, CA.</w:t>
      </w:r>
    </w:p>
    <w:bookmarkEnd w:id="147"/>
    <w:bookmarkEnd w:id="148"/>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hyperlink" Id="rId80" Target="file:///Users/kelseymcneill/Downloads/Scott River{\_}FINAL 02-10-17.pdf" TargetMode="External" /><Relationship Type="http://schemas.openxmlformats.org/officeDocument/2006/relationships/hyperlink" Id="rId106" Target="http://groundwater.ucdavis.edu/files/136426.pdf" TargetMode="External" /><Relationship Type="http://schemas.openxmlformats.org/officeDocument/2006/relationships/hyperlink" Id="rId98" Target="http://groundwater.ucdavis.edu/files/165395.pdf" TargetMode="External" /><Relationship Type="http://schemas.openxmlformats.org/officeDocument/2006/relationships/hyperlink" Id="rId140" Target="http://www.dof.ca.gov/Reports/Demographic{\_}Reports/American{\_}Community{\_}Survey/{\#}ACS2017x5" TargetMode="External" /><Relationship Type="http://schemas.openxmlformats.org/officeDocument/2006/relationships/hyperlink" Id="rId142" Target="https://data.census.gov/cedsci" TargetMode="External" /><Relationship Type="http://schemas.openxmlformats.org/officeDocument/2006/relationships/hyperlink" Id="rId96" Target="https://data.cnra.ca.gov/dataset/13ebd2d3-4e62-4fee-9342-d7c3ef3e0079/resource/ffafd27b-5e7e-4db3-b846-e7b3cb5c614c/download/sgma{\_}bp{\_}process{\_}document.pdf" TargetMode="External" /><Relationship Type="http://schemas.openxmlformats.org/officeDocument/2006/relationships/hyperlink" Id="rId82" Target="https://data.cnra.ca.gov/dataset/crop-mapping-2016" TargetMode="External" /><Relationship Type="http://schemas.openxmlformats.org/officeDocument/2006/relationships/hyperlink" Id="rId74" Target="https://doi.org/10.1002/2015WR017114.Received" TargetMode="External" /><Relationship Type="http://schemas.openxmlformats.org/officeDocument/2006/relationships/hyperlink" Id="rId116" Target="https://doi.org/10.1007/BF03161678" TargetMode="External" /><Relationship Type="http://schemas.openxmlformats.org/officeDocument/2006/relationships/hyperlink" Id="rId110" Target="https://doi.org/10.1029/2004WR003787" TargetMode="External" /><Relationship Type="http://schemas.openxmlformats.org/officeDocument/2006/relationships/hyperlink" Id="rId94" Target="https://doi.org/10.1029/2018WR023901" TargetMode="External" /><Relationship Type="http://schemas.openxmlformats.org/officeDocument/2006/relationships/hyperlink" Id="rId138" Target="https://doi.org/10.1029/2018WR024209" TargetMode="External" /><Relationship Type="http://schemas.openxmlformats.org/officeDocument/2006/relationships/hyperlink" Id="rId89"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91" Target="https://doi.org/10.1029/WR011i002p00208" TargetMode="External" /><Relationship Type="http://schemas.openxmlformats.org/officeDocument/2006/relationships/hyperlink" Id="rId145" Target="https://doi.org/10.1029/WR018i005p01326" TargetMode="External" /><Relationship Type="http://schemas.openxmlformats.org/officeDocument/2006/relationships/hyperlink" Id="rId102" Target="https://doi.org/10.1029/WR019i002p00305" TargetMode="External" /><Relationship Type="http://schemas.openxmlformats.org/officeDocument/2006/relationships/hyperlink" Id="rId127" Target="https://doi.org/10.1029/WR022i09Sp0146S" TargetMode="External" /><Relationship Type="http://schemas.openxmlformats.org/officeDocument/2006/relationships/hyperlink" Id="rId125" Target="https://doi.org/10.1038/s41586-018-0123-1" TargetMode="External" /><Relationship Type="http://schemas.openxmlformats.org/officeDocument/2006/relationships/hyperlink" Id="rId121" Target="https://doi.org/10.1111/fwb.13070" TargetMode="External" /><Relationship Type="http://schemas.openxmlformats.org/officeDocument/2006/relationships/hyperlink" Id="rId76" Target="https://doi.org/10.1577/1548-8675(1994)014&lt;0237:hdacso&gt;2.3.co;2" TargetMode="External" /><Relationship Type="http://schemas.openxmlformats.org/officeDocument/2006/relationships/hyperlink" Id="rId85" Target="https://doi.org/10.2135/cropsci1983.0011183x002300040016x" TargetMode="External" /><Relationship Type="http://schemas.openxmlformats.org/officeDocument/2006/relationships/hyperlink" Id="rId108" Target="https://doi.org/10.2307/1243543" TargetMode="External" /><Relationship Type="http://schemas.openxmlformats.org/officeDocument/2006/relationships/hyperlink" Id="rId134" Target="https://doi.org/10.2307/1243866" TargetMode="External" /><Relationship Type="http://schemas.openxmlformats.org/officeDocument/2006/relationships/hyperlink" Id="rId112" Target="https://doi.org/10.4159/harvard.9780674421042" TargetMode="External" /><Relationship Type="http://schemas.openxmlformats.org/officeDocument/2006/relationships/hyperlink" Id="rId100" Target="https://fcgma.org/groundwater-sustainability-plan" TargetMode="External" /><Relationship Type="http://schemas.openxmlformats.org/officeDocument/2006/relationships/hyperlink" Id="rId104" Target="https://kbifrm.psmfc.org/wp-content/uploads/2016/12/Graham{\_}2012{\_}0010{\_}Klamath-River-Basin-Restoration-Nonuse-Value-Survey-Final-Report.pdf" TargetMode="External" /><Relationship Type="http://schemas.openxmlformats.org/officeDocument/2006/relationships/hyperlink" Id="rId114" Target="https://pubs.usgs.gov/wsp/1462/report.pdf" TargetMode="External" /><Relationship Type="http://schemas.openxmlformats.org/officeDocument/2006/relationships/hyperlink" Id="rId130" Target="https://www.co.siskiyou.ca.us/naturalresources/page/scott-valley-gsp-chapters" TargetMode="External" /><Relationship Type="http://schemas.openxmlformats.org/officeDocument/2006/relationships/hyperlink" Id="rId132" Target="https://www.co.siskiyou.ca.us/scottvga/page/scott-valley-groundwater-advisory-committee-meeting-15" TargetMode="External" /><Relationship Type="http://schemas.openxmlformats.org/officeDocument/2006/relationships/hyperlink" Id="rId78" Target="https://www.fs.usda.gov/Internet/FSE{\_}DOCUMENTS/stelprd3850544.pdf" TargetMode="External" /><Relationship Type="http://schemas.openxmlformats.org/officeDocument/2006/relationships/hyperlink" Id="rId87" Target="https://www.waterboards.ca.gov/drought/scott{\_}shasta{\_}rivers/docs/swb{\_}2021{\_}shasta{\_}scott{\_}drought{\_}emergency{\_}final.pdf" TargetMode="External" /><Relationship Type="http://schemas.openxmlformats.org/officeDocument/2006/relationships/hyperlink" Id="rId136" Target="https://www.waterboards.ca.gov/waterrights/board{\_}decisions/adopted{\_}orders/judgments/docs/scottriver{\_}jd.pdf" TargetMode="External" /></Relationships>
</file>

<file path=word/_rels/footnotes.xml.rels><?xml version="1.0" encoding="UTF-8"?><Relationships xmlns="http://schemas.openxmlformats.org/package/2006/relationships"><Relationship Type="http://schemas.openxmlformats.org/officeDocument/2006/relationships/hyperlink" Id="rId80" Target="file:///Users/kelseymcneill/Downloads/Scott River{\_}FINAL 02-10-17.pdf" TargetMode="External" /><Relationship Type="http://schemas.openxmlformats.org/officeDocument/2006/relationships/hyperlink" Id="rId106" Target="http://groundwater.ucdavis.edu/files/136426.pdf" TargetMode="External" /><Relationship Type="http://schemas.openxmlformats.org/officeDocument/2006/relationships/hyperlink" Id="rId98" Target="http://groundwater.ucdavis.edu/files/165395.pdf" TargetMode="External" /><Relationship Type="http://schemas.openxmlformats.org/officeDocument/2006/relationships/hyperlink" Id="rId140" Target="http://www.dof.ca.gov/Reports/Demographic{\_}Reports/American{\_}Community{\_}Survey/{\#}ACS2017x5" TargetMode="External" /><Relationship Type="http://schemas.openxmlformats.org/officeDocument/2006/relationships/hyperlink" Id="rId142" Target="https://data.census.gov/cedsci" TargetMode="External" /><Relationship Type="http://schemas.openxmlformats.org/officeDocument/2006/relationships/hyperlink" Id="rId96" Target="https://data.cnra.ca.gov/dataset/13ebd2d3-4e62-4fee-9342-d7c3ef3e0079/resource/ffafd27b-5e7e-4db3-b846-e7b3cb5c614c/download/sgma{\_}bp{\_}process{\_}document.pdf" TargetMode="External" /><Relationship Type="http://schemas.openxmlformats.org/officeDocument/2006/relationships/hyperlink" Id="rId82" Target="https://data.cnra.ca.gov/dataset/crop-mapping-2016" TargetMode="External" /><Relationship Type="http://schemas.openxmlformats.org/officeDocument/2006/relationships/hyperlink" Id="rId74" Target="https://doi.org/10.1002/2015WR017114.Received" TargetMode="External" /><Relationship Type="http://schemas.openxmlformats.org/officeDocument/2006/relationships/hyperlink" Id="rId116" Target="https://doi.org/10.1007/BF03161678" TargetMode="External" /><Relationship Type="http://schemas.openxmlformats.org/officeDocument/2006/relationships/hyperlink" Id="rId110" Target="https://doi.org/10.1029/2004WR003787" TargetMode="External" /><Relationship Type="http://schemas.openxmlformats.org/officeDocument/2006/relationships/hyperlink" Id="rId94" Target="https://doi.org/10.1029/2018WR023901" TargetMode="External" /><Relationship Type="http://schemas.openxmlformats.org/officeDocument/2006/relationships/hyperlink" Id="rId138" Target="https://doi.org/10.1029/2018WR024209" TargetMode="External" /><Relationship Type="http://schemas.openxmlformats.org/officeDocument/2006/relationships/hyperlink" Id="rId89"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91" Target="https://doi.org/10.1029/WR011i002p00208" TargetMode="External" /><Relationship Type="http://schemas.openxmlformats.org/officeDocument/2006/relationships/hyperlink" Id="rId145" Target="https://doi.org/10.1029/WR018i005p01326" TargetMode="External" /><Relationship Type="http://schemas.openxmlformats.org/officeDocument/2006/relationships/hyperlink" Id="rId102" Target="https://doi.org/10.1029/WR019i002p00305" TargetMode="External" /><Relationship Type="http://schemas.openxmlformats.org/officeDocument/2006/relationships/hyperlink" Id="rId127" Target="https://doi.org/10.1029/WR022i09Sp0146S" TargetMode="External" /><Relationship Type="http://schemas.openxmlformats.org/officeDocument/2006/relationships/hyperlink" Id="rId125" Target="https://doi.org/10.1038/s41586-018-0123-1" TargetMode="External" /><Relationship Type="http://schemas.openxmlformats.org/officeDocument/2006/relationships/hyperlink" Id="rId121" Target="https://doi.org/10.1111/fwb.13070" TargetMode="External" /><Relationship Type="http://schemas.openxmlformats.org/officeDocument/2006/relationships/hyperlink" Id="rId76" Target="https://doi.org/10.1577/1548-8675(1994)014&lt;0237:hdacso&gt;2.3.co;2" TargetMode="External" /><Relationship Type="http://schemas.openxmlformats.org/officeDocument/2006/relationships/hyperlink" Id="rId85" Target="https://doi.org/10.2135/cropsci1983.0011183x002300040016x" TargetMode="External" /><Relationship Type="http://schemas.openxmlformats.org/officeDocument/2006/relationships/hyperlink" Id="rId108" Target="https://doi.org/10.2307/1243543" TargetMode="External" /><Relationship Type="http://schemas.openxmlformats.org/officeDocument/2006/relationships/hyperlink" Id="rId134" Target="https://doi.org/10.2307/1243866" TargetMode="External" /><Relationship Type="http://schemas.openxmlformats.org/officeDocument/2006/relationships/hyperlink" Id="rId112" Target="https://doi.org/10.4159/harvard.9780674421042" TargetMode="External" /><Relationship Type="http://schemas.openxmlformats.org/officeDocument/2006/relationships/hyperlink" Id="rId100" Target="https://fcgma.org/groundwater-sustainability-plan" TargetMode="External" /><Relationship Type="http://schemas.openxmlformats.org/officeDocument/2006/relationships/hyperlink" Id="rId104" Target="https://kbifrm.psmfc.org/wp-content/uploads/2016/12/Graham{\_}2012{\_}0010{\_}Klamath-River-Basin-Restoration-Nonuse-Value-Survey-Final-Report.pdf" TargetMode="External" /><Relationship Type="http://schemas.openxmlformats.org/officeDocument/2006/relationships/hyperlink" Id="rId114" Target="https://pubs.usgs.gov/wsp/1462/report.pdf" TargetMode="External" /><Relationship Type="http://schemas.openxmlformats.org/officeDocument/2006/relationships/hyperlink" Id="rId130" Target="https://www.co.siskiyou.ca.us/naturalresources/page/scott-valley-gsp-chapters" TargetMode="External" /><Relationship Type="http://schemas.openxmlformats.org/officeDocument/2006/relationships/hyperlink" Id="rId132" Target="https://www.co.siskiyou.ca.us/scottvga/page/scott-valley-groundwater-advisory-committee-meeting-15" TargetMode="External" /><Relationship Type="http://schemas.openxmlformats.org/officeDocument/2006/relationships/hyperlink" Id="rId78" Target="https://www.fs.usda.gov/Internet/FSE{\_}DOCUMENTS/stelprd3850544.pdf" TargetMode="External" /><Relationship Type="http://schemas.openxmlformats.org/officeDocument/2006/relationships/hyperlink" Id="rId87" Target="https://www.waterboards.ca.gov/drought/scott{\_}shasta{\_}rivers/docs/swb{\_}2021{\_}shasta{\_}scott{\_}drought{\_}emergency{\_}final.pdf" TargetMode="External" /><Relationship Type="http://schemas.openxmlformats.org/officeDocument/2006/relationships/hyperlink" Id="rId136" Target="https://www.waterboards.ca.gov/waterrights/board{\_}decisions/adopted{\_}orders/judgments/docs/scottriver{\_}j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dcterms:created xsi:type="dcterms:W3CDTF">2024-11-26T19:14:39Z</dcterms:created>
  <dcterms:modified xsi:type="dcterms:W3CDTF">2024-11-26T19:14:39Z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2024-11-27</vt:lpwstr>
  </property>
  <property fmtid="{D5CDD505-2E9C-101B-9397-08002B2CF9AE}" pid="4" name="output">
    <vt:lpwstr/>
  </property>
</Properties>
</file>