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40EA" w:rsidRDefault="00BF5CC7">
      <w:pPr>
        <w:pStyle w:val="Title"/>
      </w:pPr>
      <w:bookmarkStart w:id="0" w:name="_GoBack"/>
      <w:bookmarkEnd w:id="0"/>
      <w:r>
        <w:t>Multi-objective assessment of a stakeholder-defined portfolio of groundwater and stream management actions in an agricultural basin</w:t>
      </w:r>
    </w:p>
    <w:p w:rsidR="006240EA" w:rsidRDefault="00BF5CC7">
      <w:pPr>
        <w:pStyle w:val="Author"/>
      </w:pPr>
      <w:r>
        <w:t>Claire Kouba</w:t>
      </w:r>
    </w:p>
    <w:p w:rsidR="006240EA" w:rsidRDefault="00BF5CC7">
      <w:pPr>
        <w:pStyle w:val="Date"/>
      </w:pPr>
      <w:r>
        <w:t>2024-11-27</w:t>
      </w:r>
    </w:p>
    <w:p w:rsidR="006240EA" w:rsidRDefault="00BF5CC7">
      <w:pPr>
        <w:pStyle w:val="Heading1"/>
      </w:pPr>
      <w:bookmarkStart w:id="1" w:name="abstract"/>
      <w:r>
        <w:t>Abstract</w:t>
      </w:r>
    </w:p>
    <w:p w:rsidR="006240EA" w:rsidRDefault="00BF5CC7">
      <w:pPr>
        <w:pStyle w:val="FirstParagraph"/>
      </w:pPr>
      <w:r>
        <w:t xml:space="preserve">In rural areas of western North America, agricultural and environmental water needs often come into conflict, and robust management of water resources may require predicting the hydrologic response of complex interconnected surface and groundwater systems </w:t>
      </w:r>
      <w:r>
        <w:t xml:space="preserve">to various management actions. Increasingly, to support policy choices, managers in California rely on analyses using hydrologic models, but in many cases these models can provide confusing or overwhelming amounts of information. In this study, we address </w:t>
      </w:r>
      <w:r>
        <w:t>these challenges for a case study jurisdiction in northern California, which recently finalized a long-term Groundwater Sustainability Plan (GSP). We developed a summary statistic or proxy for each of the three primary policy objectives in the GSP (environ</w:t>
      </w:r>
      <w:r>
        <w:t>mental, agricultural, and project cost). We then used them to summarize the results of 40 management scenarios developed for the GSP in Scott Valley in Northern California, which were simulated using an existing integrated surface- and groundwater model.</w:t>
      </w:r>
    </w:p>
    <w:p w:rsidR="006240EA" w:rsidRDefault="00BF5CC7">
      <w:pPr>
        <w:pStyle w:val="BodyText"/>
      </w:pPr>
      <w:r>
        <w:t>W</w:t>
      </w:r>
      <w:r>
        <w:t>e found that a trade-off in benefits for fish and farms was evident in every category of infrastructure investment (a proxy for project cost), though greater infrastructure investment can achieve some reductions in this trade-off. Additionally, although th</w:t>
      </w:r>
      <w:r>
        <w:t>e GSP management priorities emphasized infrastructure investments, both infrastructure-based and regulatory approaches fell within the Pareto-optimal set of management options under a strict application of these objective functions. Finally, regarding regu</w:t>
      </w:r>
      <w:r>
        <w:t>latory actions, management interventions targeted at low-flow periods produced a more efficient gain in environmental flow value per cost in agricultural productivity. The development of basin-specific objective functions, especially ones using output from</w:t>
      </w:r>
      <w:r>
        <w:t xml:space="preserve"> existing hydrologic models, could help quantify management decision trade-offs and improve stakeholder communication in ongoing water planning efforts throughout the region.</w:t>
      </w:r>
    </w:p>
    <w:p w:rsidR="006240EA" w:rsidRDefault="00BF5CC7">
      <w:r>
        <w:br w:type="page"/>
      </w:r>
    </w:p>
    <w:p w:rsidR="006240EA" w:rsidRDefault="00BF5CC7">
      <w:pPr>
        <w:pStyle w:val="Heading1"/>
      </w:pPr>
      <w:bookmarkStart w:id="2" w:name="introduction"/>
      <w:bookmarkEnd w:id="1"/>
      <w:r>
        <w:rPr>
          <w:rStyle w:val="SectionNumber"/>
        </w:rPr>
        <w:lastRenderedPageBreak/>
        <w:t>1</w:t>
      </w:r>
      <w:r>
        <w:tab/>
        <w:t>Introduction</w:t>
      </w:r>
    </w:p>
    <w:p w:rsidR="006240EA" w:rsidRDefault="00BF5CC7">
      <w:pPr>
        <w:pStyle w:val="FirstParagraph"/>
      </w:pPr>
      <w:r>
        <w:t>Sustainable development of water resources, in an era of climate</w:t>
      </w:r>
      <w:r>
        <w:t xml:space="preserve"> change and increasing human water consumption (e.g., Williams et al. 2020; Rodell et al. 2018), requires an interdisciplinary understanding of connected socio-hydrologic systems (Reuss 1992; Di Baldassarre et al. 2019). One such interdisciplinary approach</w:t>
      </w:r>
      <w:r>
        <w:t xml:space="preserve"> is water resources systems analysis (WRSA), which involves applying optimization methods to water resource planning (Maass et al. 1962; Cohon and Marks 1975; C. M. Brown et al. 2015). The utility of such studies typically depends on robust definitions of </w:t>
      </w:r>
      <w:r>
        <w:t>the “objective function(s)”, which summarize and quantify the desired outcome(s) of the proposed project or management scenario (Gorelick 1983). In practice, classical WRSA approaches have been criticized as being too removed from stakeholder concerns (e.g</w:t>
      </w:r>
      <w:r>
        <w:t>., Rogers and Fiering 1986). In this study, we take advantage of the authors’ involvement in an existing water resource planning process, and a previously-developed integrated surface- and groundwater model [the Scott Valley Integrated Hydrologic Model, or</w:t>
      </w:r>
      <w:r>
        <w:t xml:space="preserve"> SVIHM; Tolley, Foglia, and Harter (2019)], to test the utility of introducing elements of multi-objective optimization into the prioritization of groundwater management alternatives.</w:t>
      </w:r>
    </w:p>
    <w:p w:rsidR="006240EA" w:rsidRDefault="00BF5CC7">
      <w:pPr>
        <w:pStyle w:val="BodyText"/>
      </w:pPr>
      <w:r>
        <w:t>In our study area, the intermontane rural Scott Valley in northern Calif</w:t>
      </w:r>
      <w:r>
        <w:t>ornia (Figure 1), the local government and public stakeholders recently spent three years developing a plan for the long-term use of groundwater (a Groundwater Sustainability Plan or GSP). In that process, they evaluated dozens of potential water managemen</w:t>
      </w:r>
      <w:r>
        <w:t>t scenarios (Siskiyou County 2021). In public meetings, different objectives were often championed by individual stakeholders or interest groups. An integrated hydrologic model was available to support this policy-making process, and the numerical streamfl</w:t>
      </w:r>
      <w:r>
        <w:t>ow results of simulated management scenarios drove decision-making, but discussions on the balancing of multiple objectives were typically qualitative. In effect, the optimization framework used to arrive at the ultimate list of management priorities was i</w:t>
      </w:r>
      <w:r>
        <w:t>mplicit, and the conceptual weight given to different objectives varied between stakeholders.</w:t>
      </w:r>
    </w:p>
    <w:p w:rsidR="006240EA" w:rsidRDefault="00BF5CC7">
      <w:pPr>
        <w:pStyle w:val="BodyText"/>
      </w:pPr>
      <w:r>
        <w:t>Differences between stakeholders in what is considered an acceptable trade-off are common in policy decisions (Monarchi, Kisiel, and Duckstein 1973). Consequently</w:t>
      </w:r>
      <w:r>
        <w:t>, multi-objective optimization studies commonly avoid proposing a single optimal solution; instead they identify a Pareto-optimal or non-inferior set of options, which can clarify the unavoidable trade-offs in the performance of various system objectives (</w:t>
      </w:r>
      <w:r>
        <w:t>e.g., Cohon and Marks 1973). Methods for finding the non-inferior set often involve uniform or randomized initial sampling of the decision space (e.g., Monarchi, Kisiel, and Duckstein 1973; Yeh and Becker 1982; Kapelan, Savic, and Walters 2005). In the cas</w:t>
      </w:r>
      <w:r>
        <w:t xml:space="preserve">e of the Scott Valley GSP, the management actions considered by stakeholders covered a wide range of decision variables (e.g., land use changes, technology and/or infrastructure investment, and regulatory interventions on a range of growing season dates). </w:t>
      </w:r>
      <w:r>
        <w:t>Because a full randomized sampling of this decision space would be computationally prohibitive, this study instead focused on a set of simulated management scenarios that were effectively pre-screened by stakeholders for feasibility in the landscape of exi</w:t>
      </w:r>
      <w:r>
        <w:t>sting land uses and political dynamics.</w:t>
      </w:r>
    </w:p>
    <w:p w:rsidR="006240EA" w:rsidRDefault="00BF5CC7">
      <w:pPr>
        <w:pStyle w:val="BodyText"/>
      </w:pPr>
      <w:r>
        <w:t xml:space="preserve">To investigate whether an explicit optimization framework would yield different prioritization of management actions than the set agreed upon in public meetings, we </w:t>
      </w:r>
      <w:r>
        <w:lastRenderedPageBreak/>
        <w:t>developed numerical representations of three object</w:t>
      </w:r>
      <w:r>
        <w:t xml:space="preserve">ives: 1) maximizing specific environmental flows, 2) minimizing reduction in agricultural water supplies, and 3) minimizing new infrastructure costs. With these, we quantitatively summarized the management benefits and trade-offs within the existing suite </w:t>
      </w:r>
      <w:r>
        <w:t>of several dozen stakeholder-proposed management scenarios.</w:t>
      </w:r>
    </w:p>
    <w:p w:rsidR="006240EA" w:rsidRDefault="00BF5CC7">
      <w:pPr>
        <w:pStyle w:val="CaptionedFigure"/>
      </w:pPr>
      <w:r>
        <w:rPr>
          <w:noProof/>
        </w:rPr>
        <w:drawing>
          <wp:inline distT="0" distB="0" distL="0" distR="0">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7"/>
                    <a:stretch>
                      <a:fillRect/>
                    </a:stretch>
                  </pic:blipFill>
                  <pic:spPr bwMode="auto">
                    <a:xfrm>
                      <a:off x="0" y="0"/>
                      <a:ext cx="5334000" cy="6477000"/>
                    </a:xfrm>
                    <a:prstGeom prst="rect">
                      <a:avLst/>
                    </a:prstGeom>
                    <a:noFill/>
                    <a:ln w="9525">
                      <a:noFill/>
                      <a:headEnd/>
                      <a:tailEnd/>
                    </a:ln>
                  </pic:spPr>
                </pic:pic>
              </a:graphicData>
            </a:graphic>
          </wp:inline>
        </w:drawing>
      </w:r>
    </w:p>
    <w:p w:rsidR="006240EA" w:rsidRDefault="00BF5CC7">
      <w:pPr>
        <w:pStyle w:val="ImageCaption"/>
      </w:pPr>
      <w:r>
        <w:t xml:space="preserve">Figure 1: The Scott River flows south to north through Scott Valley before flowing through a canyon and joining the Klamath River. Land uses in the cultivated areas of the Scott River </w:t>
      </w:r>
      <w:r>
        <w:lastRenderedPageBreak/>
        <w:t xml:space="preserve">watershed </w:t>
      </w:r>
      <w:r>
        <w:t xml:space="preserve">are shown (adapted from the 2016 DWR Land Use Survey), as well as the location of several communities and the Fort Jones streamflow gauge (USGS Station ID 11519500). </w:t>
      </w:r>
    </w:p>
    <w:p w:rsidR="006240EA" w:rsidRDefault="00BF5CC7">
      <w:pPr>
        <w:pStyle w:val="Heading1"/>
      </w:pPr>
      <w:bookmarkStart w:id="3" w:name="X525b2f83bcefbf206e3ace342b868d96bb1ee57"/>
      <w:bookmarkEnd w:id="2"/>
      <w:r>
        <w:rPr>
          <w:rStyle w:val="SectionNumber"/>
        </w:rPr>
        <w:t>2</w:t>
      </w:r>
      <w:r>
        <w:tab/>
        <w:t>Case study and summary of GSP development</w:t>
      </w:r>
    </w:p>
    <w:p w:rsidR="006240EA" w:rsidRDefault="00BF5CC7">
      <w:pPr>
        <w:pStyle w:val="Heading2"/>
      </w:pPr>
      <w:bookmarkStart w:id="4" w:name="hydrography-and-climate"/>
      <w:r>
        <w:rPr>
          <w:rStyle w:val="SectionNumber"/>
        </w:rPr>
        <w:t>2.1</w:t>
      </w:r>
      <w:r>
        <w:tab/>
        <w:t>Hydrography and climate</w:t>
      </w:r>
    </w:p>
    <w:p w:rsidR="006240EA" w:rsidRDefault="00BF5CC7">
      <w:pPr>
        <w:pStyle w:val="FirstParagraph"/>
      </w:pPr>
      <w:r>
        <w:t>The Scott River d</w:t>
      </w:r>
      <w:r>
        <w:t>rains a 2,109 km</w:t>
      </w:r>
      <w:r>
        <w:rPr>
          <w:vertAlign w:val="superscript"/>
        </w:rPr>
        <w:t>2</w:t>
      </w:r>
      <w:r>
        <w:t xml:space="preserve"> (814 square mile) intermontane watershed known as Scott Valley, surrounded by several mountain ranges, including the Scott Bar, Marble, Salmon and Scott Mountains to the north, west, southwest, and south, respectively. The valley floor ov</w:t>
      </w:r>
      <w:r>
        <w:t xml:space="preserve">erlies unconsolidated alluvial sediments of up to 79 m (260 ft) thickness (SWRCB 1975). The sediments form a mostly unconfined aquifer system bordered by low permeable, fractured underlying and adjacent bedrock composed of mostly Paleozoic metasedimentary </w:t>
      </w:r>
      <w:r>
        <w:t>formations (Mack 1958).</w:t>
      </w:r>
    </w:p>
    <w:p w:rsidR="006240EA" w:rsidRDefault="00BF5CC7">
      <w:pPr>
        <w:pStyle w:val="BodyText"/>
      </w:pPr>
      <w:r>
        <w:t>The Scott River begins near the community of Callahan, where the East and South Forks of the Scott River converge, and flows north through the agricultural and residential areas of Scott Valley (Figure 1). Then, 58.0 km (36.0 mi) do</w:t>
      </w:r>
      <w:r>
        <w:t>wnstream of Callahan, it passes a key stream gauge (USGS Station ID 11519500, or the Fort Jones Gauge or FJ Gauge) and enters more rugged terrain, flowing 34.7 km (21.6 mi) through a steep canyon until it meets the Klamath River. Because practically all wa</w:t>
      </w:r>
      <w:r>
        <w:t>ter use in Scott Valley occurs upgradient of the FJ Gauge, it is used to assess hydrologic conditions and inform water management decisions in the populated areas of the valley (e.g., Siskiyou County 2021).</w:t>
      </w:r>
    </w:p>
    <w:p w:rsidR="006240EA" w:rsidRDefault="00BF5CC7">
      <w:pPr>
        <w:pStyle w:val="BodyText"/>
      </w:pPr>
      <w:r>
        <w:t>Scott Valley has a Mediterranean precipitation re</w:t>
      </w:r>
      <w:r>
        <w:t>gime with distinctive seasons of cold, wet winters and warm, dry summers (Figure 2), panels A and B). Melting snowpack in the surrounding mountains generates streamflow from April through July, though onset and duration of snowmelt varies based on the snow</w:t>
      </w:r>
      <w:r>
        <w:t xml:space="preserve">pack volume and timing of warm air temperatures. This seasonality in water input creates seasonal flow in the Scott River and tributary streams, which experience a pronounced wet season and dry season with high and low flows, respectively (Figure 2, panel </w:t>
      </w:r>
      <w:r>
        <w:t>C).</w:t>
      </w:r>
    </w:p>
    <w:p w:rsidR="006240EA" w:rsidRDefault="00BF5CC7">
      <w:pPr>
        <w:pStyle w:val="BodyText"/>
      </w:pPr>
      <w:r>
        <w:t>Streams and groundwater are highly interconnected in the Scott River watershed. Tributary streams and the Scott River are a source of recharge to the aquifer, and groundwater discharge sustains streamflow in some areas, especially during the dry season</w:t>
      </w:r>
      <w:r>
        <w:t xml:space="preserve"> of August-October or November. In the past two decades, in most dry-to-average type water years, the water table elevation has fallen below the stream bed and reaches of the Scott River have gone dry (Tolley, Foglia, and Harter 2019).</w:t>
      </w:r>
    </w:p>
    <w:p w:rsidR="006240EA" w:rsidRDefault="00BF5CC7">
      <w:pPr>
        <w:pStyle w:val="CaptionedFigure"/>
      </w:pPr>
      <w:r>
        <w:rPr>
          <w:noProof/>
        </w:rPr>
        <w:lastRenderedPageBreak/>
        <w:drawing>
          <wp:inline distT="0" distB="0" distL="0" distR="0">
            <wp:extent cx="5334000" cy="4445000"/>
            <wp:effectExtent l="0" t="0" r="0" b="0"/>
            <wp:docPr id="26"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1.png"/>
                    <pic:cNvPicPr>
                      <a:picLocks noChangeAspect="1" noChangeArrowheads="1"/>
                    </pic:cNvPicPr>
                  </pic:nvPicPr>
                  <pic:blipFill>
                    <a:blip r:embed="rId8"/>
                    <a:stretch>
                      <a:fillRect/>
                    </a:stretch>
                  </pic:blipFill>
                  <pic:spPr bwMode="auto">
                    <a:xfrm>
                      <a:off x="0" y="0"/>
                      <a:ext cx="5334000" cy="4445000"/>
                    </a:xfrm>
                    <a:prstGeom prst="rect">
                      <a:avLst/>
                    </a:prstGeom>
                    <a:noFill/>
                    <a:ln w="9525">
                      <a:noFill/>
                      <a:headEnd/>
                      <a:tailEnd/>
                    </a:ln>
                  </pic:spPr>
                </pic:pic>
              </a:graphicData>
            </a:graphic>
          </wp:inline>
        </w:drawing>
      </w:r>
    </w:p>
    <w:p w:rsidR="006240EA" w:rsidRDefault="00BF5CC7">
      <w:pPr>
        <w:pStyle w:val="ImageCaption"/>
      </w:pPr>
      <w:r>
        <w:t>Figure 2:  Summary</w:t>
      </w:r>
      <w:r>
        <w:t xml:space="preserve"> of temperature (Panel A), rainfall and reference evapotranspiration (Panel B), and daily streamflow values (Panel C) in Scott Valley. For precipitation, regression relationships between the Callahan and Fort Jones weather station records and the records o</w:t>
      </w:r>
      <w:r>
        <w:t>f NOAA stations in Greenview, Etna, and Yreka (USC00042899, USC00043614, USC00049866, and US1CASK0005) were used to predict missing values (i.e., fill gaps) in the Callahan and Fort Jones records; the daily mean of the two stations was used as the final pr</w:t>
      </w:r>
      <w:r>
        <w:t>ecipitation record for purposes of this figure and the SVIHM precipitation input.</w:t>
      </w:r>
    </w:p>
    <w:p w:rsidR="006240EA" w:rsidRDefault="00BF5CC7">
      <w:pPr>
        <w:pStyle w:val="Heading2"/>
      </w:pPr>
      <w:bookmarkStart w:id="5" w:name="X33d0072624d566dcf1fc914eaa47e60d958b5ff"/>
      <w:bookmarkEnd w:id="4"/>
      <w:r>
        <w:rPr>
          <w:rStyle w:val="SectionNumber"/>
        </w:rPr>
        <w:t>2.2</w:t>
      </w:r>
      <w:r>
        <w:tab/>
        <w:t>Human population, land use, and local economy</w:t>
      </w:r>
    </w:p>
    <w:p w:rsidR="006240EA" w:rsidRDefault="00BF5CC7">
      <w:pPr>
        <w:pStyle w:val="FirstParagraph"/>
      </w:pPr>
      <w:r>
        <w:t>The population of Scott Valley is approximately 5,200, based on area-weighted block-level 2020 census data, including the po</w:t>
      </w:r>
      <w:r>
        <w:t>pulations of the two incorporated towns of Etna and Fort Jones [population 678 and 695, respectively; U.S. Census Bureau (2021)]. About two thirds of the land within the Scott River watershed is under private ownership with the remaining area managed by th</w:t>
      </w:r>
      <w:r>
        <w:t>e Quartz Valley Indian Reservation, the United States (U.S.) Department of the Interior Bureau of Land Management (BLM) and U.S. Forest Service (USFS) (Harter and Hines 2008). Much of the upper mountainous area of the watershed is part of the Klamath Natio</w:t>
      </w:r>
      <w:r>
        <w:t xml:space="preserve">nal Forest. On the valley floor, according to land use surveys conducted by DWR (DWR 2017), half of the area overlying the alluvial aquifer is covered by </w:t>
      </w:r>
      <w:r>
        <w:lastRenderedPageBreak/>
        <w:t>agriculture, with most of that split approximately evenly between pasture and an alfalfa/grain rotatio</w:t>
      </w:r>
      <w:r>
        <w:t>n (Figure 1; Table 1).</w:t>
      </w:r>
    </w:p>
    <w:p w:rsidR="006240EA" w:rsidRDefault="00BF5CC7">
      <w:pPr>
        <w:pStyle w:val="BodyText"/>
      </w:pPr>
      <w:r>
        <w:t>Fort Jones and Etna are categorized as severely economically disadvantaged (defined as communities with an annual median household income [MHI] of less than 60% of the average annual MHI in California). Based on the 2013-2017 America</w:t>
      </w:r>
      <w:r>
        <w:t xml:space="preserve">n Community Survey Five Year Estimates, the statewide annual MHI is $67,169, and Fort Jones and Etna both qualify as SDACs with annual MHIs of $29,662 and $35,333, respectively (U.S. Census Bureau 2018). The unincorporated community of Greenview is listed </w:t>
      </w:r>
      <w:r>
        <w:t>in government databases as a disadvantaged community (defined as an MHI of less than 80% of average state MHI), but no MHI data are available for this community (DWR 2019).</w:t>
      </w:r>
    </w:p>
    <w:p w:rsidR="006240EA" w:rsidRDefault="00BF5CC7">
      <w:pPr>
        <w:pStyle w:val="TableCaption"/>
      </w:pPr>
      <w:r>
        <w:t>Table 1: Acreage and percent of total Basin area covered by generalized land uses a</w:t>
      </w:r>
      <w:r>
        <w:t>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6240EA" w:rsidTr="006240EA">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6240EA" w:rsidTr="006240EA">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6240EA" w:rsidTr="006240EA">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6240EA" w:rsidTr="006240EA">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rsidR="006240EA" w:rsidRDefault="00BF5CC7">
      <w:pPr>
        <w:pStyle w:val="Heading2"/>
      </w:pPr>
      <w:bookmarkStart w:id="6" w:name="water-uses-and-management-objectives"/>
      <w:bookmarkEnd w:id="5"/>
      <w:r>
        <w:rPr>
          <w:rStyle w:val="SectionNumber"/>
        </w:rPr>
        <w:t>2.3</w:t>
      </w:r>
      <w:r>
        <w:tab/>
        <w:t>Water uses and management objectives</w:t>
      </w:r>
    </w:p>
    <w:p w:rsidR="006240EA" w:rsidRDefault="00BF5CC7">
      <w:pPr>
        <w:pStyle w:val="FirstParagraph"/>
      </w:pPr>
      <w:r>
        <w:t>Like many rural watersheds in arid to semi-arid regions, balancing environmental and agricultural water demands is a significant challenge faced by local water managers. Water uses, land management, and the measurement units used in local regulatory docume</w:t>
      </w:r>
      <w:r>
        <w:t>nts were discussed in Chapter 1 of this dissertation:</w:t>
      </w:r>
    </w:p>
    <w:p w:rsidR="006240EA" w:rsidRDefault="00BF5CC7">
      <w:pPr>
        <w:pStyle w:val="BlockText"/>
      </w:pPr>
      <w:r>
        <w:t>“Water in Scott Valley is used for agricultural, domestic, and municipal supply. It also facilitates recreation and provides Native American cultural services, among other designated beneficial uses (NC</w:t>
      </w:r>
      <w:r>
        <w:t>RWQCB 2006). Because the watershed is undammed, managers and water users influence Scott River flow primarily via diversion of surface waters or pumping of groundwater. Consequently the most powerful tool available to manage Scott River water flow is regul</w:t>
      </w:r>
      <w:r>
        <w:t>ation of land use and thus water demand (Siskiyou County 2021).</w:t>
      </w:r>
    </w:p>
    <w:p w:rsidR="006240EA" w:rsidRDefault="00BF5CC7">
      <w:pPr>
        <w:pStyle w:val="BlockText"/>
      </w:pPr>
      <w:r>
        <w:lastRenderedPageBreak/>
        <w:t>Historically, local regulation of land use has focused on maintaining the rural and agricultural character of Scott Valley (Scott Valley Area Plan Committee 1980). Regulating land use to impro</w:t>
      </w:r>
      <w:r>
        <w:t>ve ecological outcomes would entail significant economic, political and social risks, because much of the economic activity in this area is related to agriculture. The primary crops grown in Scott Valley are alfalfa and pasture for cattle feed (Siskiyou Co</w:t>
      </w:r>
      <w:r>
        <w:t>unty 2021). In addition to local economic impact, Scott River conditions influence fish population dynamics both within the watershed and in the broader Klamath system. The health of the Klamath salmon run has implications for commercial fishing, recreatio</w:t>
      </w:r>
      <w:r>
        <w:t>nal activities, and cultural practices of Native American tribes in the region, including the Quartz Valley Indian Community and the Karuk and Yurok Tribes (Graham 2012).</w:t>
      </w:r>
    </w:p>
    <w:p w:rsidR="006240EA" w:rsidRDefault="00BF5CC7">
      <w:pPr>
        <w:pStyle w:val="BlockText"/>
      </w:pPr>
      <w:r>
        <w:t>All of the regulatory and management programs in this region, including recommended i</w:t>
      </w:r>
      <w:r>
        <w:t>nstream flows (CDFW 2017) and legal rights governing surface water diversion (Superior Court of Siskiyou County 1980), are tabulated in units of cubic feet per second (cfs). For consistency, this document will also use primarily cfs units, with metric unit</w:t>
      </w:r>
      <w:r>
        <w:t>s in parentheses.”</w:t>
      </w:r>
    </w:p>
    <w:p w:rsidR="006240EA" w:rsidRDefault="00BF5CC7">
      <w:pPr>
        <w:pStyle w:val="Heading3"/>
      </w:pPr>
      <w:bookmarkStart w:id="7" w:name="environmental-stream-flows"/>
      <w:r>
        <w:rPr>
          <w:rStyle w:val="SectionNumber"/>
        </w:rPr>
        <w:t>2.3.1</w:t>
      </w:r>
      <w:r>
        <w:tab/>
        <w:t>Environmental stream flows</w:t>
      </w:r>
    </w:p>
    <w:p w:rsidR="006240EA" w:rsidRDefault="00BF5CC7">
      <w:pPr>
        <w:pStyle w:val="FirstParagraph"/>
      </w:pPr>
      <w:r>
        <w:t>Sufficient environmental flows at certain times of year are necessary to the survival of vulnerable species in the Scott River watershed. Coho salmon (</w:t>
      </w:r>
      <w:r>
        <w:rPr>
          <w:i/>
          <w:iCs/>
        </w:rPr>
        <w:t>Oncorhynchus kisutch</w:t>
      </w:r>
      <w:r>
        <w:t>) in Scott Valley belong to the S</w:t>
      </w:r>
      <w:r>
        <w:t>outhern Oregon / Northern California Coast (SONCC) Evolutionarily Significant Unit (ESU), and were listed as threatened under the federal and California Endangered Species Acts (ESAs) in 1997 and 2005, respectively. Statewide coho populations have declined</w:t>
      </w:r>
      <w:r>
        <w:t xml:space="preserve"> by an estimated &gt;90% since the 1940s (L. R. Brown, Moyle, and Yoshiyama 1994).</w:t>
      </w:r>
    </w:p>
    <w:p w:rsidR="006240EA" w:rsidRDefault="00BF5CC7">
      <w:pPr>
        <w:pStyle w:val="BodyText"/>
      </w:pPr>
      <w:r>
        <w:t>To complete their life cycle, coho salmon require several key functional flows in the Scott Valley freshwater stream system, including the following:</w:t>
      </w:r>
    </w:p>
    <w:p w:rsidR="006240EA" w:rsidRDefault="00BF5CC7">
      <w:pPr>
        <w:pStyle w:val="Compact"/>
        <w:numPr>
          <w:ilvl w:val="0"/>
          <w:numId w:val="2"/>
        </w:numPr>
      </w:pPr>
      <w:r>
        <w:t>Fall flows, increasing aft</w:t>
      </w:r>
      <w:r>
        <w:t>er the dry season in response to early wet season storms, that occur early enough to provide adult fall-run spawners access to preferred spawning reaches</w:t>
      </w:r>
    </w:p>
    <w:p w:rsidR="006240EA" w:rsidRDefault="00BF5CC7">
      <w:pPr>
        <w:pStyle w:val="Compact"/>
        <w:numPr>
          <w:ilvl w:val="0"/>
          <w:numId w:val="2"/>
        </w:numPr>
      </w:pPr>
      <w:r>
        <w:t>Flows providing habitat for rearing juvenile salmon for their ~12-15 months of freshwater residence</w:t>
      </w:r>
    </w:p>
    <w:p w:rsidR="006240EA" w:rsidRDefault="00BF5CC7">
      <w:pPr>
        <w:pStyle w:val="Compact"/>
        <w:numPr>
          <w:ilvl w:val="0"/>
          <w:numId w:val="2"/>
        </w:numPr>
      </w:pPr>
      <w:r>
        <w:t>Su</w:t>
      </w:r>
      <w:r>
        <w:t>fficient flow in the spring for yearling smolts to emigrate to the ocean</w:t>
      </w:r>
    </w:p>
    <w:p w:rsidR="006240EA" w:rsidRDefault="00BF5CC7">
      <w:pPr>
        <w:pStyle w:val="FirstParagraph"/>
      </w:pPr>
      <w:r>
        <w:t>Other species may require other functional flows [e.g., cottonwood trees require flood-stage flows to disperse their seeds; Mahoney and Rood (1998)], but in this work we focus on coho</w:t>
      </w:r>
      <w:r>
        <w:t xml:space="preserve"> salmon, the most vulnerable species in the watershed. Future work could evaluate the suite of flows needed by a larger set of species in Scott Valley.</w:t>
      </w:r>
    </w:p>
    <w:p w:rsidR="006240EA" w:rsidRDefault="00BF5CC7">
      <w:pPr>
        <w:pStyle w:val="Heading3"/>
      </w:pPr>
      <w:bookmarkStart w:id="8" w:name="agricultural-water-demand"/>
      <w:bookmarkEnd w:id="7"/>
      <w:r>
        <w:rPr>
          <w:rStyle w:val="SectionNumber"/>
        </w:rPr>
        <w:t>2.3.2</w:t>
      </w:r>
      <w:r>
        <w:tab/>
        <w:t>Agricultural water demand</w:t>
      </w:r>
    </w:p>
    <w:p w:rsidR="006240EA" w:rsidRDefault="00BF5CC7">
      <w:pPr>
        <w:pStyle w:val="FirstParagraph"/>
      </w:pPr>
      <w:r>
        <w:t>Agricultural water demand in Scott Valley has been simulated for a histo</w:t>
      </w:r>
      <w:r>
        <w:t xml:space="preserve">rical model period of water years 1991-2018 (Oct. 1 of 1990 to Sept. 30 of 2018), using the calibrated Scott Valley Integrated Hydrologic Model [SVIHM; Harter and Hines (2008); Foglia et al. (2013); </w:t>
      </w:r>
      <w:r>
        <w:lastRenderedPageBreak/>
        <w:t>Tolley, Foglia, and Harter (2019)]. Water demand for crop</w:t>
      </w:r>
      <w:r>
        <w:t>s and native vegetation (ET in Figure 3) and applied irrigation volumes (diverted surface water and pumped groundwater, noted as SW and GW Irrigation in Figure 3) are highest in the late summer. In dry water years, initial soil moisture levels may be lower</w:t>
      </w:r>
      <w:r>
        <w:t>, and irrigation demand may be somewhat higher, though annual crop ET and irrigation demand is relatively stable year to year Figure 4).</w:t>
      </w:r>
    </w:p>
    <w:p w:rsidR="006240EA" w:rsidRDefault="00BF5CC7">
      <w:pPr>
        <w:pStyle w:val="BodyText"/>
      </w:pPr>
      <w:r>
        <w:t>In this intermontane valley, the growing season is constrained by hard frosts, and begins in March-April and extends th</w:t>
      </w:r>
      <w:r>
        <w:t>rough September-October. Both of the primary crops (alfalfa and pasture) are perennial, and will continue producing through the growing season as long as soil moisture is available. Alfalfa cultivation since the 1970s has commonly involved three to four ha</w:t>
      </w:r>
      <w:r>
        <w:t>rvests (referred to as cuttings) per growing season; it is typically irrigated several times and then left to dry before cutting (Tolley, Foglia, and Harter 2019).</w:t>
      </w:r>
    </w:p>
    <w:p w:rsidR="006240EA" w:rsidRDefault="00BF5CC7">
      <w:pPr>
        <w:pStyle w:val="BodyText"/>
      </w:pPr>
      <w:r>
        <w:t>In the mid-twentieth century, farms and ranches irrigated grain, alfalfa and pasture crops m</w:t>
      </w:r>
      <w:r>
        <w:t>ainly with diverted surface water, which was abundant until mid or late summer, and many utilized flood irrigation. On this schedule two alfalfa cuttings were harvested, with the last irrigation typically occurring in July. Since the 1970s, widespread cons</w:t>
      </w:r>
      <w:r>
        <w:t>truction of irrigation wells has effectively extended the irrigation season and allowed alfalfa farmers to harvest three or four cuttings in a growing season. (Additionally, higher-irrigation efficiency technology like wheel-line and center-pivot sprinkler</w:t>
      </w:r>
      <w:r>
        <w:t xml:space="preserve">s became common, though this does not alter the consumptive demand of the cultivated crops.) Based on historical crop coverage and water demand estimates by Harter and Hines (2008), “the amount of water likely used by crops has increased from 1958 to 2000 </w:t>
      </w:r>
      <w:r>
        <w:t>by between 15 percent (10,000 more acre feet) and 30 percent (20,000 acre feet) depending on the date when surface irrigation [is assumed to have ceased historically], i.e. July 15, Aug 1 or Aug 15.”</w:t>
      </w:r>
    </w:p>
    <w:p w:rsidR="006240EA" w:rsidRDefault="00BF5CC7">
      <w:pPr>
        <w:pStyle w:val="BodyText"/>
      </w:pPr>
      <w:r>
        <w:t>The tension between agricultural and ecological water de</w:t>
      </w:r>
      <w:r>
        <w:t xml:space="preserve">mands is highest at the end of the dry season, when groundwater elevations and surface flows are at their lowest, crop demand remains high, and anadromous fish require access to spawning habitat. The management of these fall flows was a central concern of </w:t>
      </w:r>
      <w:r>
        <w:t>GSP development in 2018-2021.</w:t>
      </w:r>
    </w:p>
    <w:p w:rsidR="006240EA" w:rsidRDefault="00BF5CC7">
      <w:pPr>
        <w:pStyle w:val="CaptionedFigure"/>
      </w:pPr>
      <w:r>
        <w:rPr>
          <w:noProof/>
        </w:rPr>
        <w:lastRenderedPageBreak/>
        <w:drawing>
          <wp:inline distT="0" distB="0" distL="0" distR="0">
            <wp:extent cx="5334000" cy="3048000"/>
            <wp:effectExtent l="0" t="0" r="0" b="0"/>
            <wp:docPr id="32"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2.png"/>
                    <pic:cNvPicPr>
                      <a:picLocks noChangeAspect="1" noChangeArrowheads="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rsidR="006240EA" w:rsidRDefault="00BF5CC7">
      <w:pPr>
        <w:pStyle w:val="ImageCaption"/>
      </w:pPr>
      <w:r>
        <w:t xml:space="preserve">Figure 3:  </w:t>
      </w:r>
      <w:r>
        <w:t>Average monthly water budget for the soil zone, simulated with SVIHM, for the model simulation period (water years 1991-2018). Positive and negative values indicate average net monthly fluxes into and out of the soil zone, respectively.</w:t>
      </w:r>
    </w:p>
    <w:p w:rsidR="006240EA" w:rsidRDefault="00BF5CC7">
      <w:pPr>
        <w:pStyle w:val="CaptionedFigure"/>
      </w:pPr>
      <w:r>
        <w:rPr>
          <w:noProof/>
        </w:rPr>
        <w:drawing>
          <wp:inline distT="0" distB="0" distL="0" distR="0">
            <wp:extent cx="5334000" cy="3048000"/>
            <wp:effectExtent l="0" t="0" r="0" b="0"/>
            <wp:docPr id="35"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6" name="Picture" descr="Graphics%20and%20Supplements/Figure%203.png"/>
                    <pic:cNvPicPr>
                      <a:picLocks noChangeAspect="1" noChangeArrowheads="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p>
    <w:p w:rsidR="006240EA" w:rsidRDefault="00BF5CC7">
      <w:pPr>
        <w:pStyle w:val="ImageCaption"/>
      </w:pPr>
      <w:r>
        <w:t>Figure 4:  Annual</w:t>
      </w:r>
      <w:r>
        <w:t xml:space="preserve"> values for inflowing (positive) and outflowing (negative) water budget components in the SVIHM soil zone (historical basecase simulation). Irrigation refers to both groundwater and surface water sources; Recharge refers to water percolating through the so</w:t>
      </w:r>
      <w:r>
        <w:t>il column and recharging the aquifer below. Both crop ET and ET from native vegetation remain relatively stable year to year, while precipitation inputs, and thus recharge to the aquifer, have higher interannual variability.</w:t>
      </w:r>
    </w:p>
    <w:p w:rsidR="006240EA" w:rsidRDefault="00BF5CC7">
      <w:pPr>
        <w:pStyle w:val="Heading2"/>
      </w:pPr>
      <w:bookmarkStart w:id="9" w:name="gsp-development"/>
      <w:bookmarkEnd w:id="6"/>
      <w:bookmarkEnd w:id="8"/>
      <w:r>
        <w:rPr>
          <w:rStyle w:val="SectionNumber"/>
        </w:rPr>
        <w:lastRenderedPageBreak/>
        <w:t>2.4</w:t>
      </w:r>
      <w:r>
        <w:tab/>
        <w:t>GSP development</w:t>
      </w:r>
    </w:p>
    <w:p w:rsidR="006240EA" w:rsidRDefault="00BF5CC7">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w:t>
      </w:r>
      <w:r>
        <w:t xml:space="preserve">age local groundwater resources pursuant to the Sustainable Groundwater Management Act (SGMA) of 2014. GSP development took place between 2018 and 2021, and was guided by discussions in the monthly public meetings of an Advisory Committee composed of nine </w:t>
      </w:r>
      <w:r>
        <w:t>local stakeholders. Technical analyses supporting the public meeting deliberations and GSP policies were provided by several technical experts, including the authors of this study (Siskiyou County 2021).</w:t>
      </w:r>
    </w:p>
    <w:p w:rsidR="006240EA" w:rsidRDefault="00BF5CC7">
      <w:pPr>
        <w:pStyle w:val="BodyText"/>
      </w:pPr>
      <w:r>
        <w:t>SGMA requires each local GSA to define sustainabilit</w:t>
      </w:r>
      <w:r>
        <w:t xml:space="preserve">y in the negative, by quantifying and then avoiding “undesirable results” that would be “significant and unreasonable”. The central undesirable result in Scott Valley is streamflow depletion due to groundwater pumping. Consequently, a central challenge of </w:t>
      </w:r>
      <w:r>
        <w:t>GSP development was defining a reasonable amount of streamflow depletion reversal, accounting for environmental water demand and what degree of agricultural water security was necessary to sustain the local economy.</w:t>
      </w:r>
    </w:p>
    <w:p w:rsidR="006240EA" w:rsidRDefault="00BF5CC7">
      <w:pPr>
        <w:pStyle w:val="BodyText"/>
      </w:pPr>
      <w:r>
        <w:t>The authors of this study simulated doze</w:t>
      </w:r>
      <w:r>
        <w:t xml:space="preserve">ns of land and water use scenarios to facilitate the comparison of management alternatives that could reduce streamflow depletion to various degrees. Simulations were conducted with a spatially explicit, integrated surface water-groundwater model (Tolley, </w:t>
      </w:r>
      <w:r>
        <w:t>Foglia, and Harter 2019), as described below.</w:t>
      </w:r>
    </w:p>
    <w:p w:rsidR="006240EA" w:rsidRDefault="00BF5CC7">
      <w:pPr>
        <w:pStyle w:val="Heading2"/>
      </w:pPr>
      <w:bookmarkStart w:id="10" w:name="hydrologic-model-summary"/>
      <w:bookmarkEnd w:id="9"/>
      <w:r>
        <w:rPr>
          <w:rStyle w:val="SectionNumber"/>
        </w:rPr>
        <w:t>2.5</w:t>
      </w:r>
      <w:r>
        <w:tab/>
        <w:t>Hydrologic model summary</w:t>
      </w:r>
    </w:p>
    <w:p w:rsidR="006240EA" w:rsidRDefault="00BF5CC7">
      <w:pPr>
        <w:pStyle w:val="FirstParagraph"/>
      </w:pPr>
      <w:r>
        <w:t>The Scott Valley Integrated Hydrologic Model (SVIHM) is a surface and groundwater model driven by tributary stream inflows, precipitation inputs, and reference evapotranspiration (E</w:t>
      </w:r>
      <w:r>
        <w:t>T</w:t>
      </w:r>
      <w:r>
        <w:rPr>
          <w:vertAlign w:val="subscript"/>
        </w:rPr>
        <w:t>0</w:t>
      </w:r>
      <w:r>
        <w:t>). The boundary of the model domain corresponds approximately to the extent of the alluvial aquifer. For detailed information about the model structure, sensitivity, calibration, uncertainty, and validation of results, see recent work by Tolley et al. (2</w:t>
      </w:r>
      <w:r>
        <w:t>019). Like all models, it does not perfectly reproduce observed historical measurements, but it successfully captures key watershed-scale hydrologic phenomena that can be used to evaluate potential outcomes of specific management actions.</w:t>
      </w:r>
    </w:p>
    <w:p w:rsidR="006240EA" w:rsidRDefault="00BF5CC7">
      <w:pPr>
        <w:pStyle w:val="BodyText"/>
      </w:pPr>
      <w:r>
        <w:t>The SVIHM is comp</w:t>
      </w:r>
      <w:r>
        <w:t>osed of three cascading sub-models. First, complete daily records of tributary stream inflow are generated using a statistical streamflow regression model, in which the continuous Fort Jones record was used to predict missing values in the daily flow recor</w:t>
      </w:r>
      <w:r>
        <w:t xml:space="preserve">ds of 12 major tributaries (Foglia et al. 2013). Second, a custom-built soil water budget model simulated irrigation demand, irrigation applied (surface and groundwater), ET and percolation to aquifer calculated on a field-by-field, daily time step basis. </w:t>
      </w:r>
      <w:r>
        <w:t>This model simulates individual irrigation applications and assumes the farmer has perfect foresight of daily irrigation demand. Finally, the boundary conditions of stream inflow, aquifer recharge, and groundwater extraction are used to drive an integrated</w:t>
      </w:r>
      <w:r>
        <w:t xml:space="preserve"> groundwater-surface water model using MODFLOW; stream-aquifer flux and surface flow routing was simulated using the MODFLOW SFR package (Tolley, Foglia, and Harter 2019).</w:t>
      </w:r>
    </w:p>
    <w:p w:rsidR="006240EA" w:rsidRDefault="00BF5CC7">
      <w:pPr>
        <w:pStyle w:val="BodyText"/>
      </w:pPr>
      <w:r>
        <w:lastRenderedPageBreak/>
        <w:t>For GSP development, SVIHM was used extensively to perform what-if scenarios using t</w:t>
      </w:r>
      <w:r>
        <w:t>he historic climate and land use forcing period, 1991-2018. Scenario simulations repeat the calibrated historical basecase simulation of SVIHM using specified sets of changes in SVIHM boundary conditions (BCs). The set of changes in the BCs of a particular</w:t>
      </w:r>
      <w:r>
        <w:t xml:space="preserve"> scenario represent specific changes in land use, irrigation management, climate, water management rules, etc. Scenario outcomes are compared against those of the basecase simulation. Key results of each SVIHM scenario, used in the objective functions desc</w:t>
      </w:r>
      <w:r>
        <w:t>ribed below, are:</w:t>
      </w:r>
    </w:p>
    <w:p w:rsidR="006240EA" w:rsidRDefault="00BF5CC7">
      <w:pPr>
        <w:pStyle w:val="Compact"/>
        <w:numPr>
          <w:ilvl w:val="0"/>
          <w:numId w:val="3"/>
        </w:numPr>
      </w:pPr>
      <w:r>
        <w:t>A prediction of Scott River flow the Fort Jones Gauge, which is co-located with the surface water outlet of the model domain; and</w:t>
      </w:r>
    </w:p>
    <w:p w:rsidR="006240EA" w:rsidRDefault="00BF5CC7">
      <w:pPr>
        <w:pStyle w:val="Compact"/>
        <w:numPr>
          <w:ilvl w:val="0"/>
          <w:numId w:val="3"/>
        </w:numPr>
      </w:pPr>
      <w:r>
        <w:t>Simulated total ET of crops and native vegetation within the model domain.</w:t>
      </w:r>
    </w:p>
    <w:p w:rsidR="006240EA" w:rsidRDefault="00BF5CC7">
      <w:pPr>
        <w:pStyle w:val="Heading1"/>
      </w:pPr>
      <w:bookmarkStart w:id="11" w:name="methods"/>
      <w:bookmarkEnd w:id="3"/>
      <w:bookmarkEnd w:id="10"/>
      <w:r>
        <w:rPr>
          <w:rStyle w:val="SectionNumber"/>
        </w:rPr>
        <w:t>3</w:t>
      </w:r>
      <w:r>
        <w:tab/>
        <w:t>Methods</w:t>
      </w:r>
    </w:p>
    <w:p w:rsidR="006240EA" w:rsidRDefault="00BF5CC7">
      <w:pPr>
        <w:pStyle w:val="FirstParagraph"/>
      </w:pPr>
      <w:r>
        <w:t>We developed two object</w:t>
      </w:r>
      <w:r>
        <w:t>ive functions and one categorical objective proxy to evaluate the management scenarios developed for the GSP. The three objectives were: maximizing specific environmental flows, maintain current levels of agricultural productivity (represented as minimizin</w:t>
      </w:r>
      <w:r>
        <w:t xml:space="preserve">g reduction in agricultural water use), and minimizing new infrastructure costs (represented as a categorical infrastructure/feasibility proxy) (Table 2). We then applied these to the results of each simulated management scenario, found the Pareto-optimal </w:t>
      </w:r>
      <w:r>
        <w:t>set of scenarios, and compared them to the prioritization of management actions adopted in the GSP (Siskiyou County 2021).</w:t>
      </w:r>
    </w:p>
    <w:p w:rsidR="006240EA" w:rsidRDefault="00BF5CC7">
      <w:pPr>
        <w:pStyle w:val="BodyText"/>
      </w:pPr>
      <w:r>
        <w:t>We should note that protecting domestic water use was also discussed as a management objective, but this was not evaluated as an obje</w:t>
      </w:r>
      <w:r>
        <w:t>ctive function in management scenarios, for three main reasons: it was assumed that solving the environmental flows problem would intrinsically keep groundwater levels sufficiently high to protect domestic groundwater use from well outages; the number of r</w:t>
      </w:r>
      <w:r>
        <w:t>eported well outages in recent dry years was minimal; and the data necessary to assess domestic well outages (specifically, total well depth and pump depth information) was available only for a small number of wells.</w:t>
      </w:r>
    </w:p>
    <w:p w:rsidR="006240EA" w:rsidRDefault="00BF5CC7">
      <w:pPr>
        <w:pStyle w:val="TableCaption"/>
      </w:pPr>
      <w:r>
        <w:t>Table 2: Management objectives and desc</w:t>
      </w:r>
      <w:r>
        <w:t>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6240EA" w:rsidTr="006240EA">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6240EA" w:rsidTr="006240EA">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6240EA" w:rsidTr="006240EA">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6240EA" w:rsidTr="006240EA">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rsidR="006240EA" w:rsidRDefault="00BF5CC7">
      <w:pPr>
        <w:pStyle w:val="Heading2"/>
      </w:pPr>
      <w:bookmarkStart w:id="12" w:name="objective-functions"/>
      <w:r>
        <w:rPr>
          <w:rStyle w:val="SectionNumber"/>
        </w:rPr>
        <w:lastRenderedPageBreak/>
        <w:t>3.1</w:t>
      </w:r>
      <w:r>
        <w:tab/>
        <w:t>Objective functions</w:t>
      </w:r>
    </w:p>
    <w:p w:rsidR="006240EA" w:rsidRDefault="00BF5CC7">
      <w:pPr>
        <w:pStyle w:val="Heading3"/>
      </w:pPr>
      <w:bookmarkStart w:id="13" w:name="hydrologic-benefit-function"/>
      <w:r>
        <w:rPr>
          <w:rStyle w:val="SectionNumber"/>
        </w:rPr>
        <w:t>3.1.1</w:t>
      </w:r>
      <w:r>
        <w:tab/>
        <w:t>Hydrologic Benefit function</w:t>
      </w:r>
    </w:p>
    <w:p w:rsidR="006240EA" w:rsidRDefault="00BF5CC7">
      <w:pPr>
        <w:pStyle w:val="FirstParagraph"/>
      </w:pPr>
      <w:r>
        <w:t xml:space="preserve">In Chapter 1 of this dissertation, we showed that the degree to which the water year provided ecological </w:t>
      </w:r>
      <w:r>
        <w:t>services needed by coho salmon can be estimated using a Hydrologic Benefit (HB) function, which summarizes environmental flows in a single index value for a given water year. A set of streamflow metrics related to the timing, amplitude, and duration of flo</w:t>
      </w:r>
      <w:r>
        <w:t>w phenomena were weighted according to their power to predict salmon coho smolt production per female spawner. These weighted metrics are combined linearly to predict a value for coho salmon reproduction. See Chapter 1 for more details on these calculation</w:t>
      </w:r>
      <w:r>
        <w:t>s. Specifically, the HB function predicts a higher number of coho salmon produced per female spawner (coho smolts per female, or coho spf-equivalent) when fall flows rise above 10 and 100 cfs earlier in the fall, when the wet season onset is earlier, and w</w:t>
      </w:r>
      <w:r>
        <w:t>hen the wet season duration is longer. The equation to calculate the HB value for a given water year is as follows:</w:t>
      </w:r>
    </w:p>
    <w:p w:rsidR="006240EA" w:rsidRDefault="00BF5CC7">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wy</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metri</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wy</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m:t>
              </m:r>
            </m:sub>
          </m:sSub>
          <m:r>
            <m:rPr>
              <m:sty m:val="p"/>
            </m:rPr>
            <w:rPr>
              <w:rFonts w:ascii="Cambria Math" w:hAnsi="Cambria Math"/>
            </w:rPr>
            <m:t>*</m:t>
          </m:r>
          <m:r>
            <w:rPr>
              <w:rFonts w:ascii="Cambria Math" w:hAnsi="Cambria Math"/>
            </w:rPr>
            <m:t>metri</m:t>
          </m:r>
          <m:sSub>
            <m:sSubPr>
              <m:ctrlPr>
                <w:rPr>
                  <w:rFonts w:ascii="Cambria Math" w:hAnsi="Cambria Math"/>
                </w:rPr>
              </m:ctrlPr>
            </m:sSubPr>
            <m:e>
              <m:r>
                <w:rPr>
                  <w:rFonts w:ascii="Cambria Math" w:hAnsi="Cambria Math"/>
                </w:rPr>
                <m:t>c</m:t>
              </m:r>
            </m:e>
            <m:sub>
              <m:r>
                <w:rPr>
                  <w:rFonts w:ascii="Cambria Math" w:hAnsi="Cambria Math"/>
                </w:rPr>
                <m:t>4</m:t>
              </m:r>
              <m:r>
                <m:rPr>
                  <m:sty m:val="p"/>
                </m:rPr>
                <w:rPr>
                  <w:rFonts w:ascii="Cambria Math" w:hAnsi="Cambria Math"/>
                </w:rPr>
                <m:t>,</m:t>
              </m:r>
              <m:r>
                <w:rPr>
                  <w:rFonts w:ascii="Cambria Math" w:hAnsi="Cambria Math"/>
                </w:rPr>
                <m:t> </m:t>
              </m:r>
              <m:r>
                <w:rPr>
                  <w:rFonts w:ascii="Cambria Math" w:hAnsi="Cambria Math"/>
                </w:rPr>
                <m:t>wy</m:t>
              </m:r>
            </m:sub>
          </m:sSub>
        </m:oMath>
      </m:oMathPara>
    </w:p>
    <w:p w:rsidR="006240EA" w:rsidRDefault="00BF5CC7">
      <w:pPr>
        <w:pStyle w:val="FirstParagraph"/>
      </w:pPr>
      <w:r>
        <w:t>Where:</w:t>
      </w:r>
    </w:p>
    <w:p w:rsidR="006240EA" w:rsidRDefault="00BF5CC7">
      <w:pPr>
        <w:pStyle w:val="BodyText"/>
      </w:p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wy</m:t>
            </m:r>
          </m:sub>
        </m:sSub>
      </m:oMath>
      <w:r>
        <w:t xml:space="preserve"> </w:t>
      </w:r>
      <w:r>
        <w:t>is the Hydrologic Benefit value for a given water year (predicted coho spf or coho spf equivalent)</w:t>
      </w:r>
    </w:p>
    <w:p w:rsidR="006240EA" w:rsidRDefault="00BF5CC7">
      <w:pPr>
        <w:pStyle w:val="BodyText"/>
      </w:pPr>
      <m:oMath>
        <m:r>
          <w:rPr>
            <w:rFonts w:ascii="Cambria Math" w:hAnsi="Cambria Math"/>
          </w:rPr>
          <m:t>b</m:t>
        </m:r>
        <m:r>
          <m:rPr>
            <m:sty m:val="p"/>
          </m:rPr>
          <w:rPr>
            <w:rFonts w:ascii="Cambria Math" w:hAnsi="Cambria Math"/>
          </w:rPr>
          <m:t>=</m:t>
        </m:r>
        <m:r>
          <w:rPr>
            <w:rFonts w:ascii="Cambria Math" w:hAnsi="Cambria Math"/>
          </w:rPr>
          <m:t>87.4</m:t>
        </m:r>
      </m:oMath>
      <w:r>
        <w:t xml:space="preserve"> coho spf equiv.</w:t>
      </w:r>
    </w:p>
    <w:p w:rsidR="006240EA" w:rsidRDefault="00BF5CC7">
      <w:pPr>
        <w:pStyle w:val="BodyText"/>
      </w:pP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0.030</m:t>
        </m:r>
      </m:oMath>
      <w:r>
        <w:t xml:space="preserve"> coho spf equiv. per day of reconnection after Aug. 31 (100 cfs)</w:t>
      </w:r>
    </w:p>
    <w:p w:rsidR="006240EA" w:rsidRDefault="00BF5CC7">
      <w:pPr>
        <w:pStyle w:val="BodyText"/>
      </w:pP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0.365</m:t>
        </m:r>
      </m:oMath>
      <w:r>
        <w:t xml:space="preserve"> </w:t>
      </w:r>
      <w:r>
        <w:t>coho spf equiv. per day of reconnection after Aug. 31 (200 cfs)</w:t>
      </w:r>
    </w:p>
    <w:p w:rsidR="006240EA" w:rsidRDefault="00BF5CC7">
      <w:pPr>
        <w:pStyle w:val="BodyText"/>
      </w:pPr>
      <m:oMath>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r>
          <w:rPr>
            <w:rFonts w:ascii="Cambria Math" w:hAnsi="Cambria Math"/>
          </w:rPr>
          <m:t>0.033</m:t>
        </m:r>
      </m:oMath>
      <w:r>
        <w:t xml:space="preserve"> coho spf equiv. per day of disconnection after Aug. 31 (200 cfs)</w:t>
      </w:r>
    </w:p>
    <w:p w:rsidR="006240EA" w:rsidRDefault="00BF5CC7">
      <w:pPr>
        <w:pStyle w:val="BodyText"/>
      </w:pPr>
      <m:oMath>
        <m:sSub>
          <m:sSubPr>
            <m:ctrlPr>
              <w:rPr>
                <w:rFonts w:ascii="Cambria Math" w:hAnsi="Cambria Math"/>
              </w:rPr>
            </m:ctrlPr>
          </m:sSubPr>
          <m:e>
            <m:r>
              <w:rPr>
                <w:rFonts w:ascii="Cambria Math" w:hAnsi="Cambria Math"/>
              </w:rPr>
              <m:t>m</m:t>
            </m:r>
          </m:e>
          <m:sub>
            <m:r>
              <w:rPr>
                <w:rFonts w:ascii="Cambria Math" w:hAnsi="Cambria Math"/>
              </w:rPr>
              <m:t>4</m:t>
            </m:r>
          </m:sub>
        </m:sSub>
        <m:r>
          <m:rPr>
            <m:sty m:val="p"/>
          </m:rPr>
          <w:rPr>
            <w:rFonts w:ascii="Cambria Math" w:hAnsi="Cambria Math"/>
          </w:rPr>
          <m:t>=-</m:t>
        </m:r>
        <m:r>
          <w:rPr>
            <w:rFonts w:ascii="Cambria Math" w:hAnsi="Cambria Math"/>
          </w:rPr>
          <m:t>0.191</m:t>
        </m:r>
      </m:oMath>
      <w:r>
        <w:t xml:space="preserve"> coho spf equiv. per day of reconnection after Aug. 31 (8 cfs)</w:t>
      </w:r>
    </w:p>
    <w:p w:rsidR="006240EA" w:rsidRDefault="00BF5CC7">
      <w:pPr>
        <w:pStyle w:val="BodyText"/>
      </w:pPr>
      <m:oMath>
        <m:sSub>
          <m:sSubPr>
            <m:ctrlPr>
              <w:rPr>
                <w:rFonts w:ascii="Cambria Math" w:hAnsi="Cambria Math"/>
              </w:rPr>
            </m:ctrlPr>
          </m:sSubPr>
          <m:e>
            <m:r>
              <w:rPr>
                <w:rFonts w:ascii="Cambria Math" w:hAnsi="Cambria Math"/>
              </w:rPr>
              <m:t>m</m:t>
            </m:r>
          </m:e>
          <m:sub>
            <m:r>
              <w:rPr>
                <w:rFonts w:ascii="Cambria Math" w:hAnsi="Cambria Math"/>
              </w:rPr>
              <m:t>5</m:t>
            </m:r>
          </m:sub>
        </m:sSub>
        <m:r>
          <m:rPr>
            <m:sty m:val="p"/>
          </m:rPr>
          <w:rPr>
            <w:rFonts w:ascii="Cambria Math" w:hAnsi="Cambria Math"/>
          </w:rPr>
          <m:t>=-</m:t>
        </m:r>
        <m:r>
          <w:rPr>
            <w:rFonts w:ascii="Cambria Math" w:hAnsi="Cambria Math"/>
          </w:rPr>
          <m:t>0.004</m:t>
        </m:r>
      </m:oMath>
      <w:r>
        <w:t xml:space="preserve"> coho spf equiv. per cubic meter o</w:t>
      </w:r>
      <w:r>
        <w:t>f lower dry season flow magnitude</w:t>
      </w:r>
    </w:p>
    <w:p w:rsidR="006240EA" w:rsidRDefault="00BF5CC7">
      <w:pPr>
        <w:pStyle w:val="BodyText"/>
      </w:pPr>
      <w:r>
        <w:t>The HB function was formulated based on functional flow metrics of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One key result of the historical basecase scenario is a simulated estimate of the hist</w:t>
      </w:r>
      <w:r>
        <w: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xml:space="preserve"> somet</w:t>
      </w:r>
      <w:r>
        <w:t xml:space="preserve">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As a result of these differences, HB values calculated from flow metrics of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xml:space="preserve"> tend to be higher than HB values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by a mean of 4.5 coho spf-equiv.</w:t>
      </w:r>
    </w:p>
    <w:p w:rsidR="006240EA" w:rsidRDefault="00BF5CC7">
      <w:pPr>
        <w:pStyle w:val="BodyText"/>
      </w:pPr>
      <w:r>
        <w:t>To control for this</w:t>
      </w:r>
      <w:r>
        <w:t xml:space="preserve">,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m:t>
            </m:r>
            <m:r>
              <w:rPr>
                <w:rFonts w:ascii="Cambria Math" w:hAnsi="Cambria Math"/>
              </w:rPr>
              <m:t>basecase</m:t>
            </m:r>
          </m:sub>
        </m:sSub>
      </m:oMath>
      <w:r>
        <w:t>, making them directly comparable to HB values derived from the simulated FJ flow records in the hypothetical management scenarios.</w:t>
      </w:r>
    </w:p>
    <w:p w:rsidR="006240EA" w:rsidRDefault="00BF5CC7">
      <w:pPr>
        <w:pStyle w:val="Heading3"/>
      </w:pPr>
      <w:bookmarkStart w:id="14" w:name="Xb6ca5dd654202e76d1db9f1bc12c98cced9d6aa"/>
      <w:bookmarkEnd w:id="13"/>
      <w:r>
        <w:rPr>
          <w:rStyle w:val="SectionNumber"/>
        </w:rPr>
        <w:lastRenderedPageBreak/>
        <w:t>3.1.2</w:t>
      </w:r>
      <w:r>
        <w:tab/>
        <w:t>ET volume function (agricultu</w:t>
      </w:r>
      <w:r>
        <w:t>ral benefit proxy)</w:t>
      </w:r>
    </w:p>
    <w:p w:rsidR="006240EA" w:rsidRDefault="00BF5CC7">
      <w:pPr>
        <w:pStyle w:val="FirstParagraph"/>
      </w:pPr>
      <w:r>
        <w:t>The annual crop ET volume, which is explicitly simulated in the hydrologic model, is used here as a proxy for agricultural productivity. Other options for framing the agricultural water use objective function include crop yields and tota</w:t>
      </w:r>
      <w:r>
        <w:t>l revenue, which may be of greater concern to stakeholders; however, annual crop ET was selected because the impacts of reduced water availability on yield or revenue will likely vary by grower and over time.</w:t>
      </w:r>
    </w:p>
    <w:p w:rsidR="006240EA" w:rsidRDefault="00BF5CC7">
      <w:pPr>
        <w:pStyle w:val="BodyText"/>
      </w:pPr>
      <w:r>
        <w:t>Specifically, conversion of ET to yield or reve</w:t>
      </w:r>
      <w:r>
        <w:t>nue would introduce multiple uncertainties, such as those related to marginal crop production costs and available technology (Howitt 1995). In studies that do implement a water-to-yield or -revenue conversion, multi-year average values for per-acre yield a</w:t>
      </w:r>
      <w:r>
        <w:t>nd/or revenue are commonly used (e.g., Cole and Medellín-Azuara 2021 for the Scott Valley case), since those are typically the only values available. This approach is most valid when the marginal change in productivity is small relative to the average (How</w:t>
      </w:r>
      <w:r>
        <w:t>itt 1995). Additionally, average values cannot account for time-varying costs of a management action (e.g., the increase in cost of lettuce cultivation due to banning a certain pesticide is higher in some seasons than in others, as described in Sunding 199</w:t>
      </w:r>
      <w:r>
        <w:t>6).</w:t>
      </w:r>
    </w:p>
    <w:p w:rsidR="006240EA" w:rsidRDefault="00BF5CC7">
      <w:pPr>
        <w:pStyle w:val="BodyText"/>
      </w:pPr>
      <w:r>
        <w:t xml:space="preserve">Additionally, for alfalfa and pasture, which continue growing as long as water is available, a strong relationship between crop ET and yield is assumed (Carter and Sheaffer 1983). The assumption that crop ET is consistently related to yield or revenue </w:t>
      </w:r>
      <w:r>
        <w:t>breaks down for a management scenario that includes changing crops; this is explored further in the Discussion section. But on the merits of these options, annual crop ET was selected to represent agricultural benefit.</w:t>
      </w:r>
    </w:p>
    <w:p w:rsidR="006240EA" w:rsidRDefault="00BF5CC7">
      <w:pPr>
        <w:pStyle w:val="Heading3"/>
      </w:pPr>
      <w:bookmarkStart w:id="15" w:name="Xfd5664932b25b1108017cbc6e0e75c8014ecd36"/>
      <w:bookmarkEnd w:id="14"/>
      <w:r>
        <w:rPr>
          <w:rStyle w:val="SectionNumber"/>
        </w:rPr>
        <w:t>3.1.3</w:t>
      </w:r>
      <w:r>
        <w:tab/>
        <w:t>Proxy for scenario infrastructu</w:t>
      </w:r>
      <w:r>
        <w:t>re investment</w:t>
      </w:r>
    </w:p>
    <w:p w:rsidR="006240EA" w:rsidRDefault="00BF5CC7">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w:t>
      </w:r>
      <w:r>
        <w:t>ject feasibility and timeframe are as follows:</w:t>
      </w:r>
    </w:p>
    <w:p w:rsidR="006240EA" w:rsidRDefault="00BF5CC7">
      <w:pPr>
        <w:pStyle w:val="Compact"/>
        <w:numPr>
          <w:ilvl w:val="0"/>
          <w:numId w:val="4"/>
        </w:numPr>
      </w:pPr>
      <w:r>
        <w:t>No feasibility barriers (basecase; maintain current practices)</w:t>
      </w:r>
    </w:p>
    <w:p w:rsidR="006240EA" w:rsidRDefault="00BF5CC7">
      <w:pPr>
        <w:pStyle w:val="Compact"/>
        <w:numPr>
          <w:ilvl w:val="0"/>
          <w:numId w:val="4"/>
        </w:numPr>
      </w:pPr>
      <w:r>
        <w:t>Implementable with current infrastructure</w:t>
      </w:r>
    </w:p>
    <w:p w:rsidR="006240EA" w:rsidRDefault="00BF5CC7">
      <w:pPr>
        <w:pStyle w:val="Compact"/>
        <w:numPr>
          <w:ilvl w:val="0"/>
          <w:numId w:val="4"/>
        </w:numPr>
      </w:pPr>
      <w:r>
        <w:t>Requires new infrastructure that would take 1-2 years to build</w:t>
      </w:r>
    </w:p>
    <w:p w:rsidR="006240EA" w:rsidRDefault="00BF5CC7">
      <w:pPr>
        <w:pStyle w:val="Compact"/>
        <w:numPr>
          <w:ilvl w:val="0"/>
          <w:numId w:val="4"/>
        </w:numPr>
      </w:pPr>
      <w:r>
        <w:t>Requires new infrastructure that would ta</w:t>
      </w:r>
      <w:r>
        <w:t>ke 3-5 years to build</w:t>
      </w:r>
    </w:p>
    <w:p w:rsidR="006240EA" w:rsidRDefault="00BF5CC7">
      <w:pPr>
        <w:pStyle w:val="Compact"/>
        <w:numPr>
          <w:ilvl w:val="0"/>
          <w:numId w:val="4"/>
        </w:numPr>
      </w:pPr>
      <w:r>
        <w:t>Requires new infrastructure that would take 5+ years to build</w:t>
      </w:r>
    </w:p>
    <w:p w:rsidR="006240EA" w:rsidRDefault="00BF5CC7">
      <w:pPr>
        <w:pStyle w:val="FirstParagraph"/>
      </w:pPr>
      <w:r>
        <w:t xml:space="preserve">This reflects the first-order understanding that, for example, building a reservoir (assigned to category 4) will take more effort and resources in terms of permitting and </w:t>
      </w:r>
      <w:r>
        <w:t>construction than widespread installation of highly efficient irrigation systems (assigned to category 2). See Table 4 for full list of assigned categories.</w:t>
      </w:r>
    </w:p>
    <w:p w:rsidR="006240EA" w:rsidRDefault="00BF5CC7">
      <w:pPr>
        <w:pStyle w:val="Heading2"/>
      </w:pPr>
      <w:bookmarkStart w:id="16" w:name="analyses-of-objective-function-values"/>
      <w:bookmarkEnd w:id="12"/>
      <w:bookmarkEnd w:id="15"/>
      <w:r>
        <w:rPr>
          <w:rStyle w:val="SectionNumber"/>
        </w:rPr>
        <w:lastRenderedPageBreak/>
        <w:t>3.2</w:t>
      </w:r>
      <w:r>
        <w:tab/>
        <w:t>Analyses of objective function values</w:t>
      </w:r>
    </w:p>
    <w:p w:rsidR="006240EA" w:rsidRDefault="00BF5CC7">
      <w:pPr>
        <w:pStyle w:val="Heading3"/>
      </w:pPr>
      <w:bookmarkStart w:id="17" w:name="trade-off-efficiency-and-low-coho-years"/>
      <w:r>
        <w:rPr>
          <w:rStyle w:val="SectionNumber"/>
        </w:rPr>
        <w:t>3.2.1</w:t>
      </w:r>
      <w:r>
        <w:tab/>
        <w:t>Trade-off efficiency and “low-coho” years</w:t>
      </w:r>
    </w:p>
    <w:p w:rsidR="006240EA" w:rsidRDefault="00BF5CC7">
      <w:pPr>
        <w:pStyle w:val="FirstParagraph"/>
      </w:pPr>
      <w:r>
        <w:t>As discus</w:t>
      </w:r>
      <w:r>
        <w:t>sed previously, balancing agricultural and environmental water demands in this watershed typically takes the form of seeking management actions that can improve flow conditions while minimizing the resulting reduction in agricultural water availability. Th</w:t>
      </w:r>
      <w:r>
        <w:t>ese objectives are non-commensurable (i.e., an estimated level of fish reproduction cannot be converted into units of agricultural productivity), making an explicit quantification and consideration of benefit trade-offs a critical feature of this decision-</w:t>
      </w:r>
      <w:r>
        <w:t>support analysis (Cohon and Marks 1975). Environmental benefits are less commonly quantified than agricultural costs (e.g., Sunding 1996, which assessed numerical costs of a management action and assumed qualitative environmental/human health benefits), bu</w:t>
      </w:r>
      <w:r>
        <w:t>t the HB function makes this trade-off quantification possible in the Scott Valley case.</w:t>
      </w:r>
    </w:p>
    <w:p w:rsidR="006240EA" w:rsidRDefault="00BF5CC7">
      <w:pPr>
        <w:pStyle w:val="BodyText"/>
      </w:pPr>
      <w:r>
        <w:t>For this analysis, which is not intended to identify one “best” or optimal solution, these trade-offs can be considered using scenario objective value differences rela</w:t>
      </w:r>
      <w:r>
        <w:t>tive to their basecase (historical simulated) values. We will call this quantity the “trade-off efficiency” of a management scenario. For a given scenario, the trade-off efficiency, or Eff</w:t>
      </w:r>
      <w:r>
        <w:rPr>
          <w:vertAlign w:val="subscript"/>
        </w:rPr>
        <w:t>scen</w:t>
      </w:r>
      <w:r>
        <w:t>, is unitless (i.e., it has units of coho spf-equiv. per coho sp</w:t>
      </w:r>
      <w:r>
        <w:t>f-equiv. / million m</w:t>
      </w:r>
      <w:r>
        <w:rPr>
          <w:vertAlign w:val="superscript"/>
        </w:rPr>
        <w:t>3</w:t>
      </w:r>
      <w:r>
        <w:t xml:space="preserve"> per million m</w:t>
      </w:r>
      <w:r>
        <w:rPr>
          <w:vertAlign w:val="superscript"/>
        </w:rPr>
        <w:t>3</w:t>
      </w:r>
      <w:r>
        <w:t>), as shown in the formula below.</w:t>
      </w:r>
    </w:p>
    <w:p w:rsidR="006240EA" w:rsidRDefault="00BF5CC7">
      <w:pPr>
        <w:pStyle w:val="BodyText"/>
      </w:pPr>
      <w:r>
        <w:t>An efficiency for a subset of years can be calculated by averaging the efficiency values over that set of water years only. The set of years with low basecase HB values (operationally de</w:t>
      </w:r>
      <w:r>
        <w:t>fined as values lower than 45 coho spf-equivalent, composed of 1993, 1995, 2002, and 2014-16) is relevant to water managers (see Discussion), and is henceforth referred to as the set of “low-coho” years. A low-coho year efficiency was calculated in additio</w:t>
      </w:r>
      <w:r>
        <w:t>n to the efficiencies averaged over all water years.</w:t>
      </w:r>
    </w:p>
    <w:p w:rsidR="006240EA" w:rsidRDefault="00BF5CC7">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rsidR="006240EA" w:rsidRDefault="00BF5CC7">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m:t>
              </m:r>
              <m:r>
                <w:rPr>
                  <w:rFonts w:ascii="Cambria Math" w:hAnsi="Cambria Math"/>
                </w:rPr>
                <m:t> </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rsidR="006240EA" w:rsidRDefault="00BF5CC7">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m:t>
                  </m:r>
                  <m:r>
                    <w:rPr>
                      <w:rFonts w:ascii="Cambria Math" w:hAnsi="Cambria Math"/>
                    </w:rPr>
                    <m:t>basecase</m:t>
                  </m:r>
                </m:sub>
              </m:sSub>
            </m:den>
          </m:f>
        </m:oMath>
      </m:oMathPara>
    </w:p>
    <w:p w:rsidR="006240EA" w:rsidRDefault="00BF5CC7">
      <w:pPr>
        <w:pStyle w:val="Heading3"/>
      </w:pPr>
      <w:bookmarkStart w:id="18" w:name="pareto-optimal-set-of-management-actions"/>
      <w:bookmarkEnd w:id="17"/>
      <w:r>
        <w:rPr>
          <w:rStyle w:val="SectionNumber"/>
        </w:rPr>
        <w:t>3.2.2</w:t>
      </w:r>
      <w:r>
        <w:tab/>
        <w:t>Pareto-optimal set of management actions</w:t>
      </w:r>
    </w:p>
    <w:p w:rsidR="006240EA" w:rsidRDefault="00BF5CC7">
      <w:pPr>
        <w:pStyle w:val="FirstParagraph"/>
      </w:pPr>
      <w:r>
        <w:t xml:space="preserve">After calculating the objective function values for each scenario, we applied a simple algorithm to identify the Pareto-optimal </w:t>
      </w:r>
      <w:r>
        <w:t xml:space="preserve">set of scenarios (Pareto 1896). A scenario was identified as Pareto-optimal if there were no other scenarios that performed better in two or more objectives. In other words, the Pareto-optimal set is the collection of scenarios in which it is not possible </w:t>
      </w:r>
      <w:r>
        <w:t xml:space="preserve">to improve on one objective without reducing performance in </w:t>
      </w:r>
      <w:r>
        <w:lastRenderedPageBreak/>
        <w:t>another objective. By definition, this set cannot identify a single best scenario or evaluate trade-offs between objectives; we use it here to identify obviously suboptimal scenarios.</w:t>
      </w:r>
    </w:p>
    <w:p w:rsidR="006240EA" w:rsidRDefault="00BF5CC7">
      <w:pPr>
        <w:pStyle w:val="BodyText"/>
      </w:pPr>
      <w:r>
        <w:t>For example,</w:t>
      </w:r>
      <w:r>
        <w:t xml:space="preserve"> the objective function values for the scenario simulating managed aquifer recharge and in-lieu recharge (MAR and ILR, or scenario identifier </w:t>
      </w:r>
      <w:r>
        <w:rPr>
          <w:rStyle w:val="VerbatimChar"/>
        </w:rPr>
        <w:t>mar_ilr</w:t>
      </w:r>
      <w:r>
        <w:t>) are 76.1 predicted coho smolts per female equivalent (HB value), 111.0 million m</w:t>
      </w:r>
      <w:r>
        <w:rPr>
          <w:vertAlign w:val="superscript"/>
        </w:rPr>
        <w:t>3</w:t>
      </w:r>
      <w:r>
        <w:t xml:space="preserve"> of crop ET, and infrast</w:t>
      </w:r>
      <w:r>
        <w:t xml:space="preserve">ructure category 3. Most scenarios (33) have a higher HB value than </w:t>
      </w:r>
      <w:r>
        <w:rPr>
          <w:rStyle w:val="VerbatimChar"/>
        </w:rPr>
        <w:t>mar_ilr</w:t>
      </w:r>
      <w:r>
        <w:t xml:space="preserve">, but only eight have a higher ET value. Only the reservoir scenarios show up in both sets, with higher ET and higher HB value than </w:t>
      </w:r>
      <w:r>
        <w:rPr>
          <w:rStyle w:val="VerbatimChar"/>
        </w:rPr>
        <w:t>mar_ilr</w:t>
      </w:r>
      <w:r>
        <w:t>. However, the reservoir scenarios are mor</w:t>
      </w:r>
      <w:r>
        <w:t xml:space="preserve">e difficult to implement, so any of those scenarios would have less desirable performance on the infrastructure objective. Consequently, since no scenarios perform better than </w:t>
      </w:r>
      <w:r>
        <w:rPr>
          <w:rStyle w:val="VerbatimChar"/>
        </w:rPr>
        <w:t>mar_ilr</w:t>
      </w:r>
      <w:r>
        <w:t xml:space="preserve"> in more than one objective, it must be included in the Pareto-optimal se</w:t>
      </w:r>
      <w:r>
        <w:t>t.</w:t>
      </w:r>
    </w:p>
    <w:p w:rsidR="006240EA" w:rsidRDefault="00BF5CC7">
      <w:pPr>
        <w:pStyle w:val="Heading2"/>
      </w:pPr>
      <w:bookmarkStart w:id="19" w:name="scenario-descriptions"/>
      <w:bookmarkEnd w:id="16"/>
      <w:bookmarkEnd w:id="18"/>
      <w:r>
        <w:rPr>
          <w:rStyle w:val="SectionNumber"/>
        </w:rPr>
        <w:t>3.3</w:t>
      </w:r>
      <w:r>
        <w:tab/>
        <w:t>Scenario descriptions</w:t>
      </w:r>
    </w:p>
    <w:p w:rsidR="006240EA" w:rsidRDefault="00BF5CC7">
      <w:pPr>
        <w:pStyle w:val="FirstParagraph"/>
      </w:pPr>
      <w:r>
        <w:t>For the Scott Valley GSP, this study simulated 64 management action scenarios, compared to between one and five scenarios modeled in most other California GSPs (e.g., FCGMA 2019; YSGA 2022). This high number of scenarios was po</w:t>
      </w:r>
      <w:r>
        <w:t>ssible because the SVIHM had been under development for 8 years prior to the start of GSP work (e.g., Foglia et al. 2013; Tolley, Foglia, and Harter 2019), and cost-effective technical support was provided by graduate students at the University of Californ</w:t>
      </w:r>
      <w:r>
        <w:t>ia, Davis. Of the 64 scenarios, only 40 are considered here. Several were ruled out as obviously unfeasible (e.g., construction of a 134 thousand acre-foot reservoir to ensure 100% flow reliability even during severe drought, in an area with topography tha</w:t>
      </w:r>
      <w:r>
        <w:t>t could not support such a large capacity), and some were excluded because they are largely redundant with some of the 40 considered here.</w:t>
      </w:r>
    </w:p>
    <w:p w:rsidR="006240EA" w:rsidRDefault="00BF5CC7">
      <w:pPr>
        <w:pStyle w:val="BodyText"/>
      </w:pPr>
      <w:r>
        <w:t>The scenarios are grouped here by category (Table 3). Within each category various details were altered (e.g., an alf</w:t>
      </w:r>
      <w:r>
        <w:t xml:space="preserve">alfa irrigation cessation date of July 10 versus August 15, or an assumed crop water consumption of 80% versus 90% of historical). See </w:t>
      </w:r>
      <w:r>
        <w:rPr>
          <w:i/>
          <w:iCs/>
        </w:rPr>
        <w:t>Chapter 2 Supplement</w:t>
      </w:r>
      <w:r>
        <w:t xml:space="preserve"> for more detailed scenario descriptions.</w:t>
      </w:r>
    </w:p>
    <w:p w:rsidR="006240EA" w:rsidRDefault="00BF5CC7">
      <w:pPr>
        <w:pStyle w:val="TableCaption"/>
      </w:pPr>
      <w:r>
        <w:t>Table 3: Management scenario categories (abbreviated), a ge</w:t>
      </w:r>
      <w:r>
        <w:t>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160"/>
        <w:gridCol w:w="1152"/>
        <w:gridCol w:w="1152"/>
        <w:gridCol w:w="2160"/>
      </w:tblGrid>
      <w:tr w:rsidR="006240EA" w:rsidTr="006240EA">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6240EA" w:rsidTr="006240EA">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EnhRchEx</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Expanded 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Res</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(lower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6240EA" w:rsidTr="006240EA">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6240EA" w:rsidTr="006240EA">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NatVegET</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(higher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6</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rsidR="006240EA" w:rsidRDefault="00BF5CC7">
      <w:pPr>
        <w:pStyle w:val="Heading2"/>
      </w:pPr>
      <w:bookmarkStart w:id="20" w:name="results"/>
      <w:bookmarkEnd w:id="19"/>
      <w:r>
        <w:rPr>
          <w:rStyle w:val="SectionNumber"/>
        </w:rPr>
        <w:t>3.4</w:t>
      </w:r>
      <w:r>
        <w:tab/>
        <w:t>Results</w:t>
      </w:r>
    </w:p>
    <w:p w:rsidR="006240EA" w:rsidRDefault="00BF5CC7">
      <w:pPr>
        <w:pStyle w:val="FirstParagraph"/>
      </w:pPr>
      <w:r>
        <w:t>As described above, objective functions were used to quantitatively summarize the achievement of environmental and agricultural goals for the basecase and 39 management scenarios. A Hydrologic Benefit (HB) value (in units of predicted coho smolt production</w:t>
      </w:r>
      <w:r>
        <w:t xml:space="preserve"> per spawning female, or coho spf-equivalent) and a total crop ET volume was calculated for each water year in the 28-year simulation period, for each scenario. Each scenario has also been given an infrastructure feasibility proxy (Table 4).</w:t>
      </w:r>
    </w:p>
    <w:p w:rsidR="006240EA" w:rsidRDefault="00BF5CC7">
      <w:pPr>
        <w:pStyle w:val="Heading3"/>
      </w:pPr>
      <w:bookmarkStart w:id="21" w:name="X7919b09686293416b4bcb59483f48ae87a57064"/>
      <w:r>
        <w:rPr>
          <w:rStyle w:val="SectionNumber"/>
        </w:rPr>
        <w:lastRenderedPageBreak/>
        <w:t>3.4.1</w:t>
      </w:r>
      <w:r>
        <w:tab/>
        <w:t>Environm</w:t>
      </w:r>
      <w:r>
        <w:t>ental and agricultural objective function values</w:t>
      </w:r>
    </w:p>
    <w:p w:rsidR="006240EA" w:rsidRDefault="00BF5CC7">
      <w:pPr>
        <w:pStyle w:val="CaptionedFigure"/>
      </w:pPr>
      <w:r>
        <w:rPr>
          <w:noProof/>
        </w:rPr>
        <w:drawing>
          <wp:inline distT="0" distB="0" distL="0" distR="0">
            <wp:extent cx="5334000" cy="5334000"/>
            <wp:effectExtent l="0" t="0" r="0" b="0"/>
            <wp:docPr id="51" name="Picture" descr="Figure 5:  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
            <wp:cNvGraphicFramePr/>
            <a:graphic xmlns:a="http://schemas.openxmlformats.org/drawingml/2006/main">
              <a:graphicData uri="http://schemas.openxmlformats.org/drawingml/2006/picture">
                <pic:pic xmlns:pic="http://schemas.openxmlformats.org/drawingml/2006/picture">
                  <pic:nvPicPr>
                    <pic:cNvPr id="52" name="Picture" descr="Graphics%20and%20Supplements/Figure%204.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rsidR="006240EA" w:rsidRDefault="00BF5CC7">
      <w:pPr>
        <w:pStyle w:val="ImageCaption"/>
      </w:pPr>
      <w:r>
        <w:t>Figure 5:  Comparison of annual performance in two objective functions (HB and ET, representing environmental and agricultural objectives, respectively), in the basecase (black circles) and management scen</w:t>
      </w:r>
      <w:r>
        <w:t>arios (diamond, cross or x symbols) for water years 1991-2018. Panels A and B show comparisons between basecase and one example scenario in each of three categories: Enhanced Recharge, Low Flow Diversion Limits, and Curtailment. Panels C and D show compari</w:t>
      </w:r>
      <w:r>
        <w:t>sons between basecase and different cutoff dates within the Alfalfa Irrigation category: July 10th, August 1st and August 15th. Dry-type water years (vertical bars) are 1991, ’92, ’94, 2001, ’09, ’13, ’14, and ’18.</w:t>
      </w:r>
    </w:p>
    <w:p w:rsidR="006240EA" w:rsidRDefault="00BF5CC7">
      <w:pPr>
        <w:pStyle w:val="CaptionedFigure"/>
      </w:pPr>
      <w:r>
        <w:rPr>
          <w:noProof/>
        </w:rPr>
        <w:lastRenderedPageBreak/>
        <w:drawing>
          <wp:inline distT="0" distB="0" distL="0" distR="0">
            <wp:extent cx="5334000" cy="5334000"/>
            <wp:effectExtent l="0" t="0" r="0" b="0"/>
            <wp:docPr id="54" name="Picture"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55" name="Picture" descr="Graphics%20and%20Supplements/Figure%205.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rsidR="006240EA" w:rsidRDefault="00BF5CC7">
      <w:pPr>
        <w:pStyle w:val="ImageCaption"/>
      </w:pPr>
      <w:r>
        <w:t>Figure 6:  Environmental and agricultur</w:t>
      </w:r>
      <w:r>
        <w:t>al objective function performance (in terms of Hydrologic Benefit, or HB, value; and crop ET volume) for basecase (black circle in upper left) and 39 management scenarios. Symbol x and y coordinates are the average of 28 annual HB and ET values for each sc</w:t>
      </w:r>
      <w:r>
        <w:t>enario over the full model period (water years 1991-2018). Whiskers show standard error of the 28 years of annual HB values; standard errors in the direction of the y-axis are smaller than the height covered by each symbol.</w:t>
      </w:r>
    </w:p>
    <w:p w:rsidR="006240EA" w:rsidRDefault="00BF5CC7">
      <w:pPr>
        <w:pStyle w:val="BodyText"/>
      </w:pPr>
      <w:r>
        <w:t xml:space="preserve">The aggregate hydrologic impact </w:t>
      </w:r>
      <w:r>
        <w:t>of each management scenario can be compared against the historical basecase using the annual objective function values over the full 28-year record (e.g., Figure 5) or using the 28-year mean values for each scenario (Figure 6; Table 4). In the basecase sce</w:t>
      </w:r>
      <w:r>
        <w:t>nario, the 28-year mean annual ET volume is 111 million m</w:t>
      </w:r>
      <w:r>
        <w:rPr>
          <w:vertAlign w:val="superscript"/>
        </w:rPr>
        <w:t>3</w:t>
      </w:r>
      <w:r>
        <w:t xml:space="preserve"> of water, and the 28-year mean of annual HB values is 55.9 coho spf-equivalent (Table 4). Annual ET volume is relatively stable over the model period of water years 1991-2018, while annual HB value</w:t>
      </w:r>
      <w:r>
        <w:t xml:space="preserve">s are much more variable (Figure 5). Among the 39 management </w:t>
      </w:r>
      <w:r>
        <w:lastRenderedPageBreak/>
        <w:t>scenarios, mean ET values ranged from 0 to 112 million m</w:t>
      </w:r>
      <w:r>
        <w:rPr>
          <w:vertAlign w:val="superscript"/>
        </w:rPr>
        <w:t>3</w:t>
      </w:r>
      <w:r>
        <w:t xml:space="preserve"> of water, while HB values ranged from 56 to 66.5 coho spf-equivalent.</w:t>
      </w:r>
    </w:p>
    <w:p w:rsidR="006240EA" w:rsidRDefault="00BF5CC7">
      <w:pPr>
        <w:pStyle w:val="BodyText"/>
      </w:pPr>
      <w:r>
        <w:t xml:space="preserve">Four scenario categories fall in a cluster with relatively high ET </w:t>
      </w:r>
      <w:r>
        <w:t>values, indicating that these scenarios conserve nearly all the basecase economic benefits for local growers: Enhanced Recharge, Expanded Enhanced Recharge, Irrigation Efficiency, and Small Reservoir (Figure 6). The scenarios in this group all require some</w:t>
      </w:r>
      <w:r>
        <w:t xml:space="preserve"> degree of infrastructure investment, and they have a minimal impact on crop ET: the mean ET values of scenarios in this cluster are 109 to 112 million m</w:t>
      </w:r>
      <w:r>
        <w:rPr>
          <w:vertAlign w:val="superscript"/>
        </w:rPr>
        <w:t>3</w:t>
      </w:r>
      <w:r>
        <w:t>, or 2 percent less to 0.6 percent more than basecase. Their mean improvement in HB values over the ba</w:t>
      </w:r>
      <w:r>
        <w:t>secase ranges from 0 to 2 coho spf-equivalent.</w:t>
      </w:r>
    </w:p>
    <w:p w:rsidR="006240EA" w:rsidRDefault="00BF5CC7">
      <w:pPr>
        <w:pStyle w:val="BodyText"/>
      </w:pPr>
      <w:r>
        <w:t>The mean ET volumes of the two Crop Change scenarios fall below those in the aforementioned cluster, with 90 and 101 million m</w:t>
      </w:r>
      <w:r>
        <w:rPr>
          <w:vertAlign w:val="superscript"/>
        </w:rPr>
        <w:t>3</w:t>
      </w:r>
      <w:r>
        <w:t>, while HB values are 57.5 and 56.9 respectively (Figure 6). In these scenarios, e</w:t>
      </w:r>
      <w:r>
        <w:t>xisting crop coefficients are multiplied by a factor of 0.8 or 0.9; conceptually, this would involve replacing all existing irrigated acreage with unspecified crops which had a designated 80% and 90% of historical ET demand. As discussed later, in this sce</w:t>
      </w:r>
      <w:r>
        <w:t>nario the relationship between water use and revenue may be distinctly different from that of alfalfa and pasture, so the actual “farmer benefit” may be higher or lower than this proxy suggests.</w:t>
      </w:r>
    </w:p>
    <w:p w:rsidR="006240EA" w:rsidRDefault="00BF5CC7">
      <w:pPr>
        <w:pStyle w:val="BodyText"/>
      </w:pPr>
      <w:r>
        <w:t xml:space="preserve">Two regulatory management categories, Alfalfa Irrigation and </w:t>
      </w:r>
      <w:r>
        <w:t>Curtailment, involve irrigation schedule changes, and result in a range of reductions in applied irrigation volume, depending on the date of intervention. The scenarios in these categories trace two trade-off arcs in average HB-ET space (Figure 6). The fir</w:t>
      </w:r>
      <w:r>
        <w:t>st category, early cessation of alfalfa irrigation (during all or only dry water years), is intended to simulate growers harvesting two cuttings only (i.e., one or two fewer cuttings than current) in a given year. This was simulated by ceasing alfalfa irri</w:t>
      </w:r>
      <w:r>
        <w:t>gation earlier in the growing season (with cutoff dates on July 10, August 1 and August 15) than the basecase default date of Sept. 1. (The Sept. 1 cutoff date assumes that growers obtain three cuttings, but does not incorporate the known small number of g</w:t>
      </w:r>
      <w:r>
        <w:t>rowers which occasionally irrigate longer to obtain a fourth cutting.) Alfalfa acreage is concentrated near the Scott River channel, much of it in the Adjudicated Zone (Figure 1), with predominately groundwater irrigation sources. The second regulatory cat</w:t>
      </w:r>
      <w:r>
        <w:t>egory, Curtailment of all irrigation starting on a range of dates (June 1st through August 15th), represent book-end scenario simulations to approximate regulatory actions proposed by state resource management agencies in response to extreme drought condit</w:t>
      </w:r>
      <w:r>
        <w:t>ions (CDFW 2021). The mean ET values of scenarios in these two categories are 34 to 111 million m</w:t>
      </w:r>
      <w:r>
        <w:rPr>
          <w:vertAlign w:val="superscript"/>
        </w:rPr>
        <w:t>3</w:t>
      </w:r>
      <w:r>
        <w:t>, or 69 to 0.3 percent less than basecase; HB gains over basecase are 1 to 11 coho spf-equivalent.</w:t>
      </w:r>
    </w:p>
    <w:p w:rsidR="006240EA" w:rsidRDefault="00BF5CC7">
      <w:pPr>
        <w:pStyle w:val="BodyText"/>
      </w:pPr>
      <w:r>
        <w:t>The third regulatory category, Low Flow Diversion Limits, r</w:t>
      </w:r>
      <w:r>
        <w:t>egulates surface water diversion for irrigation, and contains only one scenario (Figure 6). Among all scenarios, it is the only scenario that focuses solely on management of surface water diversions for irrigation. It assumes the FJ Gauge flowrate is repre</w:t>
      </w:r>
      <w:r>
        <w:t>sentative of watershed conditions, and limits diversions of surface water from all tributaries on days when the FJ Gauge flowrate falls below a recently proposed instream flow regime that is considered to be protective of anadromous fish in the Scott River</w:t>
      </w:r>
      <w:r>
        <w:t xml:space="preserve"> (CDFW 2017). Under this Low Flow Diversion Limits </w:t>
      </w:r>
      <w:r>
        <w:lastRenderedPageBreak/>
        <w:t>scenario, the mean crop ET volume is 6 million m</w:t>
      </w:r>
      <w:r>
        <w:rPr>
          <w:vertAlign w:val="superscript"/>
        </w:rPr>
        <w:t>3</w:t>
      </w:r>
      <w:r>
        <w:t xml:space="preserve"> (~6%) less than basecase, while the mean HB value is 2 coho spf-equivalent greater than basecase.</w:t>
      </w:r>
    </w:p>
    <w:p w:rsidR="006240EA" w:rsidRDefault="00BF5CC7">
      <w:pPr>
        <w:pStyle w:val="BodyText"/>
      </w:pPr>
      <w:r>
        <w:t>The remaining two categories, abbreviated as “NatVeg” and</w:t>
      </w:r>
      <w:r>
        <w:t xml:space="preserve"> “NatVegET”, relate to land cover type and are not proposed as management actions. Rather, these provide reference scenarios for conditions in some or all parts of the valley that could be considered to stand in for undefined “pre-historic”, “unimpaired”, </w:t>
      </w:r>
      <w:r>
        <w:t>or “conservation” conditions. They involve simulating native vegetation in place of irrigated acreage, and were designed to estimate the streamflow depletion attributable to agricultural water use in different areas of Scott Valley. These scenarios produce</w:t>
      </w:r>
      <w:r>
        <w:t xml:space="preserve"> substantial HB gains at a high ET cost relative to basecase (Figure 6).</w:t>
      </w:r>
    </w:p>
    <w:p w:rsidR="006240EA" w:rsidRDefault="00BF5CC7">
      <w:pPr>
        <w:pStyle w:val="BodyText"/>
      </w:pPr>
      <w:r>
        <w:t>The key geographic feature in the NatVeg and NatVegET scenarios is the “Interconnected Zone” in the 1980 Scott Valley surface water adjudication (Superior Court of Siskiyou County 198</w:t>
      </w:r>
      <w:r>
        <w:t>0), referred to here as the “adjudicated zone” of groundwater pumping (Figure 1), and the six scenarios in each category represent the cessation of all irrigation or the cessation of only groundwater pumping in three spatial configurations: within the adju</w:t>
      </w:r>
      <w:r>
        <w:t>dicated zone, outside of the adjudicated zone, or in both areas. All areas where irrigation or pumping is turned off are assumed to return to (unirrigated) native vegetation.</w:t>
      </w:r>
    </w:p>
    <w:p w:rsidR="006240EA" w:rsidRDefault="00BF5CC7">
      <w:pPr>
        <w:pStyle w:val="BodyText"/>
      </w:pPr>
      <w:r>
        <w:t>On average, area-normalized ET from native vegetation is 45 cm/year (56% of avera</w:t>
      </w:r>
      <w:r>
        <w:t xml:space="preserve">ge annual crop ET). Simulating native vegetation in place of irrigated acreage results in a greater proportion of water leaving the SVIHM model domain via surface flows rather than as transpiration. Consequently the NatVeg and NatVeg ET scenarios generate </w:t>
      </w:r>
      <w:r>
        <w:t>higher simulated FJ streamflow in most months of the model period. The first category (NatVeg) assumes a native vegetation crop coefficient of 0.6, while the second category (NatVegET) assumes a native vegetation crop coefficient of 1.0 and a maximum rooti</w:t>
      </w:r>
      <w:r>
        <w:t xml:space="preserve">ng depth of 4.5 m. The first category could be interpreted as chaparral or sage scrub-type vegetation cover, while the second category could represent a mixed bunchgrass and clover prairie with extensive riparian vegetation corridors and wetlands. (See </w:t>
      </w:r>
      <w:r>
        <w:rPr>
          <w:i/>
          <w:iCs/>
        </w:rPr>
        <w:t>Sup</w:t>
      </w:r>
      <w:r>
        <w:rPr>
          <w:i/>
          <w:iCs/>
        </w:rPr>
        <w:t>plemental Material</w:t>
      </w:r>
      <w:r>
        <w:t xml:space="preserve"> for more details on this scenario design.)</w:t>
      </w:r>
    </w:p>
    <w:p w:rsidR="006240EA" w:rsidRDefault="00BF5CC7">
      <w:pPr>
        <w:pStyle w:val="TableCaption"/>
      </w:pPr>
      <w:r>
        <w:t>Table 4: Scenario attributes for 40 scenarios. Units for Hydrologic Benefit (HB) value are coho smolt per female-equivalent; for ET are million cubic meters; both are averages of 28 annual value</w:t>
      </w:r>
      <w:r>
        <w:t>s. Efficiency not calculated for scenarios with no average ET loss. (L-C) indicates the efficiency is averaged over the six low-coho years that occurred within that period, rather than the full model period 1991-2018.</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gridCol w:w="1152"/>
      </w:tblGrid>
      <w:tr w:rsidR="006240EA" w:rsidTr="006240EA">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 (L-C)</w:t>
            </w:r>
          </w:p>
        </w:tc>
      </w:tr>
      <w:tr w:rsidR="006240EA" w:rsidTr="006240EA">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55.9</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111.49</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111.51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ilr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110.97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mar_ilr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110.99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1.3</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mar_ilr_max_0.003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EnhRchEx</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110.80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3.4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mar_ilr_max_0.019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EnhRchEx</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110.80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mar_ilr_max_0.035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EnhRchEx</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110.80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4.7</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irr_eff_improve_0.1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110.71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irr_eff_improve_0.2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109.43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111.53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111.53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111.49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reservoir_sfork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112.12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reservoir_etna_29kAF</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111.54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irrig_0.8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90.47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irrig_0.9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101.10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alf_irr_stop_jul10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101.58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alf_irr_stop_aug01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alf_irr_stop_aug01_dry_yrs_only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110.45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0.8</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alf_irr_stop_aug15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1.3</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alf_irr_stop_aug15_dry_yrs_only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111.11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3.8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curtail_start_jun01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curtail_start_jun15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65.8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43.22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curtail_start_jul01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53.39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curtail_start_jul15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62.7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63.09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curtail_start_aug01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74.31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curtail_start_aug15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82.17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105.02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natveg_gwmixed_all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25.14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natveg_inside_adj</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68.33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natveg_gwmixed_inside_adj</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71.40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natveg_outside_adj</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43.62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natveg_gwmixed_outside_adj</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65.21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natveg_all_et_check_1.0nvkc_4.5m_ext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NatVegET</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natveg_gwmixed_all_et_check_1.0nvkc_4.5m_ext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NatVegET</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25.14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natveg_inside_adj_et_check_1.0nvkc_4.5m_ext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NatVegET</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68.33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natveg_gwmixed_inside_adj_et_check_1.0nvkc_4.5m_ext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NatVegET</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56.5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71.40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240EA" w:rsidTr="006240E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natveg_outside_adj_et_check_1.0nvkc_4.5m_ext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NatVegET</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58.0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43.62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240EA" w:rsidTr="006240EA">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natveg_gwmixed_outside_adj_et_check_1.0nvkc_4.5m_ext</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NatVegET</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57.3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65.21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bl>
    <w:p w:rsidR="006240EA" w:rsidRDefault="00BF5CC7">
      <w:pPr>
        <w:pStyle w:val="Heading3"/>
      </w:pPr>
      <w:bookmarkStart w:id="22" w:name="X5717be130d28923be971a1bdea556d769a5487a"/>
      <w:bookmarkEnd w:id="21"/>
      <w:r>
        <w:rPr>
          <w:rStyle w:val="SectionNumber"/>
        </w:rPr>
        <w:t>3.4.2</w:t>
      </w:r>
      <w:r>
        <w:tab/>
      </w:r>
      <w:r>
        <w:t>Agricultural-environmental trade-off efficiency</w:t>
      </w:r>
    </w:p>
    <w:p w:rsidR="006240EA" w:rsidRDefault="00BF5CC7">
      <w:pPr>
        <w:pStyle w:val="FirstParagraph"/>
      </w:pPr>
      <w:r>
        <w:t>The trade-off efficiency between the environmental and agricultural objective functions is defined as the average HB value gained, relative to HB</w:t>
      </w:r>
      <w:r>
        <w:rPr>
          <w:vertAlign w:val="subscript"/>
        </w:rPr>
        <w:t>basecase</w:t>
      </w:r>
      <w:r>
        <w:t>, per ET value lost relative to ET</w:t>
      </w:r>
      <w:r>
        <w:rPr>
          <w:vertAlign w:val="subscript"/>
        </w:rPr>
        <w:t>basecase</w:t>
      </w:r>
      <w:r>
        <w:t xml:space="preserve"> (see formula</w:t>
      </w:r>
      <w:r>
        <w:t xml:space="preserve"> in Methods). However, six scenarios (the five reservoir scenarios and managed aquifer recharge, or MAR) actually resulted in an average ET volume slightly greater than the basecase, and so avoided any ET cost. These scenarios were excluded from the effici</w:t>
      </w:r>
      <w:r>
        <w:t>ency calculations because including them would produce nonsensical negative efficiencies.</w:t>
      </w:r>
    </w:p>
    <w:p w:rsidR="006240EA" w:rsidRDefault="00BF5CC7">
      <w:pPr>
        <w:pStyle w:val="BodyText"/>
      </w:pPr>
      <w:r>
        <w:t>For all other scenarios, trade-off efficiencies ranged from 0.03 to 4 when averaged over all years, and were higher (ranging from 0.04 to 4.7) in low-coho years (Tabl</w:t>
      </w:r>
      <w:r>
        <w:t xml:space="preserve">e 4). The range covers two orders of magnitude because the denominator of the ratio, lost ET, ranges from 0.3% to 100%, while the HB gains fall more narrowly between 0.1% to 19%. Efficiencies greater than 1 indicate that a scenario produces more than a 1% </w:t>
      </w:r>
      <w:r>
        <w:t>increase in HB value per 1% loss in ET value. However, because the HB and ET units are non-commensurable, the absolute value of the trade-off efficiency is not of great significance; the trade-off efficiency metric is most useful for scenario comparisons.</w:t>
      </w:r>
    </w:p>
    <w:p w:rsidR="006240EA" w:rsidRDefault="00BF5CC7">
      <w:pPr>
        <w:pStyle w:val="BodyText"/>
      </w:pPr>
      <w:r>
        <w:lastRenderedPageBreak/>
        <w:t>Four scenario categories form a “low-efficiency” cluster, with all-years efficiencies of less than 1: Crop Change, Curtailment, and the two Natural Vegetation categories (Figure 7). These scenarios can produce substantial HB gains (ranging from 0 to 11) co</w:t>
      </w:r>
      <w:r>
        <w:t>ho spf-equiv., but result in severe agricultural productivity reductions (0.4% to 100%). The “high-efficiency” scenarios, which have an all-years trade-off efficiency greater than 1 (the Enhanced Recharge, Low Flow Diversion Limits, Irrigation Efficiency a</w:t>
      </w:r>
      <w:r>
        <w:t>nd Alfalfa Irrigation scenarios), tend to be associated with a small ET cost relative to basecase (0.4 to 1.4 million m</w:t>
      </w:r>
      <w:r>
        <w:rPr>
          <w:vertAlign w:val="superscript"/>
        </w:rPr>
        <w:t>3</w:t>
      </w:r>
      <w:r>
        <w:t>, or 0.3 to 1.2 percent of basecase crop ET).</w:t>
      </w:r>
    </w:p>
    <w:p w:rsidR="006240EA" w:rsidRDefault="00BF5CC7">
      <w:pPr>
        <w:pStyle w:val="CaptionedFigure"/>
      </w:pPr>
      <w:r>
        <w:rPr>
          <w:noProof/>
        </w:rPr>
        <w:drawing>
          <wp:inline distT="0" distB="0" distL="0" distR="0">
            <wp:extent cx="4620126" cy="5544151"/>
            <wp:effectExtent l="0" t="0" r="0" b="0"/>
            <wp:docPr id="58" name="Picture" descr="Figure 7:  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
            <wp:cNvGraphicFramePr/>
            <a:graphic xmlns:a="http://schemas.openxmlformats.org/drawingml/2006/main">
              <a:graphicData uri="http://schemas.openxmlformats.org/drawingml/2006/picture">
                <pic:pic xmlns:pic="http://schemas.openxmlformats.org/drawingml/2006/picture">
                  <pic:nvPicPr>
                    <pic:cNvPr id="59" name="Picture" descr="Kouba_Fish_and_Ag_Benefit_MS_files/figure-docx/efficiency-1.png"/>
                    <pic:cNvPicPr>
                      <a:picLocks noChangeAspect="1" noChangeArrowheads="1"/>
                    </pic:cNvPicPr>
                  </pic:nvPicPr>
                  <pic:blipFill>
                    <a:blip r:embed="rId13"/>
                    <a:stretch>
                      <a:fillRect/>
                    </a:stretch>
                  </pic:blipFill>
                  <pic:spPr bwMode="auto">
                    <a:xfrm>
                      <a:off x="0" y="0"/>
                      <a:ext cx="4620126" cy="5544151"/>
                    </a:xfrm>
                    <a:prstGeom prst="rect">
                      <a:avLst/>
                    </a:prstGeom>
                    <a:noFill/>
                    <a:ln w="9525">
                      <a:noFill/>
                      <a:headEnd/>
                      <a:tailEnd/>
                    </a:ln>
                  </pic:spPr>
                </pic:pic>
              </a:graphicData>
            </a:graphic>
          </wp:inline>
        </w:drawing>
      </w:r>
    </w:p>
    <w:p w:rsidR="006240EA" w:rsidRDefault="00BF5CC7">
      <w:pPr>
        <w:pStyle w:val="ImageCaption"/>
      </w:pPr>
      <w:r>
        <w:t>Figure 7:  Scenario trade-off efficiencies, or average HB value gained per crop ET value</w:t>
      </w:r>
      <w:r>
        <w:t xml:space="preserve"> lost (normalized to average basecase HB and ET values, respectively), in all 28 years (x-axis) and in six low-coho years (y-axis; i.e., the six years with basecase predicted HB values of less than 45 coho spf-equiv.). Basecase, Reservoir scenarios and one</w:t>
      </w:r>
      <w:r>
        <w:t xml:space="preserve"> Enhanced Recharge scenario (MAR) are not included as they have on average no or negative ET loss.</w:t>
      </w:r>
    </w:p>
    <w:p w:rsidR="006240EA" w:rsidRDefault="00BF5CC7">
      <w:pPr>
        <w:pStyle w:val="Heading3"/>
      </w:pPr>
      <w:bookmarkStart w:id="23" w:name="Xfbc83626841bb94e70b2ed42e58f7fe62bf81a6"/>
      <w:bookmarkEnd w:id="22"/>
      <w:r>
        <w:rPr>
          <w:rStyle w:val="SectionNumber"/>
        </w:rPr>
        <w:lastRenderedPageBreak/>
        <w:t>3.4.3</w:t>
      </w:r>
      <w:r>
        <w:tab/>
        <w:t>Infrastructure objective, Pareto-optimal set and GSP priorities</w:t>
      </w:r>
    </w:p>
    <w:p w:rsidR="006240EA" w:rsidRDefault="00BF5CC7">
      <w:pPr>
        <w:pStyle w:val="FirstParagraph"/>
      </w:pPr>
      <w:r>
        <w:t>By plotting the environmental, agricultural, and infrastructure objectives in a three-d</w:t>
      </w:r>
      <w:r>
        <w:t>imensional scatterplot, it is possible to visualize the combined set of management scenarios as four different trade-off arcs in different infrastructure categories (Figure 8).</w:t>
      </w:r>
    </w:p>
    <w:p w:rsidR="006240EA" w:rsidRDefault="00BF5CC7">
      <w:pPr>
        <w:pStyle w:val="BodyText"/>
      </w:pPr>
      <w:r>
        <w:t>The Pareto-optimal set of management actions include more than half (25) of the</w:t>
      </w:r>
      <w:r>
        <w:t xml:space="preserve"> simulated scenarios (Table 4; Figure 8). All the suboptimal scenarios are in infrastructure category 2 (infrastructure timeline of 1-2 years). The suboptimal set are either related to land use change (Crop Change, NatVeg, and NatVegET), which reduce crop </w:t>
      </w:r>
      <w:r>
        <w:t>ET demand or irrigated acreage, or they involve deployment of more efficient irrigation (Irrigation Efficiency), which has little impact on either HB or ET values.</w:t>
      </w:r>
    </w:p>
    <w:p w:rsidR="006240EA" w:rsidRDefault="00BF5CC7">
      <w:pPr>
        <w:pStyle w:val="BodyText"/>
      </w:pPr>
      <w:r>
        <w:t>Infrastructure category 1 (no infrastructure investment needed) contains all the Regulation-</w:t>
      </w:r>
      <w:r>
        <w:t>type scenarios. In the Alfalfa Irrigation and Curtailment scenario categories, the trade-off arcs show the effect of intervention date: an earlier date of intervention (irrigation cutoff) produces a greater HB value at a higher ET cost, compared to a later</w:t>
      </w:r>
      <w:r>
        <w:t xml:space="preserve"> date of intervention. The scenarios in infrastructure categories 3 and 4 (infrastructure timeline of 3-5 and 5+ years) involve no or minimal ET cost, and a range of HB gains on the middle-to-lower end of the HB gain spectrum (Reservoirs, Enhanced Recharge</w:t>
      </w:r>
      <w:r>
        <w:t>, and Expanded Enhanced Recharge; Figure 6).</w:t>
      </w:r>
    </w:p>
    <w:p w:rsidR="006240EA" w:rsidRDefault="00BF5CC7">
      <w:pPr>
        <w:pStyle w:val="BodyText"/>
      </w:pPr>
      <w:r>
        <w:t xml:space="preserve">To determine if the strict application of objective functions would produce different management priorities than the public policy development process that took place 2018-2021, we made a high-level, conceptual </w:t>
      </w:r>
      <w:r>
        <w:t>comparison of the Pareto-optimal set of management actions and the management actions and projects listed for consideration in the GSP (Siskiyou County 2021). Management actions considered in the GSP have some analogs in the set of 40 simulated scenarios.</w:t>
      </w:r>
    </w:p>
    <w:p w:rsidR="006240EA" w:rsidRDefault="00BF5CC7">
      <w:pPr>
        <w:pStyle w:val="BodyText"/>
      </w:pPr>
      <w:r>
        <w:t>High-priority scenarios tend to be associated with higher average crop ET values and modest HB gains relative to basecase (Table 5); i.e., the GSP priorities demonstrate a preference for management actions with high trade-off efficiencies. Specifically, En</w:t>
      </w:r>
      <w:r>
        <w:t xml:space="preserve">hanced Recharge and Irrigation Efficiency are represented in Tiers I and II, signifying they are considered implementable in the short- or medium-term. Another high-efficiency scenario, Low Flow Diversion Limits, is represented three times in Table 5: the </w:t>
      </w:r>
      <w:r>
        <w:t>two analogs for it in Tier I are limited either in time (Water Trust Leasing, which occurs opportunistically in extreme droughts) or in space (the current two-creek extent of the existing watermaster program). An expanded watermaster program, which would m</w:t>
      </w:r>
      <w:r>
        <w:t>ore closely resemble the Low Flow Diversion Limits scenario, appears in Tier III.</w:t>
      </w:r>
    </w:p>
    <w:p w:rsidR="006240EA" w:rsidRDefault="00BF5CC7">
      <w:pPr>
        <w:pStyle w:val="BodyText"/>
      </w:pPr>
      <w:r>
        <w:t xml:space="preserve">The final high-efficiency scenario category, Alfalfa Irrigation, is not included in the list of management actions; conversely, low-efficiency scenarios in categories NatVeg </w:t>
      </w:r>
      <w:r>
        <w:t>and Crop Change were included, in a spatially-limited form, in Tier II under the umbrella of “Voluntary Managed Land Repurposing”. This indicates that political considerations not currently included in the three objective functions produce a preference for</w:t>
      </w:r>
      <w:r>
        <w:t xml:space="preserve"> some amount of land repurposing rather than imposing limitations on alfalfa irrigation.</w:t>
      </w:r>
    </w:p>
    <w:p w:rsidR="006240EA" w:rsidRDefault="00BF5CC7">
      <w:pPr>
        <w:pStyle w:val="BodyText"/>
      </w:pPr>
      <w:r>
        <w:lastRenderedPageBreak/>
        <w:t>Notably, direct comparisons between the set of simulated scenarios and the management actions listed in the GSP are somewhat limited. The primary reason for this is th</w:t>
      </w:r>
      <w:r>
        <w:t>at the simulated scenarios assume that all water users in the valley are acting in concert. Conversely, management actions included in the GSP generally assumed voluntary/incentivized participation by individual landowners in scenarios involving land use c</w:t>
      </w:r>
      <w:r>
        <w:t>hange, and in some cases are located only in specific sub-areas of the watershed.</w:t>
      </w:r>
    </w:p>
    <w:p w:rsidR="006240EA" w:rsidRDefault="00BF5CC7">
      <w:pPr>
        <w:pStyle w:val="CaptionedFigure"/>
      </w:pPr>
      <w:r>
        <w:rPr>
          <w:noProof/>
        </w:rPr>
        <w:drawing>
          <wp:inline distT="0" distB="0" distL="0" distR="0">
            <wp:extent cx="5334000" cy="4909038"/>
            <wp:effectExtent l="0" t="0" r="0" b="0"/>
            <wp:docPr id="62" name="Picture" descr="Figure 8:  A three-dimensional scatter plot of the objective function values for basecase and 39 management scenarios, averaged over 28 water years (1991-2018). Larger spheres are shown for the Pareto-optimal set of scenarios. Scenario colors correspond to legend in Figures 6 and 7."/>
            <wp:cNvGraphicFramePr/>
            <a:graphic xmlns:a="http://schemas.openxmlformats.org/drawingml/2006/main">
              <a:graphicData uri="http://schemas.openxmlformats.org/drawingml/2006/picture">
                <pic:pic xmlns:pic="http://schemas.openxmlformats.org/drawingml/2006/picture">
                  <pic:nvPicPr>
                    <pic:cNvPr id="63" name="Picture" descr="Graphics%20and%20Supplements/hbf%20et%20infra%20plot3d_2024.11.PNG"/>
                    <pic:cNvPicPr>
                      <a:picLocks noChangeAspect="1" noChangeArrowheads="1"/>
                    </pic:cNvPicPr>
                  </pic:nvPicPr>
                  <pic:blipFill>
                    <a:blip r:embed="rId14"/>
                    <a:stretch>
                      <a:fillRect/>
                    </a:stretch>
                  </pic:blipFill>
                  <pic:spPr bwMode="auto">
                    <a:xfrm>
                      <a:off x="0" y="0"/>
                      <a:ext cx="5334000" cy="4909038"/>
                    </a:xfrm>
                    <a:prstGeom prst="rect">
                      <a:avLst/>
                    </a:prstGeom>
                    <a:noFill/>
                    <a:ln w="9525">
                      <a:noFill/>
                      <a:headEnd/>
                      <a:tailEnd/>
                    </a:ln>
                  </pic:spPr>
                </pic:pic>
              </a:graphicData>
            </a:graphic>
          </wp:inline>
        </w:drawing>
      </w:r>
    </w:p>
    <w:p w:rsidR="006240EA" w:rsidRDefault="00BF5CC7">
      <w:pPr>
        <w:pStyle w:val="ImageCaption"/>
      </w:pPr>
      <w:r>
        <w:t xml:space="preserve">Figure 8:  </w:t>
      </w:r>
      <w:r>
        <w:t xml:space="preserve">A three-dimensional scatter plot of the objective function values for basecase and 39 management scenarios, averaged over 28 water years (1991-2018). Larger spheres are shown for the Pareto-optimal set of scenarios. Scenario colors correspond to legend in </w:t>
      </w:r>
      <w:r>
        <w:t>Figures 6 and 7.</w:t>
      </w:r>
    </w:p>
    <w:p w:rsidR="006240EA" w:rsidRDefault="00BF5CC7">
      <w:pPr>
        <w:pStyle w:val="TableCaption"/>
      </w:pPr>
      <w:r>
        <w:t xml:space="preserve">Table 5: List of management actions in Chapter 4 of the GSP and analogues in the set of 40 simulated scenarios. The Tier indicate the priority given to each management action, though the Tier also incorporates information about difficulty </w:t>
      </w:r>
      <w:r>
        <w:t>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6240EA" w:rsidTr="006240EA">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w:t>
            </w:r>
          </w:p>
        </w:tc>
      </w:tr>
      <w:tr w:rsidR="006240EA" w:rsidTr="006240EA">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58</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105</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105</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109-111</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109-111</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r>
            <w:r>
              <w:rPr>
                <w:rFonts w:ascii="Arial" w:eastAsia="Arial" w:hAnsi="Arial" w:cs="Arial"/>
                <w:color w:val="000000"/>
                <w:sz w:val="22"/>
                <w:szCs w:val="22"/>
              </w:rP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111-112</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111-112</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 </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44-101</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57-58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90-101</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111-112</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56-57</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111-112</w:t>
            </w:r>
          </w:p>
        </w:tc>
      </w:tr>
      <w:tr w:rsidR="006240EA" w:rsidTr="006240EA">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57-67</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34-111</w:t>
            </w:r>
          </w:p>
        </w:tc>
      </w:tr>
      <w:tr w:rsidR="006240EA" w:rsidTr="006240EA">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58</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6240EA" w:rsidRDefault="00BF5CC7">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105</w:t>
            </w:r>
          </w:p>
        </w:tc>
      </w:tr>
    </w:tbl>
    <w:p w:rsidR="006240EA" w:rsidRDefault="00BF5CC7">
      <w:r>
        <w:br w:type="page"/>
      </w:r>
    </w:p>
    <w:p w:rsidR="006240EA" w:rsidRDefault="00BF5CC7">
      <w:pPr>
        <w:pStyle w:val="Heading1"/>
      </w:pPr>
      <w:bookmarkStart w:id="24" w:name="discussion"/>
      <w:bookmarkEnd w:id="11"/>
      <w:bookmarkEnd w:id="20"/>
      <w:bookmarkEnd w:id="23"/>
      <w:r>
        <w:rPr>
          <w:rStyle w:val="SectionNumber"/>
        </w:rPr>
        <w:lastRenderedPageBreak/>
        <w:t>4</w:t>
      </w:r>
      <w:r>
        <w:tab/>
        <w:t>Discussion</w:t>
      </w:r>
    </w:p>
    <w:p w:rsidR="006240EA" w:rsidRDefault="00BF5CC7">
      <w:pPr>
        <w:pStyle w:val="FirstParagraph"/>
      </w:pPr>
      <w:r>
        <w:t xml:space="preserve">The portfolio of scenarios proposed by stakeholders and simulated for this study included a range of infrastructure investments, regulatory actions and major land use changes. The number and diversity of simulated scenarios was made possible by a surface- </w:t>
      </w:r>
      <w:r>
        <w:t>and groundwater model designed to approximate existing land use and agricultural water use behavior in the local context [SVIHM; Tolley, Foglia, and Harter (2019)]. Though the ultimate future effect of these management actions would depend on climate varia</w:t>
      </w:r>
      <w:r>
        <w:t>bility and implementation details that have not been explicitly simulated (e.g., the precise location of pumps needed to divert surface water for the expanded enhanced recharge scenarios), it is possible to use objective functions and historical climate re</w:t>
      </w:r>
      <w:r>
        <w:t>cords to draw some high-level findings regarding their relative merits.</w:t>
      </w:r>
    </w:p>
    <w:p w:rsidR="006240EA" w:rsidRDefault="00BF5CC7">
      <w:pPr>
        <w:pStyle w:val="Heading2"/>
      </w:pPr>
      <w:bookmarkStart w:id="25" w:name="Xa151cb59b4ad5c02348e31b83bab4d8169de230"/>
      <w:r>
        <w:rPr>
          <w:rStyle w:val="SectionNumber"/>
        </w:rPr>
        <w:t>4.1</w:t>
      </w:r>
      <w:r>
        <w:tab/>
        <w:t>Contextualizing low objective function values</w:t>
      </w:r>
    </w:p>
    <w:p w:rsidR="006240EA" w:rsidRDefault="00BF5CC7">
      <w:pPr>
        <w:pStyle w:val="FirstParagraph"/>
      </w:pPr>
      <w:r>
        <w:t>The HB function incorporates several hydrologic metrics, but years with low HB values (i.e., low predicted coho-spf equivalent) usuall</w:t>
      </w:r>
      <w:r>
        <w:t>y share several characteristics. A water year with a low HB value (e.g., &lt;45 coho spf-equiv.) commonly occurs after a dry season with multiple dried-out mainstem Scott River reaches, culminating in a prolonged fall period (e.g., 4 to 8 weeks after Septembe</w:t>
      </w:r>
      <w:r>
        <w:t>r 1st) of FJ Gauge flows lower than 10 cfs. In a low-HB water year, high winter baseflows (e.g., &gt; 200 cfs) may not arrive until December or January, and the rainy season may be short (e.g., &lt; 100 days). These hydrologic features have implications for fish</w:t>
      </w:r>
      <w:r>
        <w:t>ery stability. In water year 2014, for example, salmon access flows were significantly delayed, and coho salmon laid their eggs in the mainstem of the Scott River rather than in their preferred tributary stream habitat, which put them at higher risk of get</w:t>
      </w:r>
      <w:r>
        <w:t>ting scoured away in a winter storm (CDFW 2015).</w:t>
      </w:r>
    </w:p>
    <w:p w:rsidR="006240EA" w:rsidRDefault="00BF5CC7">
      <w:pPr>
        <w:pStyle w:val="BodyText"/>
      </w:pPr>
      <w:r>
        <w:t>Because no recent precedent exists for a low-crop-ET year, interpreting the numerical values of the ET objective function requires more speculation, and the specific impact of ET loss on the agricultural com</w:t>
      </w:r>
      <w:r>
        <w:t>munity depends on the specific management action and its enforcement. One method to address uncertainty related to impact of management actions on agricultural objectives is to survey regional agricultural practitioners and experts about the likely costs o</w:t>
      </w:r>
      <w:r>
        <w:t>f a proposed management action (Sunding 1996). In the public meetings during GSP development, some informal (i.e., non-quantitative) surveying of stakeholder expectations of the costs of management actions took place. In terms of operational impacts, Scott</w:t>
      </w:r>
      <w:r>
        <w:t xml:space="preserve"> Valley agricultural stakeholders stated that short-term interventions (such as fallowing an alfalfa field for one year, or curtailing pasture irrigation for a growing season) could have long-term impacts (such as affecting alfalfa yield the following year</w:t>
      </w:r>
      <w:r>
        <w:t>, or forcing a rancher to sell a herd (SVGAC 2021). The current agricultural benefit proxy, annual crop ET, does not capture these multi-year costs to the local agricultural sector, or the regional impact that reduced agricultural productivity will have on</w:t>
      </w:r>
      <w:r>
        <w:t xml:space="preserve"> economically disadvantaged local communities.</w:t>
      </w:r>
    </w:p>
    <w:p w:rsidR="006240EA" w:rsidRDefault="00BF5CC7">
      <w:pPr>
        <w:pStyle w:val="BodyText"/>
      </w:pPr>
      <w:r>
        <w:t>These predicted on-the-ground consequences can facilitate interpretation of scenario results.</w:t>
      </w:r>
    </w:p>
    <w:p w:rsidR="006240EA" w:rsidRDefault="00BF5CC7">
      <w:pPr>
        <w:pStyle w:val="Heading2"/>
      </w:pPr>
      <w:bookmarkStart w:id="26" w:name="Xeb4407dfc59ea709d91a13199c8e469abf09cea"/>
      <w:bookmarkEnd w:id="25"/>
      <w:r>
        <w:rPr>
          <w:rStyle w:val="SectionNumber"/>
        </w:rPr>
        <w:lastRenderedPageBreak/>
        <w:t>4.2</w:t>
      </w:r>
      <w:r>
        <w:tab/>
        <w:t>Environmental objective performance in historically low-coho years</w:t>
      </w:r>
    </w:p>
    <w:p w:rsidR="006240EA" w:rsidRDefault="00BF5CC7">
      <w:pPr>
        <w:pStyle w:val="FirstParagraph"/>
      </w:pPr>
      <w:r>
        <w:t>Management scenario performance in dry years</w:t>
      </w:r>
      <w:r>
        <w:t>, rather than over the whole model period, is another informative metric for resource managers. For example, in potentially unstable fish populations, conditions during critical dry years can be more significant than long-term average conditions (e.g., Ohl</w:t>
      </w:r>
      <w:r>
        <w:t>berger et al. 2018). Eight dry years occurred during the 1991-2018 model period: 1991, ’92, ’94, 2001, ’09, ’13, ’14, and ’18 (Figure 5). Dry years were classified using quartiles of the distribution of total annual FJ Gauge flow over the full record of wa</w:t>
      </w:r>
      <w:r>
        <w:t>ter years 1942-2021. The lowest to highest quartiles of total annual flow are classified as Dry, Below Average, Above Average, and Wet water year types, respectively.</w:t>
      </w:r>
    </w:p>
    <w:p w:rsidR="006240EA" w:rsidRDefault="00BF5CC7">
      <w:pPr>
        <w:pStyle w:val="BodyText"/>
      </w:pPr>
      <w:r>
        <w:t>However, in this system, the years following dry periods may be more informative. As ment</w:t>
      </w:r>
      <w:r>
        <w:t>ioned in Methods, the lowest basecase HB values, operationally defined here as years with basecase HB values of less than 45 predicted coho spf-equivalent, tend to occur in years following one or more dry years (i.e., 1993, 1995, 2002, and 2014-16 in Figur</w:t>
      </w:r>
      <w:r>
        <w:t>e 5; “low-coho years”). In the Scott River watershed, one mechanism producing this pattern is delayed onset of winter storms, which cannot be managed through policy. Another mechanism is the depletion of stored groundwater in dry years, which can reduce dr</w:t>
      </w:r>
      <w:r>
        <w:t>y-season baseflow and delay stream system reconnection during the onset of the following wet season (Tolley, Foglia, and Harter 2019). Regardless of the primary cause of the low fall flows in a particular year, the HB value for each water year is sensitive</w:t>
      </w:r>
      <w:r>
        <w:t xml:space="preserve"> to long periods in the fall with flow below 10 and 100 cfs (see Chapter 1 of this dissertation for more details on coho salmon sensitivity to low fall flows).</w:t>
      </w:r>
    </w:p>
    <w:p w:rsidR="006240EA" w:rsidRDefault="00BF5CC7">
      <w:pPr>
        <w:pStyle w:val="BodyText"/>
      </w:pPr>
      <w:r>
        <w:t>Because many aspects of scenario performance are relatively consistent (i.e., for any given scen</w:t>
      </w:r>
      <w:r>
        <w:t>ario, ET costs are relatively static year to year, and most scenarios demonstrate consistently small HB gains over basecase in high-coho spf years; Figure 5), the low-coho year HB performance of various model scenarios is a key scenario differentiator.</w:t>
      </w:r>
    </w:p>
    <w:p w:rsidR="006240EA" w:rsidRDefault="00BF5CC7">
      <w:pPr>
        <w:pStyle w:val="Heading2"/>
      </w:pPr>
      <w:bookmarkStart w:id="27" w:name="environmental-agricultural-trade-offs"/>
      <w:bookmarkEnd w:id="26"/>
      <w:r>
        <w:rPr>
          <w:rStyle w:val="SectionNumber"/>
        </w:rPr>
        <w:t>4.3</w:t>
      </w:r>
      <w:r>
        <w:tab/>
        <w:t>Environmental-agricultural trade-offs</w:t>
      </w:r>
    </w:p>
    <w:p w:rsidR="006240EA" w:rsidRDefault="00BF5CC7">
      <w:pPr>
        <w:pStyle w:val="FirstParagraph"/>
      </w:pPr>
      <w:r>
        <w:t xml:space="preserve">Balancing agricultural and environmental water demands in this watershed commonly takes the form of seeking management actions that can improve flow conditions while minimizing the resulting reduction in agricultural </w:t>
      </w:r>
      <w:r>
        <w:t>water availability. Consequently, a subset of the proposed scenarios rely on infrastructure investments to produce modest HB improvements with minimal-to-no ET reductions (Enhanced Recharge, Expanded Enhanced Recharge, Irrigation Efficiency, and Reservoirs</w:t>
      </w:r>
      <w:r>
        <w:t>) (Figure 6). The remaining categories tend to include some level of ET reduction, due to reduced water availability for irrigation.</w:t>
      </w:r>
    </w:p>
    <w:p w:rsidR="006240EA" w:rsidRDefault="00BF5CC7">
      <w:pPr>
        <w:pStyle w:val="BodyText"/>
      </w:pPr>
      <w:r>
        <w:t>The environmental gain-agricultural cost trade-off is evident both within individual categories and between distinct scenar</w:t>
      </w:r>
      <w:r>
        <w:t>io categories, especially in HB performance in low-coho years.</w:t>
      </w:r>
    </w:p>
    <w:p w:rsidR="006240EA" w:rsidRDefault="00BF5CC7">
      <w:pPr>
        <w:pStyle w:val="BodyText"/>
      </w:pPr>
      <w:r>
        <w:t>Among Alfalfa Irrigation scenarios, HB gains in low-coho years are modest under cutoff dates of August 15th and August 1st (averaging 3 and 4 more coho spf than basecase in low-coho years, resp</w:t>
      </w:r>
      <w:r>
        <w:t>ectively), and ET costs are small (averaging 1 and 4 million m</w:t>
      </w:r>
      <w:r>
        <w:rPr>
          <w:vertAlign w:val="superscript"/>
        </w:rPr>
        <w:t>3</w:t>
      </w:r>
      <w:r>
        <w:t xml:space="preserve">, respectively, in all years); conversely, the more extreme July 10th cutoff date produces an </w:t>
      </w:r>
      <w:r>
        <w:lastRenderedPageBreak/>
        <w:t>average of 4 more predicted coho-spf in low-coho years and an average of 10 million m</w:t>
      </w:r>
      <w:r>
        <w:rPr>
          <w:vertAlign w:val="superscript"/>
        </w:rPr>
        <w:t>3</w:t>
      </w:r>
      <w:r>
        <w:t>, or 9%, redu</w:t>
      </w:r>
      <w:r>
        <w:t>ction in ET in all years (panels A and B of Figure 5).</w:t>
      </w:r>
    </w:p>
    <w:p w:rsidR="006240EA" w:rsidRDefault="00BF5CC7">
      <w:pPr>
        <w:pStyle w:val="BodyText"/>
      </w:pPr>
      <w:r>
        <w:t xml:space="preserve">Trade-off is also evident between scenario categories. The Enhanced Recharge scenario </w:t>
      </w:r>
      <w:r>
        <w:rPr>
          <w:rStyle w:val="VerbatimChar"/>
        </w:rPr>
        <w:t>mar_ilr</w:t>
      </w:r>
      <w:r>
        <w:t xml:space="preserve"> has a minimal ET cost (an average of 0.5 million m</w:t>
      </w:r>
      <w:r>
        <w:rPr>
          <w:vertAlign w:val="superscript"/>
        </w:rPr>
        <w:t>3</w:t>
      </w:r>
      <w:r>
        <w:t xml:space="preserve"> less than basecase in all years) and improves HB perfor</w:t>
      </w:r>
      <w:r>
        <w:t>mance only slightly (1 coho spf gain over basecase in low-coho years). At the other extreme, the Curtailment scenario in which all irrigation is cut off on August 1st (</w:t>
      </w:r>
      <w:r>
        <w:rPr>
          <w:rStyle w:val="VerbatimChar"/>
        </w:rPr>
        <w:t>curtail_start_aug01</w:t>
      </w:r>
      <w:r>
        <w:t>) produces significant HB improvements in low-coho years (with mean H</w:t>
      </w:r>
      <w:r>
        <w:t>B improvements of 13 coho spf-equiv.), but reduces ET by an average of 37 million m</w:t>
      </w:r>
      <w:r>
        <w:rPr>
          <w:vertAlign w:val="superscript"/>
        </w:rPr>
        <w:t>3</w:t>
      </w:r>
      <w:r>
        <w:t xml:space="preserve"> or 33% (panels C and D of Figure 5). Compared to </w:t>
      </w:r>
      <w:r>
        <w:rPr>
          <w:rStyle w:val="VerbatimChar"/>
        </w:rPr>
        <w:t>curtail_start_aug01</w:t>
      </w:r>
      <w:r>
        <w:t>, the Low Flow Diversion Limits (</w:t>
      </w:r>
      <w:r>
        <w:rPr>
          <w:rStyle w:val="VerbatimChar"/>
        </w:rPr>
        <w:t>flowlims</w:t>
      </w:r>
      <w:r>
        <w:t>) scenario tends to have an intermediate effect on HB values i</w:t>
      </w:r>
      <w:r>
        <w:t>n low-coho water years (HB improvement of 3 coho spf-equiv.), while reducing ET by an average of 6%.</w:t>
      </w:r>
    </w:p>
    <w:p w:rsidR="006240EA" w:rsidRDefault="00BF5CC7">
      <w:pPr>
        <w:pStyle w:val="BodyText"/>
      </w:pPr>
      <w:r>
        <w:t>The 33 scenarios with ET lower than basecase sort clearly into one high- and one low-efficiency cluster (Figure 7). The high-efficiency scenarios are compo</w:t>
      </w:r>
      <w:r>
        <w:t>sed of three infrastructure-type management actions (Enhanced Recharge, Expanded Enhanced Recharge and Irrigation Efficiency) and two regulatory-type management actions (Alfalfa Irrigation and Low Flow Diversion Limits), while the low-efficiency group cont</w:t>
      </w:r>
      <w:r>
        <w:t xml:space="preserve">ains one infrastructure-type (Crop Change), one regulatory-type (Curtailment), and the two native vegetation-type scenarios. The previously-stated caveat regarding the Crop Change scenario’s true agricultural benefit potentially being higher or lower than </w:t>
      </w:r>
      <w:r>
        <w:t xml:space="preserve">the values in Table 4 apply to these efficiency calculations as well. The trade-off efficiencies provide an informal cost-benefit assessment, though interpretation is somewhat limited, as the unitless quantity tends to group together scenarios with widely </w:t>
      </w:r>
      <w:r>
        <w:t>varying absolute values of HB and ET (e.g., Crop Change and some Curtailment scenarios).</w:t>
      </w:r>
    </w:p>
    <w:p w:rsidR="006240EA" w:rsidRDefault="00BF5CC7">
      <w:pPr>
        <w:pStyle w:val="BodyText"/>
      </w:pPr>
      <w:r>
        <w:t>There is a clear positive relationship between efficiency in all years and in low-coho years, but in nearly all scenarios the low-coho year efficiency average is higher than over the 28-year model period (Figure 7). In other words, in low-coho years, a giv</w:t>
      </w:r>
      <w:r>
        <w:t>en amount of crop ET reduction produces a greater environmental flow enhancement than on average over all years. This is corroborated by annual scenario HB values: in high-coho years, HB gains are small or minimal, while substantial improvements are seen f</w:t>
      </w:r>
      <w:r>
        <w:t>or some scenarios in low-coho years (panels A and C in Figure 5). One possible explanation is that, in high-coho years, environmental flows tend to already be sufficient, and most management scenarios can generate only marginal improvements in hydrologic c</w:t>
      </w:r>
      <w:r>
        <w:t>onditions. This suggests that targeting management actions to dry years (which tend to precede the low-coho water years) may produce the highest efficiency management actions. This possibility was supported by the two cases where this comparison was explic</w:t>
      </w:r>
      <w:r>
        <w:t>itly simulated: the efficiencies for the Alfalfa Irrigation scenarios for dry years only (</w:t>
      </w:r>
      <w:r>
        <w:rPr>
          <w:rStyle w:val="VerbatimChar"/>
        </w:rPr>
        <w:t>alf_irr_stop_aug01_dry_yrs_only</w:t>
      </w:r>
      <w:r>
        <w:t xml:space="preserve"> and </w:t>
      </w:r>
      <w:r>
        <w:rPr>
          <w:rStyle w:val="VerbatimChar"/>
        </w:rPr>
        <w:t>alf_irr_stop_aug15_dry_yrs_only</w:t>
      </w:r>
      <w:r>
        <w:t>) are higher than for their corresponding scenarios with an intervention in all years (</w:t>
      </w:r>
      <w:r>
        <w:rPr>
          <w:rStyle w:val="VerbatimChar"/>
        </w:rPr>
        <w:t>alf_irr_stop</w:t>
      </w:r>
      <w:r>
        <w:rPr>
          <w:rStyle w:val="VerbatimChar"/>
        </w:rPr>
        <w:t>_aug01</w:t>
      </w:r>
      <w:r>
        <w:t xml:space="preserve"> and </w:t>
      </w:r>
      <w:r>
        <w:rPr>
          <w:rStyle w:val="VerbatimChar"/>
        </w:rPr>
        <w:t>alf_irr_stop_aug15</w:t>
      </w:r>
      <w:r>
        <w:t>; Table 4).</w:t>
      </w:r>
    </w:p>
    <w:p w:rsidR="006240EA" w:rsidRDefault="00BF5CC7">
      <w:pPr>
        <w:pStyle w:val="Heading2"/>
      </w:pPr>
      <w:bookmarkStart w:id="28" w:name="Xb48c0b1c357814727cacf50afe35e98b0bf92dd"/>
      <w:bookmarkEnd w:id="27"/>
      <w:r>
        <w:rPr>
          <w:rStyle w:val="SectionNumber"/>
        </w:rPr>
        <w:lastRenderedPageBreak/>
        <w:t>4.4</w:t>
      </w:r>
      <w:r>
        <w:tab/>
        <w:t>Pareto-optimal solution set and GSP priority management actions</w:t>
      </w:r>
    </w:p>
    <w:p w:rsidR="006240EA" w:rsidRDefault="00BF5CC7">
      <w:pPr>
        <w:pStyle w:val="FirstParagraph"/>
      </w:pPr>
      <w:r>
        <w:t xml:space="preserve">Within the proposed suite of management actions, more than half (25 of 40, including the basecase) fall within the Pareto-optimal set based on the </w:t>
      </w:r>
      <w:r>
        <w:t>infrastructure category and the 28-year average values of objective functions. This same set remains Pareto-optimal when the objective functions are averaged only over the six low-coho water years, with one exception (the French Creek reservoir scenario is</w:t>
      </w:r>
      <w:r>
        <w:t xml:space="preserve"> Pareto-optimal when averaged in all years, but not in low-coho years).</w:t>
      </w:r>
    </w:p>
    <w:p w:rsidR="006240EA" w:rsidRDefault="00BF5CC7">
      <w:pPr>
        <w:pStyle w:val="BodyText"/>
      </w:pPr>
      <w:r>
        <w:t>The non-Pareto-optimal scenarios (i.e. the scenarios outperformed in multiple objectives) are in the Irrigation Efficiency, Crop Change and Native Vegetation categories. (The 20% improved Irrigation Efficiency scenario is outperformed in both HB and ET obj</w:t>
      </w:r>
      <w:r>
        <w:t>ectives by both of the alfalfa irrigation scenarios with a cutoff date of August 15; Table 4). Native Vegetation scenarios, under two different assumptions about vegetation type/ET demand of the vegetation replacing cultivated agriculture, can produce sign</w:t>
      </w:r>
      <w:r>
        <w:t>ificant HB improvements, but at a relatively high cost in regional agricultural productivity; these two scenario categories have the lowest trade-off efficiency (Figure 7; Table 4).</w:t>
      </w:r>
    </w:p>
    <w:p w:rsidR="006240EA" w:rsidRDefault="00BF5CC7">
      <w:pPr>
        <w:pStyle w:val="BodyText"/>
      </w:pPr>
      <w:r>
        <w:t>Pareto-suboptimal status is less certain in the case of the Crop Change sc</w:t>
      </w:r>
      <w:r>
        <w:t>enario, since the ET volume proxy for agricultural revenue/benefit may not be valid for alternative crops. (Crops that have been mentioned during stakeholder meetings as possibly suited to the climate of Scott Valley or have been cultivated in a trial sett</w:t>
      </w:r>
      <w:r>
        <w:t>ing are high(er) value annuals in lieu of the current perennial crops, e.g., potatoes, sunflowers, and carrots for seed, though notably, to the authors’ knowledge no local grower has cultivated any of these commercially.)</w:t>
      </w:r>
    </w:p>
    <w:p w:rsidR="006240EA" w:rsidRDefault="00BF5CC7">
      <w:pPr>
        <w:pStyle w:val="BodyText"/>
      </w:pPr>
      <w:r>
        <w:t>Many of the simulated scenarios we</w:t>
      </w:r>
      <w:r>
        <w:t>re included in the ultimate list of management priorities in the adopted GSP (Siskiyou County 2021), though in a variety of forms (e.g., the Low Flow Diversion Limits scenario, which is the closest simulated analogue for a watermaster program and a surface</w:t>
      </w:r>
      <w:r>
        <w:t xml:space="preserve"> water leasing program; Table 5). Although the GSP management priorities emphasized infrastructure, in a strict application of these objective functions, both infrastructure-based and regulatory approaches fell within the Pareto-optimal set of management o</w:t>
      </w:r>
      <w:r>
        <w:t>ptions.</w:t>
      </w:r>
    </w:p>
    <w:p w:rsidR="006240EA" w:rsidRDefault="00BF5CC7">
      <w:pPr>
        <w:pStyle w:val="Heading2"/>
      </w:pPr>
      <w:bookmarkStart w:id="29" w:name="policy-implications"/>
      <w:bookmarkEnd w:id="28"/>
      <w:r>
        <w:rPr>
          <w:rStyle w:val="SectionNumber"/>
        </w:rPr>
        <w:t>4.5</w:t>
      </w:r>
      <w:r>
        <w:tab/>
        <w:t>Policy implications</w:t>
      </w:r>
    </w:p>
    <w:p w:rsidR="006240EA" w:rsidRDefault="00BF5CC7">
      <w:pPr>
        <w:pStyle w:val="FirstParagraph"/>
      </w:pPr>
      <w:r>
        <w:t>Although the HB values are based on well-studied hydro-biological relationships (late spawning flows leads to lower fishery reproduction rates), the actual predicted values of coho smolt production per female spawner (coho s</w:t>
      </w:r>
      <w:r>
        <w:t xml:space="preserve">pf) remain uncertain, because when the HB function was developed only 11 full years of coho spf data were available. If monitoring continues in future years and this sample size increases, the predictive power and weights of various hydrologic metrics may </w:t>
      </w:r>
      <w:r>
        <w:t>be reexamined. The ET values are estimated based on climate data, crop coefficients, and assumptions regarding grower decisions, and thus are subject to uncertainty in those data sources.</w:t>
      </w:r>
    </w:p>
    <w:p w:rsidR="006240EA" w:rsidRDefault="00BF5CC7">
      <w:pPr>
        <w:pStyle w:val="BodyText"/>
      </w:pPr>
      <w:r>
        <w:t>Due to this uncertainty, the results of this study should not be con</w:t>
      </w:r>
      <w:r>
        <w:t xml:space="preserve">sidered direct policy recommendations. However, some of the insights below could be used to support future </w:t>
      </w:r>
      <w:r>
        <w:lastRenderedPageBreak/>
        <w:t>management decisions, simply by summarizing the wealth of information provided in each model simulation using the proposed objective functions.</w:t>
      </w:r>
    </w:p>
    <w:p w:rsidR="006240EA" w:rsidRDefault="00BF5CC7">
      <w:pPr>
        <w:pStyle w:val="Compact"/>
        <w:numPr>
          <w:ilvl w:val="0"/>
          <w:numId w:val="5"/>
        </w:numPr>
      </w:pPr>
      <w:r>
        <w:t>Targe</w:t>
      </w:r>
      <w:r>
        <w:t>ted interventions that only regulate water use in dry periods produce higher trade-off efficiencies than continuous interventions, as illustrated by the Alfalfa Irrigation scenarios (i.e., dry years only versus all years; Table 4).</w:t>
      </w:r>
    </w:p>
    <w:p w:rsidR="006240EA" w:rsidRDefault="00BF5CC7">
      <w:pPr>
        <w:pStyle w:val="Compact"/>
        <w:numPr>
          <w:ilvl w:val="0"/>
          <w:numId w:val="5"/>
        </w:numPr>
      </w:pPr>
      <w:r>
        <w:t>The Low Flow Diversion L</w:t>
      </w:r>
      <w:r>
        <w:t xml:space="preserve">imits scenario takes this concept to its logical extreme, by limiting intervention only to low-flow days in the hydrologic record, rather than low-flow years or seasons in the Alfalfa Irrigation category. As a result it produces considerable low-coho year </w:t>
      </w:r>
      <w:r>
        <w:t>HB gains with a trade-off efficiency of greater than 1.</w:t>
      </w:r>
    </w:p>
    <w:p w:rsidR="006240EA" w:rsidRDefault="00BF5CC7">
      <w:pPr>
        <w:pStyle w:val="Compact"/>
        <w:numPr>
          <w:ilvl w:val="0"/>
          <w:numId w:val="5"/>
        </w:numPr>
      </w:pPr>
      <w:r>
        <w:t>Key data gaps limit interpretability of some scenario results. An agronomic study of alternate crops that could be cultivated in Scott Valley, for example, could better constrain the agricultural bene</w:t>
      </w:r>
      <w:r>
        <w:t>fits of a Crop Change scenario. Conversely, the acreage of land converted in various Native Vegetation scenarios is likely higher than any realistic land use change scenario, meaning that for a hypothetical management action involving a reduction of irriga</w:t>
      </w:r>
      <w:r>
        <w:t>ted acreage in the valley, the HB gains and ET costs may be smaller than shown in Figure 6.</w:t>
      </w:r>
    </w:p>
    <w:p w:rsidR="006240EA" w:rsidRDefault="00BF5CC7">
      <w:pPr>
        <w:pStyle w:val="Compact"/>
        <w:numPr>
          <w:ilvl w:val="0"/>
          <w:numId w:val="5"/>
        </w:numPr>
      </w:pPr>
      <w:r>
        <w:t>In recent years, drought conditions have prompted state regulatory agencies to consider and then impose significant irrigation curtailments (CDFW 2021). The objecti</w:t>
      </w:r>
      <w:r>
        <w:t>ve function summary of existing model results could help stakeholders and regulators weigh the trade-offs of various actions and potential irrigation cutoff dates in the context of the consequences of other proposed management scenarios. The modeling resul</w:t>
      </w:r>
      <w:r>
        <w:t xml:space="preserve">ts suggest that if a decision is made to regulate water use, some later intervention dates may produce minimal gains in environmental flows in some water years (e.g., an alfalfa irrigation cutoff date of August 15 in water years 1995 or 2002 in panel A of </w:t>
      </w:r>
      <w:r>
        <w:t>Figure 5).</w:t>
      </w:r>
    </w:p>
    <w:p w:rsidR="006240EA" w:rsidRDefault="00BF5CC7">
      <w:pPr>
        <w:pStyle w:val="Heading1"/>
      </w:pPr>
      <w:bookmarkStart w:id="30" w:name="conclusion"/>
      <w:bookmarkEnd w:id="24"/>
      <w:bookmarkEnd w:id="29"/>
      <w:r>
        <w:rPr>
          <w:rStyle w:val="SectionNumber"/>
        </w:rPr>
        <w:t>5</w:t>
      </w:r>
      <w:r>
        <w:tab/>
        <w:t>Conclusion</w:t>
      </w:r>
    </w:p>
    <w:p w:rsidR="006240EA" w:rsidRDefault="00BF5CC7">
      <w:pPr>
        <w:pStyle w:val="FirstParagraph"/>
      </w:pPr>
      <w:r>
        <w:t xml:space="preserve">In this study, functions quantifying the achievement of the two management objectives (environmental and agricultural) were applied to 40 simulated management scenarios (including a historical basecase). In addition, scenarios were </w:t>
      </w:r>
      <w:r>
        <w:t>assigned a categorical proxy for new infrastructure costs. We used these numerical values to quantitatively explore trade-offs in environmental and agricultural benefit among the suite of proposed actions.</w:t>
      </w:r>
    </w:p>
    <w:p w:rsidR="006240EA" w:rsidRDefault="00BF5CC7">
      <w:pPr>
        <w:pStyle w:val="BodyText"/>
      </w:pPr>
      <w:r>
        <w:t>Due to decades of investment and significant ongoi</w:t>
      </w:r>
      <w:r>
        <w:t>ng labor, aggregate agricultural productivity in Scott Valley (as estimated through crop ET) is buffered against the weather and is relatively stable year-to-year. Conversely, flow in the undammed Scott River is subject to the full range of climate variabi</w:t>
      </w:r>
      <w:r>
        <w:t xml:space="preserve">lity and human water uses. As a result, the historical performance in the environmental flows objective is much more variable than in the agricultural objective, and environmental flows measured with this objective function seem particularly vulnerable to </w:t>
      </w:r>
      <w:r>
        <w:t>multi-year dry periods.</w:t>
      </w:r>
    </w:p>
    <w:p w:rsidR="006240EA" w:rsidRDefault="00BF5CC7">
      <w:pPr>
        <w:pStyle w:val="BodyText"/>
      </w:pPr>
      <w:r>
        <w:t>Many management actions were proposed over the past four years to enhance environmental flows while minimizing negative effects on agricultural water security. In general, targeting irrigation reductions during low-flow periods (e.g</w:t>
      </w:r>
      <w:r>
        <w:t xml:space="preserve">. Early Cessation of </w:t>
      </w:r>
      <w:r>
        <w:lastRenderedPageBreak/>
        <w:t>Alfalfa Irrigation and Low Flow Diversion Limits) tends to be more efficient in terms of higher environmental flows per lost agricultural productivity than irrigation reduction over the whole growing season, such as the Native Vegetati</w:t>
      </w:r>
      <w:r>
        <w:t>on scenarios (Figure 7).</w:t>
      </w:r>
    </w:p>
    <w:p w:rsidR="006240EA" w:rsidRDefault="00BF5CC7">
      <w:pPr>
        <w:pStyle w:val="BodyText"/>
      </w:pPr>
      <w:r>
        <w:t>Objective functions summarizing the predicted consequences of management actions is not a new technique; however, to be useful in a decision support context, they require careful design, sensitivity to local conditions, and ongoing</w:t>
      </w:r>
      <w:r>
        <w:t xml:space="preserve"> feedback from affected stakeholders. Introducing these elements of optimization into existing water resource management processes can improve communication of management consequences and priorities, and thus potentially improve decision-making and our und</w:t>
      </w:r>
      <w:r>
        <w:t>erstanding of the interconnected socio-hydrologic system.</w:t>
      </w:r>
    </w:p>
    <w:p w:rsidR="006240EA" w:rsidRDefault="00BF5CC7">
      <w:r>
        <w:br w:type="page"/>
      </w:r>
    </w:p>
    <w:p w:rsidR="006240EA" w:rsidRDefault="00BF5CC7">
      <w:pPr>
        <w:pStyle w:val="Heading1"/>
      </w:pPr>
      <w:bookmarkStart w:id="31" w:name="references"/>
      <w:bookmarkEnd w:id="30"/>
      <w:r>
        <w:lastRenderedPageBreak/>
        <w:t>References</w:t>
      </w:r>
    </w:p>
    <w:p w:rsidR="006240EA" w:rsidRDefault="00BF5CC7">
      <w:pPr>
        <w:pStyle w:val="Bibliography"/>
      </w:pPr>
      <w:bookmarkStart w:id="32" w:name="ref-Brown2015"/>
      <w:bookmarkStart w:id="33" w:name="refs"/>
      <w:r>
        <w:t>Brown, Casey M, Jay R Lund, Ximing Cai, Patrick M Reed, Edith A Zagona, Avi Ostfeld, Jim Hall, Gregory W Characklis, Winston Yu, and Levi Brekke. 2015. “The future of water resources sy</w:t>
      </w:r>
      <w:r>
        <w:t xml:space="preserve">stems analysis: Toward a scientific framework for sustainable water management.” </w:t>
      </w:r>
      <w:r>
        <w:rPr>
          <w:i/>
          <w:iCs/>
        </w:rPr>
        <w:t>Water Resources Research</w:t>
      </w:r>
      <w:r>
        <w:t xml:space="preserve"> 51: 6110–24. </w:t>
      </w:r>
      <w:hyperlink r:id="rId15">
        <w:r>
          <w:rPr>
            <w:rStyle w:val="Hyperlink"/>
          </w:rPr>
          <w:t>https://doi.org/10.1002/2015WR017114.Received</w:t>
        </w:r>
      </w:hyperlink>
      <w:r>
        <w:t>.</w:t>
      </w:r>
    </w:p>
    <w:p w:rsidR="006240EA" w:rsidRDefault="00BF5CC7">
      <w:pPr>
        <w:pStyle w:val="Bibliography"/>
      </w:pPr>
      <w:bookmarkStart w:id="34" w:name="ref-Brown1994"/>
      <w:bookmarkEnd w:id="32"/>
      <w:r>
        <w:t>Brown, Larry R., Peter B.</w:t>
      </w:r>
      <w:r>
        <w:t xml:space="preserve"> Moyle, and Ronald M. Yoshiyama. 1994. “Historical Decline and Current Status of Coho Salmon in California.” </w:t>
      </w:r>
      <w:r>
        <w:rPr>
          <w:i/>
          <w:iCs/>
        </w:rPr>
        <w:t>North American Journal of Fisheries Management</w:t>
      </w:r>
      <w:r>
        <w:t xml:space="preserve"> 14 (2): 237–61. </w:t>
      </w:r>
      <w:hyperlink r:id="rId16">
        <w:r>
          <w:rPr>
            <w:rStyle w:val="Hyperlink"/>
          </w:rPr>
          <w:t>h</w:t>
        </w:r>
        <w:r>
          <w:rPr>
            <w:rStyle w:val="Hyperlink"/>
          </w:rPr>
          <w:t>ttps://doi.org/10.1577/1548-8675(1994)014&lt;0237:hdacso&gt;2.3.co;2</w:t>
        </w:r>
      </w:hyperlink>
      <w:r>
        <w:t>.</w:t>
      </w:r>
    </w:p>
    <w:p w:rsidR="006240EA" w:rsidRDefault="00BF5CC7">
      <w:pPr>
        <w:pStyle w:val="Bibliography"/>
      </w:pPr>
      <w:bookmarkStart w:id="35" w:name="ref-CDFW2015a"/>
      <w:bookmarkEnd w:id="34"/>
      <w:r>
        <w:t>California Department of Fish and Wildlife (CDFW). 2015. “Cooperative Report of the Scott River Coho Salmon Rescue and Relocation Effort: 2014 Drought Emergency.” August. California Department</w:t>
      </w:r>
      <w:r>
        <w:t xml:space="preserve"> of Fish; Wildlife (CDFW). </w:t>
      </w:r>
      <w:hyperlink r:id="rId17">
        <w:r>
          <w:rPr>
            <w:rStyle w:val="Hyperlink"/>
          </w:rPr>
          <w:t>https://www.fs.usda.gov/Internet/FSE{\_}DOCUMENTS/stelprd3850544.pdf</w:t>
        </w:r>
      </w:hyperlink>
      <w:r>
        <w:t>.</w:t>
      </w:r>
    </w:p>
    <w:p w:rsidR="006240EA" w:rsidRDefault="00BF5CC7">
      <w:pPr>
        <w:pStyle w:val="Bibliography"/>
      </w:pPr>
      <w:bookmarkStart w:id="36" w:name="ref-CDFW2017"/>
      <w:bookmarkEnd w:id="35"/>
      <w:r>
        <w:t>———. 2017. “Interim Instream Flow Criteria for the Protection of Fishe</w:t>
      </w:r>
      <w:r>
        <w:t xml:space="preserve">ry.” </w:t>
      </w:r>
      <w:hyperlink r:id="rId18">
        <w:r>
          <w:rPr>
            <w:rStyle w:val="Hyperlink"/>
          </w:rPr>
          <w:t>file:///Users/kelseymcneill/Downloads/Scott River{\_}FINAL 02-10-17.pdf</w:t>
        </w:r>
      </w:hyperlink>
      <w:r>
        <w:t>.</w:t>
      </w:r>
    </w:p>
    <w:p w:rsidR="006240EA" w:rsidRDefault="00BF5CC7">
      <w:pPr>
        <w:pStyle w:val="Bibliography"/>
      </w:pPr>
      <w:bookmarkStart w:id="37" w:name="ref-DWR2017"/>
      <w:bookmarkEnd w:id="36"/>
      <w:r>
        <w:t xml:space="preserve">California Department of Water Resources (DWR). 2017. “Crop Mapping 2016.” </w:t>
      </w:r>
      <w:hyperlink r:id="rId19">
        <w:r>
          <w:rPr>
            <w:rStyle w:val="Hyperlink"/>
          </w:rPr>
          <w:t>https://data.cnra.ca.gov/dataset/crop-mapping-2016</w:t>
        </w:r>
      </w:hyperlink>
      <w:r>
        <w:t>.</w:t>
      </w:r>
    </w:p>
    <w:p w:rsidR="006240EA" w:rsidRDefault="00BF5CC7">
      <w:pPr>
        <w:pStyle w:val="Bibliography"/>
      </w:pPr>
      <w:bookmarkStart w:id="38" w:name="ref-SWRCB1975"/>
      <w:bookmarkEnd w:id="37"/>
      <w:r>
        <w:t>California State Water Resources Control Board (SWRCB). 1975. “Report on Hydrogeologic Conditions, Scott River Valley, Scott River Valley.”</w:t>
      </w:r>
    </w:p>
    <w:p w:rsidR="006240EA" w:rsidRDefault="00BF5CC7">
      <w:pPr>
        <w:pStyle w:val="Bibliography"/>
      </w:pPr>
      <w:bookmarkStart w:id="39" w:name="ref-Carter1983"/>
      <w:bookmarkEnd w:id="38"/>
      <w:r>
        <w:t>Carte</w:t>
      </w:r>
      <w:r>
        <w:t xml:space="preserve">r, P. R., and C. C. Sheaffer. 1983.“Alfalfa Response to Soil Water Deficits. I. Growth, Forage Quality, Yield, Water Use, and Water‐Use Efficiency 1 .” </w:t>
      </w:r>
      <w:r>
        <w:rPr>
          <w:i/>
          <w:iCs/>
        </w:rPr>
        <w:t>Crop Science</w:t>
      </w:r>
      <w:r>
        <w:t xml:space="preserve"> 23 (4): 669–75. </w:t>
      </w:r>
      <w:hyperlink r:id="rId20">
        <w:r>
          <w:rPr>
            <w:rStyle w:val="Hyperlink"/>
          </w:rPr>
          <w:t>https://doi.org/10.2135/cropsci1983.0011183x002300040016x</w:t>
        </w:r>
      </w:hyperlink>
      <w:r>
        <w:t>.</w:t>
      </w:r>
    </w:p>
    <w:p w:rsidR="006240EA" w:rsidRDefault="00BF5CC7">
      <w:pPr>
        <w:pStyle w:val="Bibliography"/>
      </w:pPr>
      <w:bookmarkStart w:id="40" w:name="ref-CDFW2021c"/>
      <w:bookmarkEnd w:id="39"/>
      <w:r>
        <w:t xml:space="preserve">CDFW. 2021. “Minimum Flow Recommendations for the Shasta and Scott Rivers to Inform the 2021 Drought Emergency Regulations.” Redding, CA: CDFW to the SWB. </w:t>
      </w:r>
      <w:hyperlink r:id="rId21">
        <w:r>
          <w:rPr>
            <w:rStyle w:val="Hyperlink"/>
          </w:rPr>
          <w:t>https://www.waterboards.ca.gov/drought/scott{\_}shasta{\_}rivers/docs/swb{\_}2021{\_}shasta{\</w:t>
        </w:r>
        <w:r>
          <w:rPr>
            <w:rStyle w:val="Hyperlink"/>
          </w:rPr>
          <w:t>_}scott{\_}drought{\_}emergency{\_}final.pdf</w:t>
        </w:r>
      </w:hyperlink>
      <w:r>
        <w:t>.</w:t>
      </w:r>
    </w:p>
    <w:p w:rsidR="006240EA" w:rsidRDefault="00BF5CC7">
      <w:pPr>
        <w:pStyle w:val="Bibliography"/>
      </w:pPr>
      <w:bookmarkStart w:id="41" w:name="ref-Cohon1973"/>
      <w:bookmarkEnd w:id="40"/>
      <w:r>
        <w:t xml:space="preserve">Cohon, Jared L., and David H. Marks. 1973. “Multiobjective screening models and water resource investment.” </w:t>
      </w:r>
      <w:r>
        <w:rPr>
          <w:i/>
          <w:iCs/>
        </w:rPr>
        <w:t>Water Resources Research</w:t>
      </w:r>
      <w:r>
        <w:t xml:space="preserve"> 9 (4): 826–36. </w:t>
      </w:r>
      <w:hyperlink r:id="rId22">
        <w:r>
          <w:rPr>
            <w:rStyle w:val="Hyperlink"/>
          </w:rPr>
          <w:t>https://doi.org/10.1029/WR009i004p00826</w:t>
        </w:r>
      </w:hyperlink>
      <w:r>
        <w:t>.</w:t>
      </w:r>
    </w:p>
    <w:p w:rsidR="006240EA" w:rsidRDefault="00BF5CC7">
      <w:pPr>
        <w:pStyle w:val="Bibliography"/>
      </w:pPr>
      <w:bookmarkStart w:id="42" w:name="ref-Cohon1975"/>
      <w:bookmarkEnd w:id="41"/>
      <w:r>
        <w:t xml:space="preserve">———. 1975. “A review and evaluation of multiobjective programing techniques.” </w:t>
      </w:r>
      <w:r>
        <w:rPr>
          <w:i/>
          <w:iCs/>
        </w:rPr>
        <w:t>Water Resources Research</w:t>
      </w:r>
      <w:r>
        <w:t xml:space="preserve"> 11 (2): 208–20. </w:t>
      </w:r>
      <w:hyperlink r:id="rId23">
        <w:r>
          <w:rPr>
            <w:rStyle w:val="Hyperlink"/>
          </w:rPr>
          <w:t>https://doi.org/10.1029/WR011i002p002</w:t>
        </w:r>
        <w:r>
          <w:rPr>
            <w:rStyle w:val="Hyperlink"/>
          </w:rPr>
          <w:t>08</w:t>
        </w:r>
      </w:hyperlink>
      <w:r>
        <w:t>.</w:t>
      </w:r>
    </w:p>
    <w:p w:rsidR="006240EA" w:rsidRDefault="00BF5CC7">
      <w:pPr>
        <w:pStyle w:val="Bibliography"/>
      </w:pPr>
      <w:bookmarkStart w:id="43" w:name="ref-Cole2021"/>
      <w:bookmarkEnd w:id="42"/>
      <w:r>
        <w:t>Cole, Spencer A., and Josué Medellín-Azuara. 2021. “Siskiyou County Agricultural Economics Analysis Considering Groundwater Regulation.” Merced, CA: University of California, Merced.</w:t>
      </w:r>
    </w:p>
    <w:p w:rsidR="006240EA" w:rsidRDefault="00BF5CC7">
      <w:pPr>
        <w:pStyle w:val="Bibliography"/>
      </w:pPr>
      <w:bookmarkStart w:id="44" w:name="ref-DiBaldassarre2019"/>
      <w:bookmarkEnd w:id="43"/>
      <w:r>
        <w:t>Di Baldassarre, Giuliano, Murugesu Sivapalan, Maria Rusca, Christophe</w:t>
      </w:r>
      <w:r>
        <w:t xml:space="preserve"> Cudennec, Margaret Garcia, Heidi Kreibich, Megan Konar, et al. 2019. “Sociohydrology: Scientific Challenges in </w:t>
      </w:r>
      <w:r>
        <w:lastRenderedPageBreak/>
        <w:t xml:space="preserve">Addressing the Sustainable Development Goals.” </w:t>
      </w:r>
      <w:r>
        <w:rPr>
          <w:i/>
          <w:iCs/>
        </w:rPr>
        <w:t>Water Resources Research</w:t>
      </w:r>
      <w:r>
        <w:t xml:space="preserve"> 55 (8): 6327–55. </w:t>
      </w:r>
      <w:hyperlink r:id="rId24">
        <w:r>
          <w:rPr>
            <w:rStyle w:val="Hyperlink"/>
          </w:rPr>
          <w:t>https://doi.org/10.1029/2018WR023901</w:t>
        </w:r>
      </w:hyperlink>
      <w:r>
        <w:t>.</w:t>
      </w:r>
    </w:p>
    <w:p w:rsidR="006240EA" w:rsidRDefault="00BF5CC7">
      <w:pPr>
        <w:pStyle w:val="Bibliography"/>
      </w:pPr>
      <w:bookmarkStart w:id="45" w:name="ref-DWR2019"/>
      <w:bookmarkEnd w:id="44"/>
      <w:r>
        <w:t xml:space="preserve">DWR. 2019. “Sustainable Groundwater Management Act 2019 Basin Prioritization.” April. </w:t>
      </w:r>
      <w:hyperlink r:id="rId25">
        <w:r>
          <w:rPr>
            <w:rStyle w:val="Hyperlink"/>
          </w:rPr>
          <w:t>https://data.cnra.ca.gov/dataset/13ebd2d3-4e62-4fee-9342-d7c3ef3e0079/resource/ffafd27b-5e7e-4db3-b846-e7b3cb5c614c/download/sgma{\_}bp{\_}process{\_}document.pdf</w:t>
        </w:r>
      </w:hyperlink>
      <w:r>
        <w:t>.</w:t>
      </w:r>
    </w:p>
    <w:p w:rsidR="006240EA" w:rsidRDefault="00BF5CC7">
      <w:pPr>
        <w:pStyle w:val="Bibliography"/>
      </w:pPr>
      <w:bookmarkStart w:id="46" w:name="ref-Foglia2013a"/>
      <w:bookmarkEnd w:id="45"/>
      <w:r>
        <w:t>Foglia, Laura, Alison McNally, Courtne</w:t>
      </w:r>
      <w:r>
        <w:t xml:space="preserve">y Hall, Lauren Ledesma, Ryan Hines, and Thomas Harter. 2013. “Scott Valley Integrated Hydrologic Model : Data Collection , Analysis , and Water Budget.” April. University of California, Davis. </w:t>
      </w:r>
      <w:hyperlink r:id="rId26">
        <w:r>
          <w:rPr>
            <w:rStyle w:val="Hyperlink"/>
          </w:rPr>
          <w:t>http://groundwater.ucdavis.edu/files/165395.pdf</w:t>
        </w:r>
      </w:hyperlink>
      <w:r>
        <w:t>.</w:t>
      </w:r>
    </w:p>
    <w:p w:rsidR="006240EA" w:rsidRDefault="00BF5CC7">
      <w:pPr>
        <w:pStyle w:val="Bibliography"/>
      </w:pPr>
      <w:bookmarkStart w:id="47" w:name="ref-FCGMA2019"/>
      <w:bookmarkEnd w:id="46"/>
      <w:r>
        <w:t xml:space="preserve">Fox Canyon Groundwater Management Agency. 2019. “Groundwater Sustainability Plan for the Oxnard Subbasin.” December. Ventura, CA. </w:t>
      </w:r>
      <w:hyperlink r:id="rId27">
        <w:r>
          <w:rPr>
            <w:rStyle w:val="Hyperlink"/>
          </w:rPr>
          <w:t>http</w:t>
        </w:r>
        <w:r>
          <w:rPr>
            <w:rStyle w:val="Hyperlink"/>
          </w:rPr>
          <w:t>s://fcgma.org/groundwater-sustainability-plan</w:t>
        </w:r>
      </w:hyperlink>
      <w:r>
        <w:t>.</w:t>
      </w:r>
    </w:p>
    <w:p w:rsidR="006240EA" w:rsidRDefault="00BF5CC7">
      <w:pPr>
        <w:pStyle w:val="Bibliography"/>
      </w:pPr>
      <w:bookmarkStart w:id="48" w:name="ref-Gorelick1983"/>
      <w:bookmarkEnd w:id="47"/>
      <w:r>
        <w:t xml:space="preserve">Gorelick, Steven M. 1983. “A review of distributed parameter groundwater management modeling methods.” </w:t>
      </w:r>
      <w:r>
        <w:rPr>
          <w:i/>
          <w:iCs/>
        </w:rPr>
        <w:t>Water Resources Research</w:t>
      </w:r>
      <w:r>
        <w:t xml:space="preserve"> 19 (2): 305–19. </w:t>
      </w:r>
      <w:hyperlink r:id="rId28">
        <w:r>
          <w:rPr>
            <w:rStyle w:val="Hyperlink"/>
          </w:rPr>
          <w:t>https:</w:t>
        </w:r>
        <w:r>
          <w:rPr>
            <w:rStyle w:val="Hyperlink"/>
          </w:rPr>
          <w:t>//doi.org/10.1029/WR019i002p00305</w:t>
        </w:r>
      </w:hyperlink>
      <w:r>
        <w:t>.</w:t>
      </w:r>
    </w:p>
    <w:p w:rsidR="006240EA" w:rsidRDefault="00BF5CC7">
      <w:pPr>
        <w:pStyle w:val="Bibliography"/>
      </w:pPr>
      <w:bookmarkStart w:id="49" w:name="ref-Graham2012"/>
      <w:bookmarkEnd w:id="48"/>
      <w:r>
        <w:t xml:space="preserve">Graham, Rhea. 2012. “Klamath River Basin Restoration Nonuse Value Survey Klamath River Basin Restoration Nonuse Value Survey Final Report Prepared by.” </w:t>
      </w:r>
      <w:hyperlink r:id="rId29">
        <w:r>
          <w:rPr>
            <w:rStyle w:val="Hyperlink"/>
          </w:rPr>
          <w:t>https://kbifrm.psmfc.org/wp-content/uploads/2016/12/Graham{\_}2012{\_}0010{\_}Klamath-River-Basin-Restoration-Nonuse-Value-Survey-Final-Report.pdf</w:t>
        </w:r>
      </w:hyperlink>
      <w:r>
        <w:t>.</w:t>
      </w:r>
    </w:p>
    <w:p w:rsidR="006240EA" w:rsidRDefault="00BF5CC7">
      <w:pPr>
        <w:pStyle w:val="Bibliography"/>
      </w:pPr>
      <w:bookmarkStart w:id="50" w:name="ref-Harter2008"/>
      <w:bookmarkEnd w:id="49"/>
      <w:r>
        <w:t xml:space="preserve">Harter, </w:t>
      </w:r>
      <w:r>
        <w:t xml:space="preserve">Thomas, and Ryan Hines. 2008. “Scott Valley Community Groundwater Study Plan.” Davis. CA: Groundwater Cooperative Extension Program University of California, Davis. </w:t>
      </w:r>
      <w:hyperlink r:id="rId30">
        <w:r>
          <w:rPr>
            <w:rStyle w:val="Hyperlink"/>
          </w:rPr>
          <w:t>http://groundwater.ucdav</w:t>
        </w:r>
        <w:r>
          <w:rPr>
            <w:rStyle w:val="Hyperlink"/>
          </w:rPr>
          <w:t>is.edu/files/136426.pdf</w:t>
        </w:r>
      </w:hyperlink>
      <w:r>
        <w:t>.</w:t>
      </w:r>
    </w:p>
    <w:p w:rsidR="006240EA" w:rsidRDefault="00BF5CC7">
      <w:pPr>
        <w:pStyle w:val="Bibliography"/>
      </w:pPr>
      <w:bookmarkStart w:id="51" w:name="ref-Howitt1995"/>
      <w:bookmarkEnd w:id="50"/>
      <w:r>
        <w:t xml:space="preserve">Howitt, Richard E. 1995. “Positive Mathematical Programming.” </w:t>
      </w:r>
      <w:r>
        <w:rPr>
          <w:i/>
          <w:iCs/>
        </w:rPr>
        <w:t>American Journal of Agricultural Economics</w:t>
      </w:r>
      <w:r>
        <w:t xml:space="preserve"> 77 (2): 329–42. </w:t>
      </w:r>
      <w:hyperlink r:id="rId31">
        <w:r>
          <w:rPr>
            <w:rStyle w:val="Hyperlink"/>
          </w:rPr>
          <w:t>https://doi.org/10.2307/1243543</w:t>
        </w:r>
      </w:hyperlink>
      <w:r>
        <w:t>.</w:t>
      </w:r>
    </w:p>
    <w:p w:rsidR="006240EA" w:rsidRDefault="00BF5CC7">
      <w:pPr>
        <w:pStyle w:val="Bibliography"/>
      </w:pPr>
      <w:bookmarkStart w:id="52" w:name="ref-Kapelan2005"/>
      <w:bookmarkEnd w:id="51"/>
      <w:r>
        <w:t xml:space="preserve">Kapelan, Zoran S., Dragan </w:t>
      </w:r>
      <w:r>
        <w:t xml:space="preserve">A. Savic, and Godfrey A. Walters. 2005. “Multiobjective design of water distribution systems under uncertainty.” </w:t>
      </w:r>
      <w:r>
        <w:rPr>
          <w:i/>
          <w:iCs/>
        </w:rPr>
        <w:t>Water Resources Research</w:t>
      </w:r>
      <w:r>
        <w:t xml:space="preserve"> 41 (11): 1–15. </w:t>
      </w:r>
      <w:hyperlink r:id="rId32">
        <w:r>
          <w:rPr>
            <w:rStyle w:val="Hyperlink"/>
          </w:rPr>
          <w:t>https://doi.org/10.1029/2004WR003787</w:t>
        </w:r>
      </w:hyperlink>
      <w:r>
        <w:t>.</w:t>
      </w:r>
    </w:p>
    <w:p w:rsidR="006240EA" w:rsidRDefault="00BF5CC7">
      <w:pPr>
        <w:pStyle w:val="Bibliography"/>
      </w:pPr>
      <w:bookmarkStart w:id="53" w:name="ref-Maass1962"/>
      <w:bookmarkEnd w:id="52"/>
      <w:r>
        <w:t>Maass, Ar</w:t>
      </w:r>
      <w:r>
        <w:t xml:space="preserve">thur, Maynard M. Hufschmidt, Robert Dorfman, Harold A. Thomas, Stephen A. Marglin, and Gordon Maskew Fair. 1962. </w:t>
      </w:r>
      <w:r>
        <w:rPr>
          <w:i/>
          <w:iCs/>
        </w:rPr>
        <w:t>Design of Water-Resource Systems: New Techniques for Relating Economic Objectives, Engineering Analysis, and Governmental Planning</w:t>
      </w:r>
      <w:r>
        <w:t xml:space="preserve">. Cambridge, </w:t>
      </w:r>
      <w:r>
        <w:t xml:space="preserve">Mass.: Harvard University Press. </w:t>
      </w:r>
      <w:hyperlink r:id="rId33">
        <w:r>
          <w:rPr>
            <w:rStyle w:val="Hyperlink"/>
          </w:rPr>
          <w:t>https://doi.org/10.4159/harvard.9780674421042</w:t>
        </w:r>
      </w:hyperlink>
      <w:r>
        <w:t>.</w:t>
      </w:r>
    </w:p>
    <w:p w:rsidR="006240EA" w:rsidRDefault="00BF5CC7">
      <w:pPr>
        <w:pStyle w:val="Bibliography"/>
      </w:pPr>
      <w:bookmarkStart w:id="54" w:name="ref-Mack1958"/>
      <w:bookmarkEnd w:id="53"/>
      <w:r>
        <w:t>Mack, Seymour. 1958. “Geology and Ground-Water Features of Scott Valley Siskiyou County, California.”</w:t>
      </w:r>
      <w:r>
        <w:t xml:space="preserve"> Geological Survey Water-Supply Paper 1462. </w:t>
      </w:r>
      <w:hyperlink r:id="rId34">
        <w:r>
          <w:rPr>
            <w:rStyle w:val="Hyperlink"/>
          </w:rPr>
          <w:t>https://pubs.usgs.gov/wsp/1462/report.pdf</w:t>
        </w:r>
      </w:hyperlink>
      <w:r>
        <w:t>.</w:t>
      </w:r>
    </w:p>
    <w:p w:rsidR="006240EA" w:rsidRDefault="00BF5CC7">
      <w:pPr>
        <w:pStyle w:val="Bibliography"/>
      </w:pPr>
      <w:bookmarkStart w:id="55" w:name="ref-Mahoney1998"/>
      <w:bookmarkEnd w:id="54"/>
      <w:r>
        <w:lastRenderedPageBreak/>
        <w:t>Mahoney, John M., and Stewart B. Rood. 1998. “Streamflow requirements for cottonwood seedling recruitment-An</w:t>
      </w:r>
      <w:r>
        <w:t xml:space="preserve"> integrative model.” </w:t>
      </w:r>
      <w:r>
        <w:rPr>
          <w:i/>
          <w:iCs/>
        </w:rPr>
        <w:t>Wetlands</w:t>
      </w:r>
      <w:r>
        <w:t xml:space="preserve"> 18 (4): 634–45. </w:t>
      </w:r>
      <w:hyperlink r:id="rId35">
        <w:r>
          <w:rPr>
            <w:rStyle w:val="Hyperlink"/>
          </w:rPr>
          <w:t>https://doi.org/10.1007/BF03161678</w:t>
        </w:r>
      </w:hyperlink>
      <w:r>
        <w:t>.</w:t>
      </w:r>
    </w:p>
    <w:p w:rsidR="006240EA" w:rsidRDefault="00BF5CC7">
      <w:pPr>
        <w:pStyle w:val="Bibliography"/>
      </w:pPr>
      <w:bookmarkStart w:id="56" w:name="ref-Monarchi1973"/>
      <w:bookmarkEnd w:id="55"/>
      <w:r>
        <w:t>Monarchi, David E., Chester C. Kisiel, and Lucien Duckstein. 1973. “Interactive multiobjective programing in water resou</w:t>
      </w:r>
      <w:r>
        <w:t xml:space="preserve">rces: A case study.” </w:t>
      </w:r>
      <w:r>
        <w:rPr>
          <w:i/>
          <w:iCs/>
        </w:rPr>
        <w:t>Water Resources Research</w:t>
      </w:r>
      <w:r>
        <w:t xml:space="preserve"> 9 (4): 837–50. </w:t>
      </w:r>
      <w:hyperlink r:id="rId36">
        <w:r>
          <w:rPr>
            <w:rStyle w:val="Hyperlink"/>
          </w:rPr>
          <w:t>https://doi.org/10.1029/WR009i004p00837</w:t>
        </w:r>
      </w:hyperlink>
      <w:r>
        <w:t>.</w:t>
      </w:r>
    </w:p>
    <w:p w:rsidR="006240EA" w:rsidRDefault="00BF5CC7">
      <w:pPr>
        <w:pStyle w:val="Bibliography"/>
      </w:pPr>
      <w:bookmarkStart w:id="57" w:name="ref-NCRWQCB2006b"/>
      <w:bookmarkEnd w:id="56"/>
      <w:r>
        <w:t>North Coast Regional Water Quality Control Board (NCRWQCB). 2006. “Action Plan for the Scott Ri</w:t>
      </w:r>
      <w:r>
        <w:t>ver Sediment and Temperature Total Maximum Daily Loads (Basin Plan Language).”</w:t>
      </w:r>
    </w:p>
    <w:p w:rsidR="006240EA" w:rsidRDefault="00BF5CC7">
      <w:pPr>
        <w:pStyle w:val="Bibliography"/>
      </w:pPr>
      <w:bookmarkStart w:id="58" w:name="ref-Ohlberger2018"/>
      <w:bookmarkEnd w:id="57"/>
      <w:r>
        <w:t>Ohlberger, Jan, Thomas W. Buehrens, Samuel J. Brenkman, Patrick Crain, Thomas P. Quinn, and Ray Hilborn. 2018. “Effects of past and projected river discharge variability on fres</w:t>
      </w:r>
      <w:r>
        <w:t xml:space="preserve">hwater production in an anadromous fish.” </w:t>
      </w:r>
      <w:r>
        <w:rPr>
          <w:i/>
          <w:iCs/>
        </w:rPr>
        <w:t>Freshwater Biology</w:t>
      </w:r>
      <w:r>
        <w:t xml:space="preserve"> 63 (4): 331–40. </w:t>
      </w:r>
      <w:hyperlink r:id="rId37">
        <w:r>
          <w:rPr>
            <w:rStyle w:val="Hyperlink"/>
          </w:rPr>
          <w:t>https://doi.org/10.1111/fwb.13070</w:t>
        </w:r>
      </w:hyperlink>
      <w:r>
        <w:t>.</w:t>
      </w:r>
    </w:p>
    <w:p w:rsidR="006240EA" w:rsidRDefault="00BF5CC7">
      <w:pPr>
        <w:pStyle w:val="Bibliography"/>
      </w:pPr>
      <w:bookmarkStart w:id="59" w:name="ref-Pareto1896"/>
      <w:bookmarkEnd w:id="58"/>
      <w:r>
        <w:t xml:space="preserve">Pareto, Vilfredo. 1896. </w:t>
      </w:r>
      <w:r>
        <w:rPr>
          <w:i/>
          <w:iCs/>
        </w:rPr>
        <w:t>Cours D’Economie Politique</w:t>
      </w:r>
      <w:r>
        <w:t>. Lausanne.</w:t>
      </w:r>
    </w:p>
    <w:p w:rsidR="006240EA" w:rsidRDefault="00BF5CC7">
      <w:pPr>
        <w:pStyle w:val="Bibliography"/>
      </w:pPr>
      <w:bookmarkStart w:id="60" w:name="ref-Reuss1992"/>
      <w:bookmarkEnd w:id="59"/>
      <w:r>
        <w:t xml:space="preserve">Reuss, M. 1992. “Coping with </w:t>
      </w:r>
      <w:r>
        <w:t xml:space="preserve">uncertainty: social scientists, engineers, and federal water resources planning.” </w:t>
      </w:r>
      <w:r>
        <w:rPr>
          <w:i/>
          <w:iCs/>
        </w:rPr>
        <w:t>Natural Resources Journal</w:t>
      </w:r>
      <w:r>
        <w:t xml:space="preserve"> 32 (1): 101–35.</w:t>
      </w:r>
    </w:p>
    <w:p w:rsidR="006240EA" w:rsidRDefault="00BF5CC7">
      <w:pPr>
        <w:pStyle w:val="Bibliography"/>
      </w:pPr>
      <w:bookmarkStart w:id="61" w:name="ref-Rodell2018"/>
      <w:bookmarkEnd w:id="60"/>
      <w:r>
        <w:t>Rodell, M., J. S. Famiglietti, D. N. Wiese, J. T. Reager, H. K. Beaudoing, F. W. Landerer, and M. H. Lo. 2018. “Emerging trends in g</w:t>
      </w:r>
      <w:r>
        <w:t xml:space="preserve">lobal freshwater availability.” </w:t>
      </w:r>
      <w:r>
        <w:rPr>
          <w:i/>
          <w:iCs/>
        </w:rPr>
        <w:t>Nature</w:t>
      </w:r>
      <w:r>
        <w:t xml:space="preserve"> 557 (7707): 651–59. </w:t>
      </w:r>
      <w:hyperlink r:id="rId38">
        <w:r>
          <w:rPr>
            <w:rStyle w:val="Hyperlink"/>
          </w:rPr>
          <w:t>https://doi.org/10.1038/s41586-018-0123-1</w:t>
        </w:r>
      </w:hyperlink>
      <w:r>
        <w:t>.</w:t>
      </w:r>
    </w:p>
    <w:p w:rsidR="006240EA" w:rsidRDefault="00BF5CC7">
      <w:pPr>
        <w:pStyle w:val="Bibliography"/>
      </w:pPr>
      <w:bookmarkStart w:id="62" w:name="ref-Rogers1986a"/>
      <w:bookmarkEnd w:id="61"/>
      <w:r>
        <w:t xml:space="preserve">Rogers, Peter P., and Myron B. Fiering. 1986. “Use of systems analysis in water management.” </w:t>
      </w:r>
      <w:r>
        <w:rPr>
          <w:i/>
          <w:iCs/>
        </w:rPr>
        <w:t>Water Resources Research</w:t>
      </w:r>
      <w:r>
        <w:t xml:space="preserve"> 22 (9 S): 146S–158S. </w:t>
      </w:r>
      <w:hyperlink r:id="rId39">
        <w:r>
          <w:rPr>
            <w:rStyle w:val="Hyperlink"/>
          </w:rPr>
          <w:t>https://doi.org/10.1029/WR022i09Sp0146S</w:t>
        </w:r>
      </w:hyperlink>
      <w:r>
        <w:t>.</w:t>
      </w:r>
    </w:p>
    <w:p w:rsidR="006240EA" w:rsidRDefault="00BF5CC7">
      <w:pPr>
        <w:pStyle w:val="Bibliography"/>
      </w:pPr>
      <w:bookmarkStart w:id="63" w:name="ref-SVAP1980"/>
      <w:bookmarkEnd w:id="62"/>
      <w:r>
        <w:t>Scott Valley Area Plan Committee. 1980. “Scott Valley Area Plan (SVAP).”</w:t>
      </w:r>
    </w:p>
    <w:p w:rsidR="006240EA" w:rsidRDefault="00BF5CC7">
      <w:pPr>
        <w:pStyle w:val="Bibliography"/>
      </w:pPr>
      <w:bookmarkStart w:id="64" w:name="ref-SiskiyouCounty2021"/>
      <w:bookmarkEnd w:id="63"/>
      <w:r>
        <w:t>Siskiyou County Flood Control and Wat</w:t>
      </w:r>
      <w:r>
        <w:t xml:space="preserve">er Conservation District. 2021. “Scott Valley Groundwater Sustainability Plan.” Siskiyou County Flood Control; Water Conservation District. </w:t>
      </w:r>
      <w:hyperlink r:id="rId40">
        <w:r>
          <w:rPr>
            <w:rStyle w:val="Hyperlink"/>
          </w:rPr>
          <w:t>https://www.co.sisk</w:t>
        </w:r>
        <w:r>
          <w:rPr>
            <w:rStyle w:val="Hyperlink"/>
          </w:rPr>
          <w:t>iyou.ca.us/naturalresources/page/scott-valley-gsp-chapters</w:t>
        </w:r>
      </w:hyperlink>
      <w:r>
        <w:t>.</w:t>
      </w:r>
    </w:p>
    <w:p w:rsidR="006240EA" w:rsidRDefault="00BF5CC7">
      <w:pPr>
        <w:pStyle w:val="Bibliography"/>
      </w:pPr>
      <w:bookmarkStart w:id="65" w:name="ref-SVGAC2021_June"/>
      <w:bookmarkEnd w:id="64"/>
      <w:r>
        <w:t>Siskiyou County GSA - Scott Valley Groundwater Advisory Committee. 2021. “Siskiyou County Groundwater Sustainability Agency: Scott Valley Advisory Committee Meeting.” Fort Jones, CA: Siskiyou Coun</w:t>
      </w:r>
      <w:r>
        <w:t xml:space="preserve">ty. </w:t>
      </w:r>
      <w:hyperlink r:id="rId41">
        <w:r>
          <w:rPr>
            <w:rStyle w:val="Hyperlink"/>
          </w:rPr>
          <w:t>https://www.co.siskiyou.ca.us/scottvga/page/scott-valley-groundwater-advisory-committee-meeting-15</w:t>
        </w:r>
      </w:hyperlink>
      <w:r>
        <w:t>.</w:t>
      </w:r>
    </w:p>
    <w:p w:rsidR="006240EA" w:rsidRDefault="00BF5CC7">
      <w:pPr>
        <w:pStyle w:val="Bibliography"/>
      </w:pPr>
      <w:bookmarkStart w:id="66" w:name="ref-Sunding1996"/>
      <w:bookmarkEnd w:id="65"/>
      <w:r>
        <w:t>Sunding, David L. 1996. “Measuring</w:t>
      </w:r>
      <w:r>
        <w:t xml:space="preserve"> the Marginal Cost of Nonuniform Environmental Regulations.” </w:t>
      </w:r>
      <w:r>
        <w:rPr>
          <w:i/>
          <w:iCs/>
        </w:rPr>
        <w:t>American Journal of Agricultural Economics</w:t>
      </w:r>
      <w:r>
        <w:t xml:space="preserve"> 78 (4): 1098–1107. </w:t>
      </w:r>
      <w:hyperlink r:id="rId42">
        <w:r>
          <w:rPr>
            <w:rStyle w:val="Hyperlink"/>
          </w:rPr>
          <w:t>https://doi.org/10.2307/1243866</w:t>
        </w:r>
      </w:hyperlink>
      <w:r>
        <w:t>.</w:t>
      </w:r>
    </w:p>
    <w:p w:rsidR="006240EA" w:rsidRDefault="00BF5CC7">
      <w:pPr>
        <w:pStyle w:val="Bibliography"/>
      </w:pPr>
      <w:bookmarkStart w:id="67" w:name="ref-SuperiorCourtofSiskiyouCounty1980"/>
      <w:bookmarkEnd w:id="66"/>
      <w:r>
        <w:t>Superior Court of Siskiyou County. 1980. “Scott R</w:t>
      </w:r>
      <w:r>
        <w:t xml:space="preserve">iver Adjudication, Decree No. 30662. Scott River stream system, Siskiyou County. California State Water Resources Conrol Board.” Sacramento. </w:t>
      </w:r>
      <w:hyperlink r:id="rId43">
        <w:r>
          <w:rPr>
            <w:rStyle w:val="Hyperlink"/>
          </w:rPr>
          <w:t>https://www.waterboards.ca.gov/waterrights/board{\_}decisions/adopted{\_}orders/judgments/docs/scottriver{\_}jd.pdf</w:t>
        </w:r>
      </w:hyperlink>
      <w:r>
        <w:t>.</w:t>
      </w:r>
    </w:p>
    <w:p w:rsidR="006240EA" w:rsidRDefault="00BF5CC7">
      <w:pPr>
        <w:pStyle w:val="Bibliography"/>
      </w:pPr>
      <w:bookmarkStart w:id="68" w:name="ref-Tolley2019"/>
      <w:bookmarkEnd w:id="67"/>
      <w:r>
        <w:t>Tolley, Douglas G., Laura Foglia, and Thomas Harter. 2019. “</w:t>
      </w:r>
      <w:r>
        <w:t xml:space="preserve">Sensitivity Analysis and Calibration of an Integrated Hydrologic Model in an Irrigated Agricultural Basin with a Groundwater-Dependent Ecosystem.” </w:t>
      </w:r>
      <w:r>
        <w:rPr>
          <w:i/>
          <w:iCs/>
        </w:rPr>
        <w:t>Water Resources Research</w:t>
      </w:r>
      <w:r>
        <w:t xml:space="preserve"> 55 (8). </w:t>
      </w:r>
      <w:hyperlink r:id="rId44">
        <w:r>
          <w:rPr>
            <w:rStyle w:val="Hyperlink"/>
          </w:rPr>
          <w:t>https://doi.org/10.1</w:t>
        </w:r>
        <w:r>
          <w:rPr>
            <w:rStyle w:val="Hyperlink"/>
          </w:rPr>
          <w:t>029/2018WR024209</w:t>
        </w:r>
      </w:hyperlink>
      <w:r>
        <w:t>.</w:t>
      </w:r>
    </w:p>
    <w:p w:rsidR="006240EA" w:rsidRDefault="00BF5CC7">
      <w:pPr>
        <w:pStyle w:val="Bibliography"/>
      </w:pPr>
      <w:bookmarkStart w:id="69" w:name="ref-USCensusBureau2018"/>
      <w:bookmarkEnd w:id="68"/>
      <w:r>
        <w:t xml:space="preserve">U.S. Census Bureau. 2018. “2013-2017 American Community Survey 5-Year Estimates.” </w:t>
      </w:r>
      <w:hyperlink r:id="rId45" w:anchor="}ACS2017x5">
        <w:r>
          <w:rPr>
            <w:rStyle w:val="Hyperlink"/>
          </w:rPr>
          <w:t>http://www.dof.ca.gov/Reports/Demographic{\_}Reports/American{\_}Community{\_}Survey/{\#}ACS2017x5</w:t>
        </w:r>
      </w:hyperlink>
      <w:r>
        <w:t>.</w:t>
      </w:r>
    </w:p>
    <w:p w:rsidR="006240EA" w:rsidRDefault="00BF5CC7">
      <w:pPr>
        <w:pStyle w:val="Bibliography"/>
      </w:pPr>
      <w:bookmarkStart w:id="70" w:name="ref-USCensus2021"/>
      <w:bookmarkEnd w:id="69"/>
      <w:r>
        <w:t xml:space="preserve">———. 2021. “2020 Decennial Census.” </w:t>
      </w:r>
      <w:hyperlink r:id="rId46">
        <w:r>
          <w:rPr>
            <w:rStyle w:val="Hyperlink"/>
          </w:rPr>
          <w:t>https://data.census.gov/cedsci</w:t>
        </w:r>
      </w:hyperlink>
      <w:r>
        <w:t>.</w:t>
      </w:r>
    </w:p>
    <w:p w:rsidR="006240EA" w:rsidRDefault="00BF5CC7">
      <w:pPr>
        <w:pStyle w:val="Bibliography"/>
      </w:pPr>
      <w:bookmarkStart w:id="71" w:name="ref-Williams2020"/>
      <w:bookmarkEnd w:id="70"/>
      <w:r>
        <w:t xml:space="preserve">Williams, AP, ER Cook, JE Smerdon, BI </w:t>
      </w:r>
      <w:r>
        <w:t xml:space="preserve">Cook, JT Abatzoglou, Kasey Bolles, SH Baek, AM Badger, and Ben Livne. 2020. “Large contribution from anthropogenic warming to an emerging North American megadrought.” </w:t>
      </w:r>
      <w:r>
        <w:rPr>
          <w:i/>
          <w:iCs/>
        </w:rPr>
        <w:t>Science</w:t>
      </w:r>
      <w:r>
        <w:t xml:space="preserve"> In press (April): 314–18.</w:t>
      </w:r>
    </w:p>
    <w:p w:rsidR="006240EA" w:rsidRDefault="00BF5CC7">
      <w:pPr>
        <w:pStyle w:val="Bibliography"/>
      </w:pPr>
      <w:bookmarkStart w:id="72" w:name="ref-Yeh1982"/>
      <w:bookmarkEnd w:id="71"/>
      <w:r>
        <w:t>Yeh, William W‐G, and Leonard Becker. 1982. “Multiobjec</w:t>
      </w:r>
      <w:r>
        <w:t xml:space="preserve">tive analysis of multireservoir operations.” </w:t>
      </w:r>
      <w:r>
        <w:rPr>
          <w:i/>
          <w:iCs/>
        </w:rPr>
        <w:t>Water Resources Research</w:t>
      </w:r>
      <w:r>
        <w:t xml:space="preserve"> 18 (5): 1326–36. </w:t>
      </w:r>
      <w:hyperlink r:id="rId47">
        <w:r>
          <w:rPr>
            <w:rStyle w:val="Hyperlink"/>
          </w:rPr>
          <w:t>https://doi.org/10.1029/WR018i005p01326</w:t>
        </w:r>
      </w:hyperlink>
      <w:r>
        <w:t>.</w:t>
      </w:r>
    </w:p>
    <w:p w:rsidR="006240EA" w:rsidRDefault="00BF5CC7">
      <w:pPr>
        <w:pStyle w:val="Bibliography"/>
      </w:pPr>
      <w:bookmarkStart w:id="73" w:name="ref-YSGA2022"/>
      <w:bookmarkEnd w:id="72"/>
      <w:r>
        <w:t>Yolo Subbasin Groundwater Agency. 2022. “Yolo Subbasin Groundwater Ag</w:t>
      </w:r>
      <w:r>
        <w:t>ency 2022 Groundwater Sustainability Plan.” Woodland, CA.</w:t>
      </w:r>
      <w:bookmarkEnd w:id="31"/>
      <w:bookmarkEnd w:id="33"/>
      <w:bookmarkEnd w:id="73"/>
    </w:p>
    <w:sectPr w:rsidR="006240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5CC7" w:rsidRDefault="00BF5CC7">
      <w:pPr>
        <w:spacing w:after="0"/>
      </w:pPr>
      <w:r>
        <w:separator/>
      </w:r>
    </w:p>
  </w:endnote>
  <w:endnote w:type="continuationSeparator" w:id="0">
    <w:p w:rsidR="00BF5CC7" w:rsidRDefault="00BF5C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5CC7" w:rsidRDefault="00BF5CC7">
      <w:r>
        <w:separator/>
      </w:r>
    </w:p>
  </w:footnote>
  <w:footnote w:type="continuationSeparator" w:id="0">
    <w:p w:rsidR="00BF5CC7" w:rsidRDefault="00BF5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F3EF7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0FA67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0"/>
    <w:multiLevelType w:val="multilevel"/>
    <w:tmpl w:val="DF1A73EE"/>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3" w15:restartNumberingAfterBreak="0">
    <w:nsid w:val="00A99411"/>
    <w:multiLevelType w:val="multilevel"/>
    <w:tmpl w:val="3072F3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lvlOverride w:ilvl="1"/>
    <w:lvlOverride w:ilvl="2"/>
    <w:lvlOverride w:ilvl="3"/>
    <w:lvlOverride w:ilvl="4"/>
    <w:lvlOverride w:ilvl="5"/>
    <w:lvlOverride w:ilvl="6"/>
    <w:lvlOverride w:ilvl="7"/>
    <w:lvlOverride w:ilvl="8"/>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EA"/>
    <w:rsid w:val="006240EA"/>
    <w:rsid w:val="00706887"/>
    <w:rsid w:val="00BF5C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19A9D9-0B61-49A2-A723-4CB5362B2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file:///C:\Users\kelseymcneill\Downloads\Scott%20River%7b\_%7dFINAL%2002-10-17.pdf" TargetMode="External"/><Relationship Id="rId26" Type="http://schemas.openxmlformats.org/officeDocument/2006/relationships/hyperlink" Target="http://groundwater.ucdavis.edu/files/165395.pdf" TargetMode="External"/><Relationship Id="rId39" Type="http://schemas.openxmlformats.org/officeDocument/2006/relationships/hyperlink" Target="https://doi.org/10.1029/WR022i09Sp0146S" TargetMode="External"/><Relationship Id="rId21" Type="http://schemas.openxmlformats.org/officeDocument/2006/relationships/hyperlink" Target="https://www.waterboards.ca.gov/drought/scott%7b\_%7dshasta%7b\_%7drivers/docs/swb%7b\_%7d2021%7b\_%7dshasta%7b\_%7dscott%7b\_%7ddrought%7b\_%7demergency%7b\_%7dfinal.pdf" TargetMode="External"/><Relationship Id="rId34" Type="http://schemas.openxmlformats.org/officeDocument/2006/relationships/hyperlink" Target="https://pubs.usgs.gov/wsp/1462/report.pdf" TargetMode="External"/><Relationship Id="rId42" Type="http://schemas.openxmlformats.org/officeDocument/2006/relationships/hyperlink" Target="https://doi.org/10.2307/1243866" TargetMode="External"/><Relationship Id="rId47" Type="http://schemas.openxmlformats.org/officeDocument/2006/relationships/hyperlink" Target="https://doi.org/10.1029/WR018i005p01326"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577/1548-8675(1994)014%3c0237:hdacso%3e2.3.co;2" TargetMode="External"/><Relationship Id="rId29" Type="http://schemas.openxmlformats.org/officeDocument/2006/relationships/hyperlink" Target="https://kbifrm.psmfc.org/wp-content/uploads/2016/12/Graham%7b\_%7d2012%7b\_%7d0010%7b\_%7dKlamath-River-Basin-Restoration-Nonuse-Value-Survey-Final-Report.pdf" TargetMode="External"/><Relationship Id="rId11" Type="http://schemas.openxmlformats.org/officeDocument/2006/relationships/image" Target="media/image5.png"/><Relationship Id="rId24" Type="http://schemas.openxmlformats.org/officeDocument/2006/relationships/hyperlink" Target="https://doi.org/10.1029/2018WR023901" TargetMode="External"/><Relationship Id="rId32" Type="http://schemas.openxmlformats.org/officeDocument/2006/relationships/hyperlink" Target="https://doi.org/10.1029/2004WR003787" TargetMode="External"/><Relationship Id="rId37" Type="http://schemas.openxmlformats.org/officeDocument/2006/relationships/hyperlink" Target="https://doi.org/10.1111/fwb.13070" TargetMode="External"/><Relationship Id="rId40" Type="http://schemas.openxmlformats.org/officeDocument/2006/relationships/hyperlink" Target="https://www.co.siskiyou.ca.us/naturalresources/page/scott-valley-gsp-chapters" TargetMode="External"/><Relationship Id="rId45" Type="http://schemas.openxmlformats.org/officeDocument/2006/relationships/hyperlink" Target="http://www.dof.ca.gov/Reports/Demographic%7b\_%7dReports/American%7b\_%7dCommunity%7b\_%7dSurvey/%7b\" TargetMode="External"/><Relationship Id="rId5" Type="http://schemas.openxmlformats.org/officeDocument/2006/relationships/footnotes" Target="footnotes.xml"/><Relationship Id="rId15" Type="http://schemas.openxmlformats.org/officeDocument/2006/relationships/hyperlink" Target="https://doi.org/10.1002/2015WR017114.Received" TargetMode="External"/><Relationship Id="rId23" Type="http://schemas.openxmlformats.org/officeDocument/2006/relationships/hyperlink" Target="https://doi.org/10.1029/WR011i002p00208" TargetMode="External"/><Relationship Id="rId28" Type="http://schemas.openxmlformats.org/officeDocument/2006/relationships/hyperlink" Target="https://doi.org/10.1029/WR019i002p00305" TargetMode="External"/><Relationship Id="rId36" Type="http://schemas.openxmlformats.org/officeDocument/2006/relationships/hyperlink" Target="https://doi.org/10.1029/WR009i004p00837"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ata.cnra.ca.gov/dataset/crop-mapping-2016" TargetMode="External"/><Relationship Id="rId31" Type="http://schemas.openxmlformats.org/officeDocument/2006/relationships/hyperlink" Target="https://doi.org/10.2307/1243543" TargetMode="External"/><Relationship Id="rId44" Type="http://schemas.openxmlformats.org/officeDocument/2006/relationships/hyperlink" Target="https://doi.org/10.1029/2018WR02420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29/WR009i004p00826" TargetMode="External"/><Relationship Id="rId27" Type="http://schemas.openxmlformats.org/officeDocument/2006/relationships/hyperlink" Target="https://fcgma.org/groundwater-sustainability-plan" TargetMode="External"/><Relationship Id="rId30" Type="http://schemas.openxmlformats.org/officeDocument/2006/relationships/hyperlink" Target="http://groundwater.ucdavis.edu/files/136426.pdf" TargetMode="External"/><Relationship Id="rId35" Type="http://schemas.openxmlformats.org/officeDocument/2006/relationships/hyperlink" Target="https://doi.org/10.1007/BF03161678" TargetMode="External"/><Relationship Id="rId43" Type="http://schemas.openxmlformats.org/officeDocument/2006/relationships/hyperlink" Target="https://www.waterboards.ca.gov/waterrights/board%7b\_%7ddecisions/adopted%7b\_%7dorders/judgments/docs/scottriver%7b\_%7djd.pdf"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fs.usda.gov/Internet/FSE%7b\_%7dDOCUMENTS/stelprd3850544.pdf" TargetMode="External"/><Relationship Id="rId25" Type="http://schemas.openxmlformats.org/officeDocument/2006/relationships/hyperlink" Target="https://data.cnra.ca.gov/dataset/13ebd2d3-4e62-4fee-9342-d7c3ef3e0079/resource/ffafd27b-5e7e-4db3-b846-e7b3cb5c614c/download/sgma%7b\_%7dbp%7b\_%7dprocess%7b\_%7ddocument.pdf" TargetMode="External"/><Relationship Id="rId33" Type="http://schemas.openxmlformats.org/officeDocument/2006/relationships/hyperlink" Target="https://doi.org/10.4159/harvard.9780674421042" TargetMode="External"/><Relationship Id="rId38" Type="http://schemas.openxmlformats.org/officeDocument/2006/relationships/hyperlink" Target="https://doi.org/10.1038/s41586-018-0123-1" TargetMode="External"/><Relationship Id="rId46" Type="http://schemas.openxmlformats.org/officeDocument/2006/relationships/hyperlink" Target="https://data.census.gov/cedsci" TargetMode="External"/><Relationship Id="rId20" Type="http://schemas.openxmlformats.org/officeDocument/2006/relationships/hyperlink" Target="https://doi.org/10.2135/cropsci1983.0011183x002300040016x" TargetMode="External"/><Relationship Id="rId41" Type="http://schemas.openxmlformats.org/officeDocument/2006/relationships/hyperlink" Target="https://www.co.siskiyou.ca.us/scottvga/page/scott-valley-groundwater-advisory-committee-meeting-15"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12368</Words>
  <Characters>70500</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Multi-objective assessment of a stakeholder-defined portfolio of groundwater and stream management actions in an agricultural basin</vt:lpstr>
    </vt:vector>
  </TitlesOfParts>
  <Company/>
  <LinksUpToDate>false</LinksUpToDate>
  <CharactersWithSpaces>82703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cp:lastModifiedBy>Claire Kouba</cp:lastModifiedBy>
  <cp:revision>2</cp:revision>
  <dcterms:created xsi:type="dcterms:W3CDTF">2024-11-26T19:15:00Z</dcterms:created>
  <dcterms:modified xsi:type="dcterms:W3CDTF">2024-11-26T19:15:00Z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2024-11-27</vt:lpwstr>
  </property>
  <property fmtid="{D5CDD505-2E9C-101B-9397-08002B2CF9AE}" pid="4" name="output">
    <vt:lpwstr/>
  </property>
</Properties>
</file>