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121.png" ContentType="image/png"/>
  <Override PartName="/word/media/rId25.png" ContentType="image/png"/>
  <Override PartName="/word/media/rId44.png" ContentType="image/png"/>
  <Override PartName="/word/media/rId54.png" ContentType="image/png"/>
  <Override PartName="/word/media/rId57.png" ContentType="image/png"/>
  <Override PartName="/word/media/rId61.png" ContentType="image/png"/>
  <Override PartName="/word/media/rId107.png" ContentType="image/png"/>
  <Override PartName="/word/media/rId112.png" ContentType="image/png"/>
  <Override PartName="/word/media/rId41.png" ContentType="image/png"/>
  <Override PartName="/word/media/rId32.jpg" ContentType="image/jpeg"/>
  <Override PartName="/word/media/rId22.png" ContentType="image/png"/>
  <Override PartName="/word/media/rId64.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remains poorly quantified in many regions. This work aims to quantify hydrologic conditions that support persistence of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used an ensemble of the three best linear models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to evaluate trade-offs and support water management decisions in human-altered novel ecosystems.</w:t>
      </w:r>
    </w:p>
    <w:p>
      <w:r>
        <w:br w:type="page"/>
      </w:r>
    </w:p>
    <w:bookmarkEnd w:id="20"/>
    <w:bookmarkStart w:id="21" w:name="introduction"/>
    <w:p>
      <w:pPr>
        <w:pStyle w:val="Heading1"/>
      </w:pPr>
      <w:r>
        <w:rPr>
          <w:rStyle w:val="SectionNumber"/>
        </w:rPr>
        <w:t xml:space="preserve">1</w:t>
      </w:r>
      <w:r>
        <w:tab/>
      </w:r>
      <w:r>
        <w:t xml:space="preserve">Introduction</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N. L. Poff and Zimmerman 2010; Shenton et al. 2012; Solans and García de Jalón 2016)</w:t>
      </w:r>
      <w:r>
        <w:t xml:space="preserve">, the regional-scale conditions that would maintain biodiversity are as yet unquantified or highly uncertain</w:t>
      </w:r>
      <w:r>
        <w:t xml:space="preserve"> </w:t>
      </w:r>
      <w:r>
        <w:t xml:space="preserve">(N. L. 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(N. L. Poff et al. 1997; N. L. Poff and Zimmerman 2010)</w:t>
      </w:r>
      <w:r>
        <w:t xml:space="preserve">. Functional flow metrics are used to quantify potential ecological services provided by river flow in terms of flowrate amplitude, timing, frequency, and duration in distinct seasons of a water year.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ecological services provided by hydrology in different seasons into a single index value per water year. This work sets the stage for a quantitative comparison of competing natural resource management alternatives.</w:t>
      </w:r>
    </w:p>
    <w:bookmarkEnd w:id="21"/>
    <w:bookmarkStart w:id="40" w:name="X64f7ebf8be7aee8f015a7ab48fe88f61a5f7a78"/>
    <w:p>
      <w:pPr>
        <w:pStyle w:val="Heading1"/>
      </w:pPr>
      <w:r>
        <w:rPr>
          <w:rStyle w:val="SectionNumber"/>
        </w:rPr>
        <w:t xml:space="preserve">2</w:t>
      </w:r>
      <w:r>
        <w:tab/>
      </w:r>
      <w:r>
        <w:t xml:space="preserve">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Both of these requirements are met in Scott Valley, where daily river flow monitoring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Routine monitoring of spawning anadromous fish in this watershed and the broader Klamath basin has been ongoing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3" name="Picture"/>
            <a:graphic>
              <a:graphicData uri="http://schemas.openxmlformats.org/drawingml/2006/picture">
                <pic:pic>
                  <pic:nvPicPr>
                    <pic:cNvPr descr="Graphics%20and%20Supplements/scott%20valley%20setting.png" id="24" name="Picture"/>
                    <pic:cNvPicPr>
                      <a:picLocks noChangeArrowheads="1" noChangeAspect="1"/>
                    </pic:cNvPicPr>
                  </pic:nvPicPr>
                  <pic:blipFill>
                    <a:blip r:embed="rId22"/>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0" w:name="X36fa6955ee881a3061f3114fd02206899c105b3"/>
    <w:p>
      <w:pPr>
        <w:pStyle w:val="Heading2"/>
      </w:pPr>
      <w:r>
        <w:rPr>
          <w:rStyle w:val="SectionNumber"/>
        </w:rPr>
        <w:t xml:space="preserve">2.1</w:t>
      </w:r>
      <w:r>
        <w:tab/>
      </w:r>
      <w:r>
        <w:t xml:space="preserve">Scott River watershed setting and water use</w:t>
      </w:r>
    </w:p>
    <w:bookmarkStart w:id="28"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To accommodate this precipitation and runoff schedule, water years in California conventionally begin on Oct. 1; they are named for the year in which they end (e.g., water year 2021 begins Oct. 1, 2020 and runs through Sep. 30, 2021).</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6" name="Picture"/>
            <a:graphic>
              <a:graphicData uri="http://schemas.openxmlformats.org/drawingml/2006/picture">
                <pic:pic>
                  <pic:nvPicPr>
                    <pic:cNvPr descr="Graphics%20and%20Supplements/Figure%202.png" id="27" name="Picture"/>
                    <pic:cNvPicPr>
                      <a:picLocks noChangeArrowheads="1" noChangeAspect="1"/>
                    </pic:cNvPicPr>
                  </pic:nvPicPr>
                  <pic:blipFill>
                    <a:blip r:embed="rId25"/>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28"/>
    <w:bookmarkStart w:id="29"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29"/>
    <w:bookmarkEnd w:id="30"/>
    <w:bookmarkStart w:id="38" w:name="species-of-concern-coho-and-chinook"/>
    <w:p>
      <w:pPr>
        <w:pStyle w:val="Heading2"/>
      </w:pPr>
      <w:r>
        <w:rPr>
          <w:rStyle w:val="SectionNumber"/>
        </w:rPr>
        <w:t xml:space="preserve">2.2</w:t>
      </w:r>
      <w:r>
        <w:tab/>
      </w:r>
      <w:r>
        <w:t xml:space="preserve">Species of concern: coho and Chinook</w:t>
      </w:r>
    </w:p>
    <w:bookmarkStart w:id="31"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1"/>
    <w:bookmarkStart w:id="35"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3" name="Picture"/>
            <a:graphic>
              <a:graphicData uri="http://schemas.openxmlformats.org/drawingml/2006/picture">
                <pic:pic>
                  <pic:nvPicPr>
                    <pic:cNvPr descr="Graphics%20and%20Supplements/coho%20life%20cycle%20table_2022.02.03.jpg" id="34" name="Picture"/>
                    <pic:cNvPicPr>
                      <a:picLocks noChangeArrowheads="1" noChangeAspect="1"/>
                    </pic:cNvPicPr>
                  </pic:nvPicPr>
                  <pic:blipFill>
                    <a:blip r:embed="rId32"/>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5"/>
    <w:bookmarkStart w:id="36"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w:t>
      </w:r>
      <w:r>
        <w:rPr>
          <w:bCs/>
          <w:b/>
        </w:rPr>
        <w:t xml:space="preserve">ref?</w:t>
      </w:r>
      <w:r>
        <w:t xml:space="preserve">)</w:t>
      </w:r>
      <w:r>
        <w:t xml:space="preserve">(fig:cohoLifeCycleFigure).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6"/>
    <w:bookmarkStart w:id="37"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7"/>
    <w:bookmarkEnd w:id="38"/>
    <w:bookmarkStart w:id="39" w:name="key-ecological-metrics"/>
    <w:p>
      <w:pPr>
        <w:pStyle w:val="Heading2"/>
      </w:pPr>
      <w:r>
        <w:rPr>
          <w:rStyle w:val="SectionNumber"/>
        </w:rPr>
        <w:t xml:space="preserve">2.3</w:t>
      </w:r>
      <w:r>
        <w:tab/>
      </w:r>
      <w:r>
        <w:t xml:space="preserve">Key ecological metrics</w:t>
      </w:r>
    </w:p>
    <w:p>
      <w:pPr>
        <w:pStyle w:val="FirstParagraph"/>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pStyle w:val="FirstParagraph"/>
      </w:pPr>
      <w:r>
        <w:t xml:space="preserve">In addition to these three metrics, it is possible to calculate a combined metric, the number of salmon smolt produced per spawning female, after monitoring for multiple years to capture both the spawning and outmigrating events for the relevant cohort.</w:t>
      </w:r>
    </w:p>
    <w:bookmarkEnd w:id="39"/>
    <w:bookmarkEnd w:id="40"/>
    <w:bookmarkStart w:id="53" w:name="methods"/>
    <w:p>
      <w:pPr>
        <w:pStyle w:val="Heading1"/>
      </w:pPr>
      <w:r>
        <w:rPr>
          <w:rStyle w:val="SectionNumber"/>
        </w:rPr>
        <w:t xml:space="preserve">3</w:t>
      </w:r>
      <w:r>
        <w:tab/>
      </w:r>
      <w:r>
        <w:t xml:space="preserve">Methods</w:t>
      </w:r>
    </w:p>
    <w:p>
      <w:pPr>
        <w:pStyle w:val="FirstParagraph"/>
      </w:pPr>
      <w:r>
        <w:t xml:space="preserve">Hydrologic metric predictors of fish response variables were screened in two passes: first, using correlation coefficients on a large number of potential predictors, and then using linear models to assess combinations of a refined set of potential predictors. The objectives of the linear model selection exercise were to 1) empirically determine which hydrologic flows were related to coho reproductive outcomes and 2) assign weights of relative importance for a Hydrologic Benefit formula, using slopes in the linear models.</w:t>
      </w:r>
    </w:p>
    <w:bookmarkStart w:id="47" w:name="X90504e9e9e683c3d6548512a207e58f57862daf"/>
    <w:p>
      <w:pPr>
        <w:pStyle w:val="Heading2"/>
      </w:pPr>
      <w:r>
        <w:rPr>
          <w:rStyle w:val="SectionNumber"/>
        </w:rPr>
        <w:t xml:space="preserve">3.1</w:t>
      </w:r>
      <w:r>
        <w:tab/>
      </w:r>
      <w:r>
        <w:t xml:space="preserve">Flow metrics to describe Scott River flow regime</w:t>
      </w:r>
    </w:p>
    <w:p>
      <w:pPr>
        <w:pStyle w:val="FirstParagraph"/>
      </w:pPr>
      <w:r>
        <w:t xml:space="preserve">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Abbreviations and descriptions are listed in Table</w:t>
      </w:r>
      <w:r>
        <w:t xml:space="preserve"> </w:t>
      </w:r>
      <w:r>
        <w:t xml:space="preserve">1</w:t>
      </w:r>
      <w:r>
        <w:t xml:space="preserve">, and additional information is available in</w:t>
      </w:r>
      <w:r>
        <w:t xml:space="preserve"> </w:t>
      </w:r>
      <w:r>
        <w:t xml:space="preserve">Patterson et al. (2020)</w:t>
      </w:r>
      <w:r>
        <w:t xml:space="preserve"> </w:t>
      </w:r>
      <w:r>
        <w:t xml:space="preserve">and supporting documentation. Total annual flow is used to evaluate water year type.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In addition to the metrics discussed above, we devised two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While these metrics can be somewhat correlated with some of the California-specific functional flows, they add value to this analysis because of their direct relation to fish passage in the watershed.</w:t>
      </w:r>
    </w:p>
    <w:p>
      <w:pPr>
        <w:pStyle w:val="TableCaption"/>
      </w:pPr>
      <w:r>
        <w:t xml:space="preserve">Table 1:</w:t>
      </w:r>
      <w:r>
        <w:t xml:space="preserve"> </w:t>
      </w:r>
      <w:r>
        <w:t xml:space="preserve">Explanation of hydrologic metrics and other terms used in this analysis.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28"/>
        <w:gridCol w:w="2160"/>
        <w:gridCol w:w="50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or 100 cfs) (units of days after Aug. 31).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 or 100 cfs) (units of days after Aug. 31).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 (50th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percentile of daily flow within dry season</w:t>
            </w:r>
          </w:p>
        </w:tc>
      </w:tr>
      <w:tr>
        <w:trPr>
          <w:trHeight w:val="360" w:hRule="auto"/>
        </w:trPr>
        body14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DS_Mag_90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 (90th percentile)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percentile of daily flow within dry season</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2" name="Picture"/>
            <a:graphic>
              <a:graphicData uri="http://schemas.openxmlformats.org/drawingml/2006/picture">
                <pic:pic>
                  <pic:nvPicPr>
                    <pic:cNvPr descr="Graphics%20and%20Supplements/Yarnell2020_Fig2.PNG" id="43" name="Picture"/>
                    <pic:cNvPicPr>
                      <a:picLocks noChangeArrowheads="1" noChangeAspect="1"/>
                    </pic:cNvPicPr>
                  </pic:nvPicPr>
                  <pic:blipFill>
                    <a:blip r:embed="rId41"/>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5" name="Picture"/>
            <a:graphic>
              <a:graphicData uri="http://schemas.openxmlformats.org/drawingml/2006/picture">
                <pic:pic>
                  <pic:nvPicPr>
                    <pic:cNvPr descr="Graphics%20and%20Supplements/Figure%204.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7"/>
    <w:bookmarkStart w:id="48" w:name="X7d4930521050a5fc71765e6d3796ea830523cd8"/>
    <w:p>
      <w:pPr>
        <w:pStyle w:val="Heading2"/>
      </w:pPr>
      <w:r>
        <w:rPr>
          <w:rStyle w:val="SectionNumber"/>
        </w:rPr>
        <w:t xml:space="preserve">3.2</w:t>
      </w:r>
      <w:r>
        <w:tab/>
      </w:r>
      <w:r>
        <w:t xml:space="preserve">Data alignment and correlation coefficients between flow metrics and ecological observations</w:t>
      </w:r>
    </w:p>
    <w:p>
      <w:pPr>
        <w:pStyle w:val="FirstParagraph"/>
      </w:pPr>
      <w:r>
        <w:t xml:space="preserve">In the first pass of flow metric predictor selection, potential predictor variables were screened using correlation coefficients. Before the coefficients could be calculated the data was manipulated to assign each cohort’s ecological observations to the metrics of flow phenomena occurring at each life stage.</w:t>
      </w:r>
    </w:p>
    <w:p>
      <w:pPr>
        <w:pStyle w:val="BodyText"/>
      </w:pPr>
      <w:r>
        <w:t xml:space="preserve">Water managers think of flow in terms of water years, making it the relevant unit for decision-support tools. However, a cohort of coho salmon experiences conditions during multiple water years. The relevant unit of time for identifying the impacts of freshwater hydrology on a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1</w:t>
      </w:r>
      <w:r>
        <w:t xml:space="preserve">):</w:t>
      </w:r>
    </w:p>
    <w:p>
      <w:pPr>
        <w:numPr>
          <w:ilvl w:val="0"/>
          <w:numId w:val="1003"/>
        </w:numPr>
        <w:pStyle w:val="Compact"/>
      </w:pPr>
      <w:r>
        <w:t xml:space="preserve">Brood Year (BY), September-December of the year of the cohort’s parents’ spawning</w:t>
      </w:r>
    </w:p>
    <w:p>
      <w:pPr>
        <w:numPr>
          <w:ilvl w:val="0"/>
          <w:numId w:val="1003"/>
        </w:numPr>
        <w:pStyle w:val="Compact"/>
      </w:pPr>
      <w:r>
        <w:t xml:space="preserve">Rearing Year (RY), January-December of the full year the cohort spends in the watershed</w:t>
      </w:r>
    </w:p>
    <w:p>
      <w:pPr>
        <w:numPr>
          <w:ilvl w:val="0"/>
          <w:numId w:val="1003"/>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but they will be nevertheless be referred to by these designations for consistency.</w:t>
      </w:r>
    </w:p>
    <w:p>
      <w:pPr>
        <w:pStyle w:val="BodyText"/>
      </w:pPr>
      <w:r>
        <w:t xml:space="preserve">To build empirical relationships between hydrology and biology, we tabulated the flow metrics by Brood Year of the affected cohort</w:t>
      </w:r>
      <w:r>
        <w:t xml:space="preserve"> </w:t>
      </w:r>
      <w:r>
        <w:rPr>
          <w:iCs/>
          <w:i/>
        </w:rPr>
        <w:t xml:space="preserve">(Supplemental Table 1)</w:t>
      </w:r>
      <w:r>
        <w:t xml:space="preserve">. In each record (or row) of this table, multiple</w:t>
      </w:r>
      <w:r>
        <w:t xml:space="preserve"> </w:t>
      </w:r>
      <w:r>
        <w:t xml:space="preserve">“</w:t>
      </w:r>
      <w:r>
        <w:t xml:space="preserve">fish outcome</w:t>
      </w:r>
      <w:r>
        <w:t xml:space="preserve">”</w:t>
      </w:r>
      <w:r>
        <w:t xml:space="preserve"> </w:t>
      </w:r>
      <w:r>
        <w:t xml:space="preserve">observations are assigned to each brood year, including number of Chinook and coho spawners observed and the estimated number of smolt observed at the end of their CFLP. Hydrologic metrics are assigned to each Brood Year in terms of which flow metrics affected the salmon cohort as eggs, as rearing juveniles, and as yearlings/outmigrating smolt.</w:t>
      </w:r>
    </w:p>
    <w:p>
      <w:pPr>
        <w:pStyle w:val="BodyText"/>
      </w:pPr>
      <w:r>
        <w:t xml:space="preserve">After this exercise to align the hydrologic metric data with the appropriate salmon cohort, we assessed the potential for hydrologic metrics to predict biological outcomes by calculating Pearson correlation coefficients. Correlation coefficients were calculated between all hydrologic metrics under consideration and each of four biological measurements (e.g., number of spawners observed and estimated number of outmigrating smolt; see Results). This set of correlations was used to refine the set of predictors evaluated in the second step of predictor selection. The refined set consisted of the following:</w:t>
      </w:r>
    </w:p>
    <w:p>
      <w:pPr>
        <w:numPr>
          <w:ilvl w:val="0"/>
          <w:numId w:val="1004"/>
        </w:numPr>
        <w:pStyle w:val="Compact"/>
      </w:pPr>
      <w:r>
        <w:t xml:space="preserve">Reconnection dates, for Brood Year and Rearing Year, for 10, 15, 20, and 100 cfs</w:t>
      </w:r>
    </w:p>
    <w:p>
      <w:pPr>
        <w:numPr>
          <w:ilvl w:val="0"/>
          <w:numId w:val="1004"/>
        </w:numPr>
        <w:pStyle w:val="Compact"/>
      </w:pPr>
      <w:r>
        <w:t xml:space="preserve">Disconnection dates, for the Rearing Year, for 10, 15, 20 and 100 cfs, and for 100 cfs in the Smolt Year</w:t>
      </w:r>
    </w:p>
    <w:p>
      <w:pPr>
        <w:numPr>
          <w:ilvl w:val="0"/>
          <w:numId w:val="1004"/>
        </w:numPr>
        <w:pStyle w:val="Compact"/>
      </w:pPr>
      <w:r>
        <w:t xml:space="preserve">Total flow (i.e., the sum of volumetric flow on all days) in the Brood Year, Rearing Year, Smolt Year, and CFLP periods</w:t>
      </w:r>
    </w:p>
    <w:p>
      <w:pPr>
        <w:numPr>
          <w:ilvl w:val="0"/>
          <w:numId w:val="1004"/>
        </w:numPr>
        <w:pStyle w:val="Compact"/>
      </w:pPr>
      <w:r>
        <w:t xml:space="preserve">Wet season onset timing and baseflow duration, Rearing Year and Smolt Year</w:t>
      </w:r>
    </w:p>
    <w:p>
      <w:pPr>
        <w:numPr>
          <w:ilvl w:val="0"/>
          <w:numId w:val="1004"/>
        </w:numPr>
        <w:pStyle w:val="Compact"/>
      </w:pPr>
      <w:r>
        <w:t xml:space="preserve">Spring recession rate of change, Rearing Year and Smolt Year</w:t>
      </w:r>
    </w:p>
    <w:p>
      <w:pPr>
        <w:numPr>
          <w:ilvl w:val="0"/>
          <w:numId w:val="1004"/>
        </w:numPr>
        <w:pStyle w:val="Compact"/>
      </w:pPr>
      <w:r>
        <w:t xml:space="preserve">Dry season flow magnitude in the Rearing Year (50th and 90th percentiles)</w:t>
      </w:r>
    </w:p>
    <w:p>
      <w:pPr>
        <w:pStyle w:val="FirstParagraph"/>
      </w:pPr>
      <w:r>
        <w:t xml:space="preserve">Because Chinook migrate to the ocean in their first year of life, the duration of freshwater residence for each Chinook cohort is shorter than for coho, ranging from fall spawning to the subsequent spring or summer. Thus, only metrics from the Brood Year and a subset from the Rearing Year were considered for Chinook predictions.</w:t>
      </w:r>
    </w:p>
    <w:bookmarkEnd w:id="48"/>
    <w:bookmarkStart w:id="49" w:name="X9a8b029ebc5b02b7e8c6071856b5ee7a459bfc3"/>
    <w:p>
      <w:pPr>
        <w:pStyle w:val="Heading2"/>
      </w:pPr>
      <w:r>
        <w:rPr>
          <w:rStyle w:val="SectionNumber"/>
        </w:rPr>
        <w:t xml:space="preserve">3.3</w:t>
      </w:r>
      <w:r>
        <w:tab/>
      </w:r>
      <w:r>
        <w:t xml:space="preserve">Selection of ecological response variable and critical flow thresholds for reconnection predictors</w:t>
      </w:r>
    </w:p>
    <w:p>
      <w:pPr>
        <w:pStyle w:val="FirstParagraph"/>
      </w:pPr>
      <w:r>
        <w:t xml:space="preserve">Of the ecological response variables that were evaluated for coho, one variable clearly showed a higher degree of correlatedness with hydrologic metrics: the number of coho smolt produced (i.e., that were estimated as outmigrating from the watershed) divided by the estimate of spawning females migrating upstream almost two years prior (i.e., the cohort’s parents). One reason for this strong degree of correlatedness may be that the normalization to the number of spawners makes the three cohorts more comparable. This metric has also been identified by state agency analysts as indicative of freshwater ecosystem conditions at coho salmon populations below carrying capacity</w:t>
      </w:r>
      <w:r>
        <w:t xml:space="preserve"> </w:t>
      </w:r>
      <w:r>
        <w:t xml:space="preserve">(CDFW 2021)</w:t>
      </w:r>
      <w:r>
        <w:t xml:space="preserve">. Consequently, all further hydro-ecological modeling uses this coho smolt per female (coho spf) metric as the response variable.</w:t>
      </w:r>
    </w:p>
    <w:p>
      <w:pPr>
        <w:pStyle w:val="BodyText"/>
      </w:pPr>
      <w:r>
        <w:t xml:space="preserve">For Chinook, conversely,</w:t>
      </w:r>
    </w:p>
    <w:p>
      <w:pPr>
        <w:pStyle w:val="BodyText"/>
      </w:pPr>
      <w:r>
        <w:t xml:space="preserve">To avoid introducing redundant information into the prediction analysis</w:t>
      </w:r>
      <w:r>
        <w:t xml:space="preserve"> </w:t>
      </w:r>
      <w:r>
        <w:t xml:space="preserve">(Olden and Poff 2003)</w:t>
      </w:r>
      <w:r>
        <w:t xml:space="preserve">, we examined relationships between reconnection dates and biological monitoring data to find the flow thresholds with the highest predictive power. Two critical flow thresholds (10 cfs and 100 cfs) were selected, based on the ability for the flow threshold reconnection dates to predict the observed biological data (based on R</w:t>
      </w:r>
      <w:r>
        <w:rPr>
          <w:vertAlign w:val="superscript"/>
        </w:rPr>
        <w:t xml:space="preserve">2</w:t>
      </w:r>
      <w:r>
        <w:t xml:space="preserve"> </w:t>
      </w:r>
      <w:r>
        <w:t xml:space="preserve">values), as well as professional judgment and previous work done on salmon passage in the watershed</w:t>
      </w:r>
      <w:r>
        <w:t xml:space="preserve"> </w:t>
      </w:r>
      <w:r>
        <w:t xml:space="preserve">(e.g., SRWC 2018)</w:t>
      </w:r>
      <w:r>
        <w:t xml:space="preserve">.</w:t>
      </w:r>
    </w:p>
    <w:bookmarkEnd w:id="49"/>
    <w:bookmarkStart w:id="50" w:name="linear-model-selection"/>
    <w:p>
      <w:pPr>
        <w:pStyle w:val="Heading2"/>
      </w:pPr>
      <w:r>
        <w:rPr>
          <w:rStyle w:val="SectionNumber"/>
        </w:rPr>
        <w:t xml:space="preserve">3.4</w:t>
      </w:r>
      <w:r>
        <w:tab/>
      </w:r>
      <w:r>
        <w:t xml:space="preserve">Linear model selection</w:t>
      </w:r>
    </w:p>
    <w:p>
      <w:pPr>
        <w:pStyle w:val="FirstParagraph"/>
      </w:pPr>
      <w:r>
        <w:t xml:space="preserve">In the second pass of flow metric predictor selection, a refined set of potential predictor variables was used to make one- and two-predictor linear models of the coho spf response variable.</w:t>
      </w:r>
    </w:p>
    <w:p>
      <w:pPr>
        <w:pStyle w:val="BodyText"/>
      </w:pPr>
      <w:r>
        <w:t xml:space="preserve">With a dataset this small, the risk of overfitting is relatively high</w:t>
      </w:r>
      <w:r>
        <w:t xml:space="preserve"> </w:t>
      </w:r>
      <w:r>
        <w:t xml:space="preserve">(James et al. 2013)</w:t>
      </w:r>
      <w:r>
        <w:t xml:space="preserve">. Consequently linear models with a maximum of two predictors were evaluated. The four best one-predictor models and six of the best two-predictor models are shown in Table</w:t>
      </w:r>
      <w:r>
        <w:t xml:space="preserve"> </w:t>
      </w:r>
      <w:r>
        <w:t xml:space="preserve">2</w:t>
      </w:r>
      <w:r>
        <w:t xml:space="preserve">. Criteria used to make the selection included degree of variability explained by the predictors (R</w:t>
      </w:r>
      <w:r>
        <w:rPr>
          <w:vertAlign w:val="superscript"/>
        </w:rPr>
        <w:t xml:space="preserve">2</w:t>
      </w:r>
      <w:r>
        <w:t xml:space="preserve"> </w:t>
      </w:r>
      <w:r>
        <w:t xml:space="preserve">and adjusted R</w:t>
      </w:r>
      <w:r>
        <w:rPr>
          <w:vertAlign w:val="superscript"/>
        </w:rPr>
        <w:t xml:space="preserve">2</w:t>
      </w:r>
      <w:r>
        <w:t xml:space="preserve">), statistical significance (p-value and F-statistic), the amount of total non-correlated information contained in the set of predictors (corrected AIC, or AIC</w:t>
      </w:r>
      <w:r>
        <w:rPr>
          <w:vertAlign w:val="subscript"/>
        </w:rPr>
        <w:t xml:space="preserve">c</w:t>
      </w:r>
      <w:r>
        <w:t xml:space="preserve">, a statistic used for small sample sizes). Because the predictor BY_recon_10 (Brood Year reconnection date, 10 cfs) performed so much better than all other metrics in the one-predictor model set, all two-predictor models evaluated included that predictor.</w:t>
      </w:r>
    </w:p>
    <w:p>
      <w:pPr>
        <w:pStyle w:val="BodyText"/>
      </w:pPr>
      <w:r>
        <w:t xml:space="preserve">For each of these models, we calculated the estimated average model error using leave-one-out cross-validation (LOOCV; Table</w:t>
      </w:r>
      <w:r>
        <w:t xml:space="preserve"> </w:t>
      </w:r>
      <w:r>
        <w:t xml:space="preserve">3</w:t>
      </w:r>
      <w:r>
        <w:t xml:space="preserve">). In the LOOCV method, for a dataset with</w:t>
      </w:r>
      <w:r>
        <w:t xml:space="preserve"> </w:t>
      </w:r>
      <m:oMath>
        <m:r>
          <m:t>n</m:t>
        </m:r>
      </m:oMath>
      <w:r>
        <w:t xml:space="preserve"> </w:t>
      </w:r>
      <w:r>
        <w:t xml:space="preserve">observations, the LOOCV error of a predictive model is obtained by recalculating the model coefficients</w:t>
      </w:r>
      <w:r>
        <w:t xml:space="preserve"> </w:t>
      </w:r>
      <m:oMath>
        <m:r>
          <m:t>n</m:t>
        </m:r>
      </m:oMath>
      <w:r>
        <w:t xml:space="preserve"> </w:t>
      </w:r>
      <w:r>
        <w:t xml:space="preserve">times, each time leaving out one observation, and comparing the resulting prediction to the single left-out observation. The root mean square of these</w:t>
      </w:r>
      <w:r>
        <w:t xml:space="preserve"> </w:t>
      </w:r>
      <m:oMath>
        <m:r>
          <m:t>n</m:t>
        </m:r>
      </m:oMath>
      <w:r>
        <w:t xml:space="preserve"> </w:t>
      </w:r>
      <w:r>
        <w:t xml:space="preserve">errors is the LOOCV error used to evaluate model performance in Results.</w:t>
      </w:r>
    </w:p>
    <w:p>
      <w:pPr>
        <w:pStyle w:val="BodyText"/>
      </w:pPr>
      <w:r>
        <w:t xml:space="preserve">Finally, minimum performance criteria were established to select the models which were incorporated into the ultimate HB function. These criteria were: adjusted R</w:t>
      </w:r>
      <w:r>
        <w:rPr>
          <w:vertAlign w:val="superscript"/>
        </w:rPr>
        <w:t xml:space="preserve">2</w:t>
      </w:r>
      <w:r>
        <w:t xml:space="preserve"> </w:t>
      </w:r>
      <w:r>
        <w:t xml:space="preserve">value of &gt;0.6, a p-value of &lt;0.2, an F-statistic of more than 10, and a LOOCV value of less than 747 (i.e., the LOOCV value of the best one-predictor model). The predictors and slopes of the three models which met these criteria (lm2a, lm2b, and lm2c) are shown in Table</w:t>
      </w:r>
      <w:r>
        <w:t xml:space="preserve"> </w:t>
      </w:r>
      <w:r>
        <w:t xml:space="preserve">4</w:t>
      </w:r>
      <w:r>
        <w:t xml:space="preserve">.</w:t>
      </w:r>
    </w:p>
    <w:p>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(Table</w:t>
      </w:r>
      <w:r>
        <w:t xml:space="preserve"> </w:t>
      </w:r>
      <w:r>
        <w:t xml:space="preserve">2</w:t>
      </w:r>
      <w:r>
        <w:t xml:space="preserve">),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should be evaluated using information from multiple seasons.</w:t>
      </w:r>
    </w:p>
    <w:bookmarkEnd w:id="50"/>
    <w:bookmarkStart w:id="51" w:name="Xddcc2689b4cf6831c7ad8b19338994ea847f517"/>
    <w:p>
      <w:pPr>
        <w:pStyle w:val="Heading2"/>
      </w:pPr>
      <w:r>
        <w:rPr>
          <w:rStyle w:val="SectionNumber"/>
        </w:rPr>
        <w:t xml:space="preserve">3.5</w:t>
      </w:r>
      <w:r>
        <w:tab/>
      </w:r>
      <w:r>
        <w:t xml:space="preserve">Proposed formulation of a water year-based Hydrologic Benefit function</w:t>
      </w:r>
    </w:p>
    <w:p>
      <w:pPr>
        <w:pStyle w:val="FirstParagraph"/>
      </w:pPr>
      <w:r>
        <w:t xml:space="preserve">To avoid over-interpreting the results of this small dataset, the coefficients of the three best selected models were averaged into the coefficients of an ensemble model shown in Table</w:t>
      </w:r>
      <w:r>
        <w:t xml:space="preserve"> </w:t>
      </w:r>
      <w:r>
        <w:t xml:space="preserve">(tab:bestLMSlopesTab). The ensemble model coefficients provide the formulation of the Hydrologic Benefit function. Consequently the Hydrologic Benefit values can be interpreted as predictions of coho spf-equivalents for a given water year. The values of the predictors – the four hydrologic metrics for each water year in the Fort Jones gauge record (water years 1942-2021) – are included in</w:t>
      </w:r>
      <w:r>
        <w:t xml:space="preserve"> </w:t>
      </w:r>
      <w:r>
        <w:rPr>
          <w:iCs/>
          <w:i/>
        </w:rPr>
        <w:t xml:space="preserve">Supplemental Table 2</w:t>
      </w:r>
      <w:r>
        <w:t xml:space="preserve">.</w:t>
      </w:r>
    </w:p>
    <w:p>
      <w:pPr>
        <w:pStyle w:val="BodyText"/>
      </w:pPr>
      <w:r>
        <w:t xml:space="preserve">The combined formulation is as follows:</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p>
      <w:pPr>
        <w:pStyle w:val="TableCaption"/>
      </w:pPr>
      <w:r>
        <w:t xml:space="preserve">Table 2:</w:t>
      </w:r>
      <w:r>
        <w:t xml:space="preserve"> </w:t>
      </w:r>
      <w:r>
        <w:t xml:space="preserve">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2160"/>
        <w:gridCol w:w="1034"/>
        <w:gridCol w:w="1206"/>
        <w:gridCol w:w="1426"/>
        <w:gridCol w:w="1866"/>
        <w:gridCol w:w="961"/>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F-stat.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 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108.4</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110.8</w:t>
            </w:r>
          </w:p>
        </w:tc>
      </w:tr>
      <w:tr>
        <w:trPr>
          <w:trHeight w:val="61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112.9</w:t>
            </w:r>
          </w:p>
        </w:tc>
      </w:tr>
      <w:tr>
        <w:trPr>
          <w:trHeight w:val="612"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0.83792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110.9</w:t>
            </w:r>
          </w:p>
        </w:tc>
      </w:tr>
      <w:tr>
        <w:trPr>
          <w:trHeight w:val="613"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BY_recon_100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105.1</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106.2</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109.3</w:t>
            </w:r>
          </w:p>
        </w:tc>
      </w:tr>
      <w:tr>
        <w:trPr>
          <w:trHeight w:val="613"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RY_discon_10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0.47116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109.9</w:t>
            </w:r>
          </w:p>
        </w:tc>
      </w:tr>
    </w:tbl>
    <w:p>
      <w:pPr>
        <w:pStyle w:val="TableCaption"/>
      </w:pPr>
      <w:r>
        <w:t xml:space="preserve">Table 3:</w:t>
      </w:r>
      <w:r>
        <w:t xml:space="preserve"> </w:t>
      </w:r>
      <w:r>
        <w:t xml:space="preserve">Average model prediction error, based on leave-one-out cross-validation (James et al., 2013).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1768"/>
        <w:gridCol w:w="2160"/>
      </w:tblGrid>
      <w:tr>
        <w:trPr>
          <w:cantSplit/>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LOOCV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error (coho spf-equiv.)</w:t>
            </w:r>
          </w:p>
        </w:tc>
      </w:tr>
      <w:tr>
        <w:trPr>
          <w:cantSplit/>
          <w:trHeight w:val="57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cantSplit/>
          <w:trHeight w:val="571"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TableCaption"/>
      </w:pPr>
      <w:r>
        <w:t xml:space="preserve">Table 4:</w:t>
      </w:r>
      <w:r>
        <w:t xml:space="preserve"> </w:t>
      </w:r>
      <w:r>
        <w:t xml:space="preserve">Summary of slope values (coho smolt per female per relevant unit) for predictors included in the three best linear models. The ensemble average values are used as weights in the Hydrologic Benefit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7"/>
        <w:gridCol w:w="1744"/>
        <w:gridCol w:w="1866"/>
        <w:gridCol w:w="1719"/>
        <w:gridCol w:w="2232"/>
      </w:tblGrid>
      <w:tr>
        <w:trPr>
          <w:trHeight w:val="613"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r>
      <w:tr>
        <w:trPr>
          <w:trHeight w:val="571"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2"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572"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bl>
    <w:bookmarkEnd w:id="51"/>
    <w:bookmarkStart w:id="52" w:name="X5678042e0e587b4a5ea03a6bcb753fee3274725"/>
    <w:p>
      <w:pPr>
        <w:pStyle w:val="Heading2"/>
      </w:pPr>
      <w:r>
        <w:rPr>
          <w:rStyle w:val="SectionNumber"/>
        </w:rPr>
        <w:t xml:space="preserve">3.6</w:t>
      </w:r>
      <w:r>
        <w:tab/>
      </w:r>
      <w:r>
        <w:t xml:space="preserve">HB function sensitivity to one additional observation</w:t>
      </w:r>
    </w:p>
    <w:p>
      <w:pPr>
        <w:pStyle w:val="FirstParagraph"/>
      </w:pPr>
      <w:r>
        <w:t xml:space="preserve">To further explore the uncertainty associated with such a small dataset, the sensitivity of the predictive model was estimated by adding one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Furthermore, flow conditions in and just before water year 2016 were very dry, and the hydrologic predictors for water year 2016 generated the lowest predicted coho spf value of the entire Fort Jones gauge flow record (-35.9; see Figure</w:t>
      </w:r>
      <w:r>
        <w:t xml:space="preserve"> </w:t>
      </w:r>
      <w:r>
        <w:t xml:space="preserve">12</w:t>
      </w:r>
      <w:r>
        <w:t xml:space="preserve">). The significance of predicted negative coho spf values is described further in Results.</w:t>
      </w:r>
    </w:p>
    <w:p>
      <w:pPr>
        <w:pStyle w:val="BodyText"/>
      </w:pPr>
      <w:r>
        <w:t xml:space="preserve">This missing value for brood year 2015 was replaced by 0, as well as the minimum, mean and maximum values of observed coho spf (5.8, 60.0, and 101.8 coho spf, respectively). The ensemble average coefficients in the HB function were recalculated based on each revised dataset.</w:t>
      </w:r>
    </w:p>
    <w:bookmarkEnd w:id="52"/>
    <w:bookmarkEnd w:id="53"/>
    <w:bookmarkStart w:id="126" w:name="results"/>
    <w:p>
      <w:pPr>
        <w:pStyle w:val="Heading1"/>
      </w:pPr>
      <w:r>
        <w:rPr>
          <w:rStyle w:val="SectionNumber"/>
        </w:rPr>
        <w:t xml:space="preserve">4</w:t>
      </w:r>
      <w:r>
        <w:tab/>
      </w:r>
      <w:r>
        <w:t xml:space="preserve">Results</w:t>
      </w:r>
    </w:p>
    <w:bookmarkStart w:id="60"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Ecosystem functional flow metrics, calculated with signal-processing techniques [</w:t>
      </w:r>
      <w:r>
        <w:t xml:space="preserve">Patterson et al. (2020)</w:t>
      </w:r>
      <w:r>
        <w:t xml:space="preserve"> </w:t>
      </w:r>
      <w:r>
        <w:t xml:space="preserve">and 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w:t>
      </w:r>
      <w:r>
        <w:t xml:space="preserve"> </w:t>
      </w:r>
      <w:r>
        <w:t xml:space="preserve">6</w:t>
      </w:r>
      <w:r>
        <w:t xml:space="preserve">).</w:t>
      </w:r>
    </w:p>
    <w:p>
      <w:pPr>
        <w:pStyle w:val="BodyText"/>
      </w:pPr>
      <w:r>
        <w:t xml:space="preserve">The reconnection and disconnection dates also show trends over time, illustrating that since 1942 the wet season has narrowed, in that its (approximate) onset has trended later and the spring flow recession has trended earlier (Figure</w:t>
      </w:r>
      <w:r>
        <w:t xml:space="preserve"> </w:t>
      </w:r>
      <w:r>
        <w:t xml:space="preserve">7</w:t>
      </w:r>
      <w:r>
        <w:t xml:space="preserve">).</w:t>
      </w:r>
    </w:p>
    <w:p>
      <w:pPr>
        <w:pStyle w:val="BodyText"/>
      </w:pPr>
      <w:r>
        <w:t xml:space="preserve">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(Van Kirk and Naman 2008; Drake, Tate, and Carlson 2000)</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55" name="Picture"/>
            <a:graphic>
              <a:graphicData uri="http://schemas.openxmlformats.org/drawingml/2006/picture">
                <pic:pic>
                  <pic:nvPicPr>
                    <pic:cNvPr descr="Graphics%20and%20Supplements/Figure%205.png" id="56" name="Picture"/>
                    <pic:cNvPicPr>
                      <a:picLocks noChangeArrowheads="1" noChangeAspect="1"/>
                    </pic:cNvPicPr>
                  </pic:nvPicPr>
                  <pic:blipFill>
                    <a:blip r:embed="rId54"/>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58" name="Picture"/>
            <a:graphic>
              <a:graphicData uri="http://schemas.openxmlformats.org/drawingml/2006/picture">
                <pic:pic>
                  <pic:nvPicPr>
                    <pic:cNvPr descr="Graphics%20and%20Supplements/Figure%206.png" id="59" name="Picture"/>
                    <pic:cNvPicPr>
                      <a:picLocks noChangeArrowheads="1" noChangeAspect="1"/>
                    </pic:cNvPicPr>
                  </pic:nvPicPr>
                  <pic:blipFill>
                    <a:blip r:embed="rId5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0"/>
    <w:bookmarkStart w:id="116" w:name="utility-of-hydrology-predictors"/>
    <w:p>
      <w:pPr>
        <w:pStyle w:val="Heading2"/>
      </w:pPr>
      <w:r>
        <w:rPr>
          <w:rStyle w:val="SectionNumber"/>
        </w:rPr>
        <w:t xml:space="preserve">4.2</w:t>
      </w:r>
      <w:r>
        <w:tab/>
      </w:r>
      <w:r>
        <w:t xml:space="preserve">Utility of hydrology predictors</w:t>
      </w:r>
    </w:p>
    <w:bookmarkStart w:id="106" w:name="Xb20583c3b97d31b82ce3121193a3619973908ff"/>
    <w:p>
      <w:pPr>
        <w:pStyle w:val="Heading3"/>
      </w:pPr>
      <w:r>
        <w:rPr>
          <w:rStyle w:val="SectionNumber"/>
        </w:rPr>
        <w:t xml:space="preserve">4.2.1</w:t>
      </w:r>
      <w:r>
        <w:tab/>
      </w:r>
      <w:r>
        <w:t xml:space="preserve">Correlation of hydrologic metrics with coho salmon metrics</w:t>
      </w:r>
    </w:p>
    <w:p>
      <w:pPr>
        <w:pStyle w:val="FirstParagraph"/>
      </w:pPr>
      <w:r>
        <w:t xml:space="preserve">The information in</w:t>
      </w:r>
      <w:r>
        <w:t xml:space="preserve"> </w:t>
      </w:r>
      <w:r>
        <w:rPr>
          <w:iCs/>
          <w:i/>
        </w:rPr>
        <w:t xml:space="preserve">Supplemental Table 1</w:t>
      </w:r>
      <w:r>
        <w:t xml:space="preserve"> </w:t>
      </w:r>
      <w:r>
        <w:t xml:space="preserve">was used to calculate Pearson correlation coefficients between flow metrics and four observed quantities in coho ecological monitoring (the number of spawners, number of redds, number of smolt, and the number of smolts produced per female spawner) (Figure</w:t>
      </w:r>
      <w:r>
        <w:t xml:space="preserve"> </w:t>
      </w:r>
      <w:r>
        <w:t xml:space="preserve">8</w:t>
      </w:r>
      <w:r>
        <w:t xml:space="preserve">). These correlations were used to refine the set of variables considered in the linear modeling exercise. A larger number of predictors was evaluated than the set depicted here; the predictors included in Figure</w:t>
      </w:r>
      <w:r>
        <w:t xml:space="preserve"> </w:t>
      </w:r>
      <w:r>
        <w:t xml:space="preserve">8</w:t>
      </w:r>
      <w:r>
        <w:t xml:space="preserve"> </w:t>
      </w:r>
      <w:r>
        <w:t xml:space="preserve">are selected because of a high correlation coefficient or an unexpected result. A full correlation matrix is shown in</w:t>
      </w:r>
      <w:r>
        <w:t xml:space="preserve"> </w:t>
      </w:r>
      <w:r>
        <w:rPr>
          <w:iCs/>
          <w:i/>
        </w:rPr>
        <w:t xml:space="preserve">Supplemental Figure 1</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2" name="Picture"/>
            <a:graphic>
              <a:graphicData uri="http://schemas.openxmlformats.org/drawingml/2006/picture">
                <pic:pic>
                  <pic:nvPicPr>
                    <pic:cNvPr descr="Graphics%20and%20Supplements/Figure%207.png" id="63" name="Picture"/>
                    <pic:cNvPicPr>
                      <a:picLocks noChangeArrowheads="1" noChangeAspect="1"/>
                    </pic:cNvPicPr>
                  </pic:nvPicPr>
                  <pic:blipFill>
                    <a:blip r:embed="rId61"/>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p>
      <w:pPr>
        <w:pStyle w:val="BodyText"/>
      </w:pPr>
      <w:r>
        <w:drawing>
          <wp:inline>
            <wp:extent cx="5334000" cy="6477000"/>
            <wp:effectExtent b="0" l="0" r="0" t="0"/>
            <wp:docPr descr="(#fig:corrMatrixFig_chinook-1)chinook corr matrix caption. " title="" id="65" name="Picture"/>
            <a:graphic>
              <a:graphicData uri="http://schemas.openxmlformats.org/drawingml/2006/picture">
                <pic:pic>
                  <pic:nvPicPr>
                    <pic:cNvPr descr="Kouba_2023_Fish_hydrometrics_MS_Word_files/figure-docx/corrMatrixFig_chinook-1.png" id="66" name="Picture"/>
                    <pic:cNvPicPr>
                      <a:picLocks noChangeArrowheads="1" noChangeAspect="1"/>
                    </pic:cNvPicPr>
                  </pic:nvPicPr>
                  <pic:blipFill>
                    <a:blip r:embed="rId64"/>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2)chinook corr matrix caption. " title="" id="68" name="Picture"/>
            <a:graphic>
              <a:graphicData uri="http://schemas.openxmlformats.org/drawingml/2006/picture">
                <pic:pic>
                  <pic:nvPicPr>
                    <pic:cNvPr descr="Kouba_2023_Fish_hydrometrics_MS_Word_files/figure-docx/corrMatrixFig_chinook-2.png" id="69" name="Picture"/>
                    <pic:cNvPicPr>
                      <a:picLocks noChangeArrowheads="1" noChangeAspect="1"/>
                    </pic:cNvPicPr>
                  </pic:nvPicPr>
                  <pic:blipFill>
                    <a:blip r:embed="rId67"/>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3)chinook corr matrix caption. " title="" id="71" name="Picture"/>
            <a:graphic>
              <a:graphicData uri="http://schemas.openxmlformats.org/drawingml/2006/picture">
                <pic:pic>
                  <pic:nvPicPr>
                    <pic:cNvPr descr="Kouba_2023_Fish_hydrometrics_MS_Word_files/figure-docx/corrMatrixFig_chinook-3.png" id="72" name="Picture"/>
                    <pic:cNvPicPr>
                      <a:picLocks noChangeArrowheads="1" noChangeAspect="1"/>
                    </pic:cNvPicPr>
                  </pic:nvPicPr>
                  <pic:blipFill>
                    <a:blip r:embed="rId70"/>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4)chinook corr matrix caption. " title="" id="74" name="Picture"/>
            <a:graphic>
              <a:graphicData uri="http://schemas.openxmlformats.org/drawingml/2006/picture">
                <pic:pic>
                  <pic:nvPicPr>
                    <pic:cNvPr descr="Kouba_2023_Fish_hydrometrics_MS_Word_files/figure-docx/corrMatrixFig_chinook-4.png" id="75" name="Picture"/>
                    <pic:cNvPicPr>
                      <a:picLocks noChangeArrowheads="1" noChangeAspect="1"/>
                    </pic:cNvPicPr>
                  </pic:nvPicPr>
                  <pic:blipFill>
                    <a:blip r:embed="rId73"/>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5)chinook corr matrix caption. " title="" id="77" name="Picture"/>
            <a:graphic>
              <a:graphicData uri="http://schemas.openxmlformats.org/drawingml/2006/picture">
                <pic:pic>
                  <pic:nvPicPr>
                    <pic:cNvPr descr="Kouba_2023_Fish_hydrometrics_MS_Word_files/figure-docx/corrMatrixFig_chinook-5.png" id="78" name="Picture"/>
                    <pic:cNvPicPr>
                      <a:picLocks noChangeArrowheads="1" noChangeAspect="1"/>
                    </pic:cNvPicPr>
                  </pic:nvPicPr>
                  <pic:blipFill>
                    <a:blip r:embed="rId76"/>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6)chinook corr matrix caption. " title="" id="80" name="Picture"/>
            <a:graphic>
              <a:graphicData uri="http://schemas.openxmlformats.org/drawingml/2006/picture">
                <pic:pic>
                  <pic:nvPicPr>
                    <pic:cNvPr descr="Kouba_2023_Fish_hydrometrics_MS_Word_files/figure-docx/corrMatrixFig_chinook-6.png" id="81" name="Picture"/>
                    <pic:cNvPicPr>
                      <a:picLocks noChangeArrowheads="1" noChangeAspect="1"/>
                    </pic:cNvPicPr>
                  </pic:nvPicPr>
                  <pic:blipFill>
                    <a:blip r:embed="rId79"/>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7)chinook corr matrix caption. " title="" id="83" name="Picture"/>
            <a:graphic>
              <a:graphicData uri="http://schemas.openxmlformats.org/drawingml/2006/picture">
                <pic:pic>
                  <pic:nvPicPr>
                    <pic:cNvPr descr="Kouba_2023_Fish_hydrometrics_MS_Word_files/figure-docx/corrMatrixFig_chinook-7.png" id="84" name="Picture"/>
                    <pic:cNvPicPr>
                      <a:picLocks noChangeArrowheads="1" noChangeAspect="1"/>
                    </pic:cNvPicPr>
                  </pic:nvPicPr>
                  <pic:blipFill>
                    <a:blip r:embed="rId82"/>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8)chinook corr matrix caption. " title="" id="86" name="Picture"/>
            <a:graphic>
              <a:graphicData uri="http://schemas.openxmlformats.org/drawingml/2006/picture">
                <pic:pic>
                  <pic:nvPicPr>
                    <pic:cNvPr descr="Kouba_2023_Fish_hydrometrics_MS_Word_files/figure-docx/corrMatrixFig_chinook-8.png" id="87" name="Picture"/>
                    <pic:cNvPicPr>
                      <a:picLocks noChangeArrowheads="1" noChangeAspect="1"/>
                    </pic:cNvPicPr>
                  </pic:nvPicPr>
                  <pic:blipFill>
                    <a:blip r:embed="rId85"/>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9)chinook corr matrix caption. " title="" id="89" name="Picture"/>
            <a:graphic>
              <a:graphicData uri="http://schemas.openxmlformats.org/drawingml/2006/picture">
                <pic:pic>
                  <pic:nvPicPr>
                    <pic:cNvPr descr="Kouba_2023_Fish_hydrometrics_MS_Word_files/figure-docx/corrMatrixFig_chinook-9.png" id="90" name="Picture"/>
                    <pic:cNvPicPr>
                      <a:picLocks noChangeArrowheads="1" noChangeAspect="1"/>
                    </pic:cNvPicPr>
                  </pic:nvPicPr>
                  <pic:blipFill>
                    <a:blip r:embed="rId88"/>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10)chinook corr matrix caption. " title="" id="92" name="Picture"/>
            <a:graphic>
              <a:graphicData uri="http://schemas.openxmlformats.org/drawingml/2006/picture">
                <pic:pic>
                  <pic:nvPicPr>
                    <pic:cNvPr descr="Kouba_2023_Fish_hydrometrics_MS_Word_files/figure-docx/corrMatrixFig_chinook-10.png" id="93" name="Picture"/>
                    <pic:cNvPicPr>
                      <a:picLocks noChangeArrowheads="1" noChangeAspect="1"/>
                    </pic:cNvPicPr>
                  </pic:nvPicPr>
                  <pic:blipFill>
                    <a:blip r:embed="rId91"/>
                    <a:stretch>
                      <a:fillRect/>
                    </a:stretch>
                  </pic:blipFill>
                  <pic:spPr bwMode="auto">
                    <a:xfrm>
                      <a:off x="0" y="0"/>
                      <a:ext cx="5334000" cy="6477000"/>
                    </a:xfrm>
                    <a:prstGeom prst="rect">
                      <a:avLst/>
                    </a:prstGeom>
                    <a:noFill/>
                    <a:ln w="9525">
                      <a:noFill/>
                      <a:headEnd/>
                      <a:tailEnd/>
                    </a:ln>
                  </pic:spPr>
                </pic:pic>
              </a:graphicData>
            </a:graphic>
          </wp:inline>
        </w:drawing>
      </w:r>
      <w:r>
        <w:drawing>
          <wp:inline>
            <wp:extent cx="5334000" cy="6477000"/>
            <wp:effectExtent b="0" l="0" r="0" t="0"/>
            <wp:docPr descr="(#fig:corrMatrixFig_chinook-11)chinook corr matrix caption. " title="" id="95" name="Picture"/>
            <a:graphic>
              <a:graphicData uri="http://schemas.openxmlformats.org/drawingml/2006/picture">
                <pic:pic>
                  <pic:nvPicPr>
                    <pic:cNvPr descr="Kouba_2023_Fish_hydrometrics_MS_Word_files/figure-docx/corrMatrixFig_chinook-11.png" id="96" name="Picture"/>
                    <pic:cNvPicPr>
                      <a:picLocks noChangeArrowheads="1" noChangeAspect="1"/>
                    </pic:cNvPicPr>
                  </pic:nvPicPr>
                  <pic:blipFill>
                    <a:blip r:embed="rId94"/>
                    <a:stretch>
                      <a:fillRect/>
                    </a:stretch>
                  </pic:blipFill>
                  <pic:spPr bwMode="auto">
                    <a:xfrm>
                      <a:off x="0" y="0"/>
                      <a:ext cx="5334000" cy="6477000"/>
                    </a:xfrm>
                    <a:prstGeom prst="rect">
                      <a:avLst/>
                    </a:prstGeom>
                    <a:noFill/>
                    <a:ln w="9525">
                      <a:noFill/>
                      <a:headEnd/>
                      <a:tailEnd/>
                    </a:ln>
                  </pic:spPr>
                </pic:pic>
              </a:graphicData>
            </a:graphic>
          </wp:inline>
        </w:drawing>
      </w:r>
    </w:p>
    <w:p>
      <w:pPr>
        <w:pStyle w:val="SourceCode"/>
      </w:pPr>
      <w:r>
        <w:rPr>
          <w:rStyle w:val="VerbatimChar"/>
        </w:rPr>
        <w:t xml:space="preserve">## [1] "Water_Year : 0.13"</w:t>
      </w:r>
    </w:p>
    <w:p>
      <w:pPr>
        <w:pStyle w:val="SourceCode"/>
      </w:pPr>
      <w:r>
        <w:rPr>
          <w:rStyle w:val="VerbatimChar"/>
        </w:rPr>
        <w:t xml:space="preserve">## [1] "FA_Mag : -0.18"</w:t>
      </w:r>
    </w:p>
    <w:p>
      <w:pPr>
        <w:pStyle w:val="SourceCode"/>
      </w:pPr>
      <w:r>
        <w:rPr>
          <w:rStyle w:val="VerbatimChar"/>
        </w:rPr>
        <w:t xml:space="preserve">## [1] "FA_Tim : -0.17"</w:t>
      </w:r>
    </w:p>
    <w:p>
      <w:pPr>
        <w:pStyle w:val="SourceCode"/>
      </w:pPr>
      <w:r>
        <w:rPr>
          <w:rStyle w:val="VerbatimChar"/>
        </w:rPr>
        <w:t xml:space="preserve">## [1] "FA_Dur : 0.15"</w:t>
      </w:r>
    </w:p>
    <w:p>
      <w:pPr>
        <w:pStyle w:val="SourceCode"/>
      </w:pPr>
      <w:r>
        <w:rPr>
          <w:rStyle w:val="VerbatimChar"/>
        </w:rPr>
        <w:t xml:space="preserve">## [1] "Wet_BFL_Mag_50 : -0.11"</w:t>
      </w:r>
    </w:p>
    <w:p>
      <w:pPr>
        <w:pStyle w:val="SourceCode"/>
      </w:pPr>
      <w:r>
        <w:rPr>
          <w:rStyle w:val="VerbatimChar"/>
        </w:rPr>
        <w:t xml:space="preserve">## [1] "Wet_Tim : -0.11"</w:t>
      </w:r>
    </w:p>
    <w:p>
      <w:pPr>
        <w:pStyle w:val="SourceCode"/>
      </w:pPr>
      <w:r>
        <w:rPr>
          <w:rStyle w:val="VerbatimChar"/>
        </w:rPr>
        <w:t xml:space="preserve">## [1] "Wet_BFL_Dur : 0.19"</w:t>
      </w:r>
    </w:p>
    <w:p>
      <w:pPr>
        <w:pStyle w:val="SourceCode"/>
      </w:pPr>
      <w:r>
        <w:rPr>
          <w:rStyle w:val="VerbatimChar"/>
        </w:rPr>
        <w:t xml:space="preserve">## [1] "Peak_2 : NA"</w:t>
      </w:r>
    </w:p>
    <w:p>
      <w:pPr>
        <w:pStyle w:val="SourceCode"/>
      </w:pPr>
      <w:r>
        <w:rPr>
          <w:rStyle w:val="VerbatimChar"/>
        </w:rPr>
        <w:t xml:space="preserve">## [1] "Peak_5 : NA"</w:t>
      </w:r>
    </w:p>
    <w:p>
      <w:pPr>
        <w:pStyle w:val="CaptionedFigure"/>
      </w:pPr>
      <w:r>
        <w:drawing>
          <wp:inline>
            <wp:extent cx="5334000" cy="6477000"/>
            <wp:effectExtent b="0" l="0" r="0" t="0"/>
            <wp:docPr descr="(#fig:corrMatrixFig_chinook-12)chinook corr matrix caption. " title="" id="98" name="Picture"/>
            <a:graphic>
              <a:graphicData uri="http://schemas.openxmlformats.org/drawingml/2006/picture">
                <pic:pic>
                  <pic:nvPicPr>
                    <pic:cNvPr descr="Kouba_2023_Fish_hydrometrics_MS_Word_files/figure-docx/corrMatrixFig_chinook-12.png" id="99" name="Picture"/>
                    <pic:cNvPicPr>
                      <a:picLocks noChangeArrowheads="1" noChangeAspect="1"/>
                    </pic:cNvPicPr>
                  </pic:nvPicPr>
                  <pic:blipFill>
                    <a:blip r:embed="rId97"/>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(#fig:corrMatrixFig_chinook-12)chinook corr matrix caption.</w:t>
      </w:r>
      <w:r>
        <w:t xml:space="preserve"> </w:t>
      </w:r>
    </w:p>
    <w:p>
      <w:pPr>
        <w:pStyle w:val="SourceCode"/>
      </w:pPr>
      <w:r>
        <w:rPr>
          <w:rStyle w:val="VerbatimChar"/>
        </w:rPr>
        <w:t xml:space="preserve">## [1] "Peak_Dur_2 : -0.43"</w:t>
      </w:r>
    </w:p>
    <w:p>
      <w:pPr>
        <w:pStyle w:val="SourceCode"/>
      </w:pPr>
      <w:r>
        <w:rPr>
          <w:rStyle w:val="VerbatimChar"/>
        </w:rPr>
        <w:t xml:space="preserve">## [1] "Peak_Dur_5 : NA"</w:t>
      </w:r>
    </w:p>
    <w:p>
      <w:pPr>
        <w:pStyle w:val="SourceCode"/>
      </w:pPr>
      <w:r>
        <w:rPr>
          <w:rStyle w:val="VerbatimChar"/>
        </w:rPr>
        <w:t xml:space="preserve">## [1] "Peak_Fre_2 : -0.28"</w:t>
      </w:r>
    </w:p>
    <w:p>
      <w:pPr>
        <w:pStyle w:val="SourceCode"/>
      </w:pPr>
      <w:r>
        <w:rPr>
          <w:rStyle w:val="VerbatimChar"/>
        </w:rPr>
        <w:t xml:space="preserve">## [1] "Peak_Fre_5 : NA"</w:t>
      </w:r>
    </w:p>
    <w:p>
      <w:pPr>
        <w:pStyle w:val="SourceCode"/>
      </w:pPr>
      <w:r>
        <w:rPr>
          <w:rStyle w:val="VerbatimChar"/>
        </w:rPr>
        <w:t xml:space="preserve">## [1] "SP_Mag : -0.26"</w:t>
      </w:r>
    </w:p>
    <w:p>
      <w:pPr>
        <w:pStyle w:val="SourceCode"/>
      </w:pPr>
      <w:r>
        <w:rPr>
          <w:rStyle w:val="VerbatimChar"/>
        </w:rPr>
        <w:t xml:space="preserve">## [1] "SP_Tim : 0.14"</w:t>
      </w:r>
    </w:p>
    <w:p>
      <w:pPr>
        <w:pStyle w:val="SourceCode"/>
      </w:pPr>
      <w:r>
        <w:rPr>
          <w:rStyle w:val="VerbatimChar"/>
        </w:rPr>
        <w:t xml:space="preserve">## [1] "SP_Dur : -0.11"</w:t>
      </w:r>
    </w:p>
    <w:p>
      <w:pPr>
        <w:pStyle w:val="SourceCode"/>
      </w:pPr>
      <w:r>
        <w:rPr>
          <w:rStyle w:val="VerbatimChar"/>
        </w:rPr>
        <w:t xml:space="preserve">## [1] "SP_ROC : 0.1"</w:t>
      </w:r>
    </w:p>
    <w:p>
      <w:pPr>
        <w:pStyle w:val="SourceCode"/>
      </w:pPr>
      <w:r>
        <w:rPr>
          <w:rStyle w:val="VerbatimChar"/>
        </w:rPr>
        <w:t xml:space="preserve">## [1] "DS_Mag_50 : -0.2"</w:t>
      </w:r>
    </w:p>
    <w:p>
      <w:pPr>
        <w:pStyle w:val="CaptionedFigure"/>
      </w:pPr>
      <w:r>
        <w:drawing>
          <wp:inline>
            <wp:extent cx="5334000" cy="6477000"/>
            <wp:effectExtent b="0" l="0" r="0" t="0"/>
            <wp:docPr descr="(#fig:corrMatrixFig_chinook-13)chinook corr matrix caption. " title="" id="101" name="Picture"/>
            <a:graphic>
              <a:graphicData uri="http://schemas.openxmlformats.org/drawingml/2006/picture">
                <pic:pic>
                  <pic:nvPicPr>
                    <pic:cNvPr descr="Kouba_2023_Fish_hydrometrics_MS_Word_files/figure-docx/corrMatrixFig_chinook-13.png" id="102" name="Picture"/>
                    <pic:cNvPicPr>
                      <a:picLocks noChangeArrowheads="1" noChangeAspect="1"/>
                    </pic:cNvPicPr>
                  </pic:nvPicPr>
                  <pic:blipFill>
                    <a:blip r:embed="rId100"/>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(#fig:corrMatrixFig_chinook-13)chinook corr matrix caption.</w:t>
      </w:r>
      <w:r>
        <w:t xml:space="preserve"> </w:t>
      </w:r>
    </w:p>
    <w:p>
      <w:pPr>
        <w:pStyle w:val="SourceCode"/>
      </w:pPr>
      <w:r>
        <w:rPr>
          <w:rStyle w:val="VerbatimChar"/>
        </w:rPr>
        <w:t xml:space="preserve">## [1] "DS_Mag_90 : -0.28"</w:t>
      </w:r>
    </w:p>
    <w:p>
      <w:pPr>
        <w:pStyle w:val="SourceCode"/>
      </w:pPr>
      <w:r>
        <w:rPr>
          <w:rStyle w:val="VerbatimChar"/>
        </w:rPr>
        <w:t xml:space="preserve">## [1] "DS_Tim : 0.12"</w:t>
      </w:r>
    </w:p>
    <w:p>
      <w:pPr>
        <w:pStyle w:val="SourceCode"/>
      </w:pPr>
      <w:r>
        <w:rPr>
          <w:rStyle w:val="VerbatimChar"/>
        </w:rPr>
        <w:t xml:space="preserve">## [1] "DS_Dur_WS : -0.05"</w:t>
      </w:r>
    </w:p>
    <w:p>
      <w:pPr>
        <w:pStyle w:val="CaptionedFigure"/>
      </w:pPr>
      <w:r>
        <w:drawing>
          <wp:inline>
            <wp:extent cx="5334000" cy="6477000"/>
            <wp:effectExtent b="0" l="0" r="0" t="0"/>
            <wp:docPr descr="(#fig:corrMatrixFig_chinook-14)chinook corr matrix caption. " title="" id="104" name="Picture"/>
            <a:graphic>
              <a:graphicData uri="http://schemas.openxmlformats.org/drawingml/2006/picture">
                <pic:pic>
                  <pic:nvPicPr>
                    <pic:cNvPr descr="Kouba_2023_Fish_hydrometrics_MS_Word_files/figure-docx/corrMatrixFig_chinook-14.png" id="105" name="Picture"/>
                    <pic:cNvPicPr>
                      <a:picLocks noChangeArrowheads="1" noChangeAspect="1"/>
                    </pic:cNvPicPr>
                  </pic:nvPicPr>
                  <pic:blipFill>
                    <a:blip r:embed="rId103"/>
                    <a:stretch>
                      <a:fillRect/>
                    </a:stretch>
                  </pic:blipFill>
                  <pic:spPr bwMode="auto">
                    <a:xfrm>
                      <a:off x="0" y="0"/>
                      <a:ext cx="5334000" cy="6477000"/>
                    </a:xfrm>
                    <a:prstGeom prst="rect">
                      <a:avLst/>
                    </a:prstGeom>
                    <a:noFill/>
                    <a:ln w="9525">
                      <a:noFill/>
                      <a:headEnd/>
                      <a:tailEnd/>
                    </a:ln>
                  </pic:spPr>
                </pic:pic>
              </a:graphicData>
            </a:graphic>
          </wp:inline>
        </w:drawing>
      </w:r>
    </w:p>
    <w:p>
      <w:pPr>
        <w:pStyle w:val="ImageCaption"/>
      </w:pPr>
      <w:r>
        <w:t xml:space="preserve">(#fig:corrMatrixFig_chinook-14)chinook corr matrix caption.</w:t>
      </w:r>
      <w:r>
        <w:t xml:space="preserve"> </w:t>
      </w:r>
    </w:p>
    <w:p>
      <w:pPr>
        <w:pStyle w:val="BodyText"/>
      </w:pPr>
      <w:r>
        <w:t xml:space="preserve">As mentioned in Methods, the coho salmon indicator that is most correlated with hydrologic metrics is the number of coho smolt produced per spawning female (Figure</w:t>
      </w:r>
      <w:r>
        <w:t xml:space="preserve"> </w:t>
      </w:r>
      <w:r>
        <w:t xml:space="preserve">8</w:t>
      </w:r>
      <w:r>
        <w:t xml:space="preserve">). One reason for this may be that normalizing the observed number of smolt to the number 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t>
      </w:r>
    </w:p>
    <w:p>
      <w:pPr>
        <w:pStyle w:val="SourceCode"/>
      </w:pPr>
      <w:r>
        <w:rPr>
          <w:rStyle w:val="VerbatimChar"/>
        </w:rPr>
        <w:t xml:space="preserve">FALSE png </w:t>
      </w:r>
      <w:r>
        <w:br/>
      </w:r>
      <w:r>
        <w:rPr>
          <w:rStyle w:val="VerbatimChar"/>
        </w:rPr>
        <w:t xml:space="preserve">FALSE   2</w:t>
      </w:r>
    </w:p>
    <w:bookmarkEnd w:id="106"/>
    <w:bookmarkStart w:id="110" w:name="Xf1a39309103b5b433d86a44c6224ac668194bc2"/>
    <w:p>
      <w:pPr>
        <w:pStyle w:val="Heading3"/>
      </w:pPr>
      <w:r>
        <w:rPr>
          <w:rStyle w:val="SectionNumber"/>
        </w:rPr>
        <w:t xml:space="preserve">4.2.2</w:t>
      </w:r>
      <w:r>
        <w:tab/>
      </w:r>
      <w:r>
        <w:t xml:space="preserve">Selection of 10 and 100 cfs thresholds for fall disconnection dates</w:t>
      </w:r>
    </w:p>
    <w:p>
      <w:pPr>
        <w:pStyle w:val="FirstParagraph"/>
      </w:pPr>
      <w:r>
        <w:t xml:space="preserve">Fall reconnection dates in a cohort’s Brood Year appear strongly correlated with coho spf (Figure</w:t>
      </w:r>
      <w:r>
        <w:t xml:space="preserve"> </w:t>
      </w:r>
      <w:r>
        <w:t xml:space="preserve">8</w:t>
      </w:r>
      <w:r>
        <w:t xml:space="preserve">), and previous work in the region has documented that fall flows are critical for salmon spawning</w:t>
      </w:r>
      <w:r>
        <w:t xml:space="preserve"> </w:t>
      </w:r>
      <w:r>
        <w:t xml:space="preserve">(SRWC and RCD 2003)</w:t>
      </w:r>
      <w:r>
        <w:t xml:space="preserve">.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t>
      </w:r>
    </w:p>
    <w:p>
      <w:pPr>
        <w:pStyle w:val="BodyText"/>
      </w:pPr>
      <w:r>
        <w:t xml:space="preserve">Relationships between the Brood Year reconnection dates for six flow thresholds and coho spf are shown in Figure</w:t>
      </w:r>
      <w:r>
        <w:t xml:space="preserve"> </w:t>
      </w:r>
      <w:r>
        <w:t xml:space="preserve">9</w:t>
      </w:r>
      <w:r>
        <w:t xml:space="preserve">. The trends in slope value and R</w:t>
      </w:r>
      <w:r>
        <w:rPr>
          <w:vertAlign w:val="superscript"/>
        </w:rPr>
        <w:t xml:space="preserve">2</w:t>
      </w:r>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9: Correlations between the ‘reconnection’ dates, or dates of fall flow rising above the designated flow threshold, for six flowrates. X-axis units are days after Aug. 31 of the salmon cohort Birth Year." title="" id="108" name="Picture"/>
            <a:graphic>
              <a:graphicData uri="http://schemas.openxmlformats.org/drawingml/2006/picture">
                <pic:pic>
                  <pic:nvPicPr>
                    <pic:cNvPr descr="Graphics%20and%20Supplements/Figure%208.png" id="109" name="Picture"/>
                    <pic:cNvPicPr>
                      <a:picLocks noChangeArrowheads="1" noChangeAspect="1"/>
                    </pic:cNvPicPr>
                  </pic:nvPicPr>
                  <pic:blipFill>
                    <a:blip r:embed="rId10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Correlations between the</w:t>
      </w:r>
      <w:r>
        <w:t xml:space="preserve"> </w:t>
      </w:r>
      <w:r>
        <w:t xml:space="preserve">‘</w:t>
      </w:r>
      <w:r>
        <w:t xml:space="preserve">reconnection</w:t>
      </w:r>
      <w:r>
        <w:t xml:space="preserve">’</w:t>
      </w:r>
      <w:r>
        <w:t xml:space="preserve"> </w:t>
      </w:r>
      <w:r>
        <w:t xml:space="preserve">dates, or dates of fall flow rising above the designated flow threshold, for six flowrates. X-axis units are days after Aug. 31 of the salmon cohort Birth Year.</w:t>
      </w:r>
    </w:p>
    <w:p>
      <w:pPr>
        <w:pStyle w:val="BodyText"/>
      </w:pPr>
      <w:r>
        <w:t xml:space="preserve">At reconnection dates for 100 cfs, the R</w:t>
      </w:r>
      <w:r>
        <w:rPr>
          <w:vertAlign w:val="superscript"/>
        </w:rPr>
        <w:t xml:space="preserve">2</w:t>
      </w:r>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 R</w:t>
      </w:r>
      <w:r>
        <w:rPr>
          <w:vertAlign w:val="superscript"/>
        </w:rPr>
        <w:t xml:space="preserve">2</w:t>
      </w:r>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It should be noted that for this metric, at very low flows like 8 and 10 cfs, a data censoring problem emerges, as there are some years where the flow never drops below the threshold, so</w:t>
      </w:r>
      <w:r>
        <w:t xml:space="preserve"> </w:t>
      </w:r>
      <w:r>
        <w:t xml:space="preserve">“</w:t>
      </w:r>
      <w:r>
        <w:t xml:space="preserve">reconnection</w:t>
      </w:r>
      <w:r>
        <w:t xml:space="preserve">”</w:t>
      </w:r>
      <w:r>
        <w:t xml:space="preserve"> </w:t>
      </w:r>
      <w:r>
        <w:t xml:space="preserve">as flows rise above that threshold cannot occur.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Based on the trends shown in Figure</w:t>
      </w:r>
      <w:r>
        <w:t xml:space="preserve"> </w:t>
      </w:r>
      <w:r>
        <w:t xml:space="preserve">9</w:t>
      </w:r>
      <w:r>
        <w:t xml:space="preserve">, we narrowed the reconnection and disconnection date flow thresholds under consideration to 10 cfs and 100 cfs. This decision could be revisited if additional years of data become available.</w:t>
      </w:r>
    </w:p>
    <w:bookmarkEnd w:id="110"/>
    <w:bookmarkStart w:id="111" w:name="X14109d27eb72832595d22676f7349ab33731b1b"/>
    <w:p>
      <w:pPr>
        <w:pStyle w:val="Heading3"/>
      </w:pPr>
      <w:r>
        <w:rPr>
          <w:rStyle w:val="SectionNumber"/>
        </w:rPr>
        <w:t xml:space="preserve">4.2.3</w:t>
      </w:r>
      <w:r>
        <w:tab/>
      </w:r>
      <w:r>
        <w:t xml:space="preserve">Correlation of hydrologic metrics with chinook salmon metrics</w:t>
      </w:r>
    </w:p>
    <w:p>
      <w:pPr>
        <w:pStyle w:val="SourceCode"/>
      </w:pPr>
      <w:r>
        <w:rPr>
          <w:rStyle w:val="VerbatimChar"/>
        </w:rPr>
        <w:t xml:space="preserve">FALSE png </w:t>
      </w:r>
      <w:r>
        <w:br/>
      </w:r>
      <w:r>
        <w:rPr>
          <w:rStyle w:val="VerbatimChar"/>
        </w:rPr>
        <w:t xml:space="preserve">FALSE   2</w:t>
      </w:r>
    </w:p>
    <w:bookmarkEnd w:id="111"/>
    <w:bookmarkStart w:id="115" w:name="all-possible-linear-models"/>
    <w:p>
      <w:pPr>
        <w:pStyle w:val="Heading3"/>
      </w:pPr>
      <w:r>
        <w:rPr>
          <w:rStyle w:val="SectionNumber"/>
        </w:rPr>
        <w:t xml:space="preserve">4.2.4</w:t>
      </w:r>
      <w:r>
        <w:tab/>
      </w:r>
      <w:r>
        <w:t xml:space="preserve">All possible linear models</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10: The adjusted R square and P values of all possible linear models (1- and 2-predictors) for Chinook and coho relative reproduction, using metrics identified in the first pass filter step." title="" id="113" name="Picture"/>
            <a:graphic>
              <a:graphicData uri="http://schemas.openxmlformats.org/drawingml/2006/picture">
                <pic:pic>
                  <pic:nvPicPr>
                    <pic:cNvPr descr="Graphics%20and%20Supplements/Figure%209.png" id="114" name="Picture"/>
                    <pic:cNvPicPr>
                      <a:picLocks noChangeArrowheads="1" noChangeAspect="1"/>
                    </pic:cNvPicPr>
                  </pic:nvPicPr>
                  <pic:blipFill>
                    <a:blip r:embed="rId112"/>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10: The adjusted R square and P values of all possible linear models (1- and 2-predictors) for Chinook and coho relative reproduction, using metrics identified in the first pass filter step.</w:t>
      </w:r>
    </w:p>
    <w:bookmarkEnd w:id="115"/>
    <w:bookmarkEnd w:id="116"/>
    <w:bookmarkStart w:id="120" w:name="linear-model-predictions"/>
    <w:p>
      <w:pPr>
        <w:pStyle w:val="Heading2"/>
      </w:pPr>
      <w:r>
        <w:rPr>
          <w:rStyle w:val="SectionNumber"/>
        </w:rPr>
        <w:t xml:space="preserve">4.3</w:t>
      </w:r>
      <w:r>
        <w:tab/>
      </w:r>
      <w:r>
        <w:t xml:space="preserve">Linear model predictions</w:t>
      </w:r>
    </w:p>
    <w:p>
      <w:pPr>
        <w:pStyle w:val="FirstParagraph"/>
      </w:pPr>
      <w:r>
        <w:t xml:space="preserve">Coho reproduction rates appear to be correlated with some hydrologic metrics, based on the hydrologic conditions and coho observations in water years 2007-2020 (though these linear models should not be overinterpreted, given the small sample size). The best single-predictor models (Brood Year reconnection dates for 10 and 100 cfs, or BY_recon_10 and BY_recon_100) are both related to the timing of rising fall flows in the Brood Year of each salmon cohort (Table</w:t>
      </w:r>
      <w:r>
        <w:t xml:space="preserve"> </w:t>
      </w:r>
      <w:r>
        <w:t xml:space="preserve">2</w:t>
      </w:r>
      <w:r>
        <w:t xml:space="preserve">).</w:t>
      </w:r>
    </w:p>
    <w:p>
      <w:pPr>
        <w:pStyle w:val="BodyText"/>
      </w:pPr>
      <w:r>
        <w:t xml:space="preserve">The predictor BY_FA_Mag, or the magnitude of the Brood Year fall pulse, was also highly correlated with coho spf (Figure</w:t>
      </w:r>
      <w:r>
        <w:t xml:space="preserve"> </w:t>
      </w:r>
      <w:r>
        <w:t xml:space="preserve">8</w:t>
      </w:r>
      <w:r>
        <w:t xml:space="preserve">). However, because a distinct fall pulse does not occur every year, including it would reduced the sample size to an unacceptable level (i.e., a total of six water years with a complete set of predictors and response observations). Because of this sample size limitation, and because some of the information about this pulse was carried in the reconnection date metric, FA_Mag was excluded from the set of potential predictors.</w:t>
      </w:r>
    </w:p>
    <w:p>
      <w:pPr>
        <w:pStyle w:val="BodyText"/>
      </w:pPr>
      <w:r>
        <w:t xml:space="preserve">The addition of a second predictor clearly improves model performance in terms of predictive power and test error, given the increased R</w:t>
      </w:r>
      <w:r>
        <w:rPr>
          <w:vertAlign w:val="superscript"/>
        </w:rPr>
        <w:t xml:space="preserve">2</w:t>
      </w:r>
      <w:r>
        <w:t xml:space="preserve"> </w:t>
      </w:r>
      <w:r>
        <w:t xml:space="preserve">values, reduced AIC</w:t>
      </w:r>
      <w:r>
        <w:rPr>
          <w:vertAlign w:val="subscript"/>
        </w:rPr>
        <w:t xml:space="preserve">c</w:t>
      </w:r>
      <w:r>
        <w:t xml:space="preserve"> </w:t>
      </w:r>
      <w:r>
        <w:t xml:space="preserve">values, and reduced average error when comparing models lm2a and lm2b versus lm1a and lm1b (Tabulated in Tables</w:t>
      </w:r>
      <w:r>
        <w:t xml:space="preserve"> </w:t>
      </w:r>
      <w:r>
        <w:t xml:space="preserve"> </w:t>
      </w:r>
      <w:r>
        <w:t xml:space="preserve">and</w:t>
      </w:r>
      <w:r>
        <w:t xml:space="preserve"> </w:t>
      </w:r>
      <w:r>
        <w:t xml:space="preserve">; with observed and predicted values shown in Figure</w:t>
      </w:r>
      <w:r>
        <w:t xml:space="preserve"> </w:t>
      </w:r>
      <w:r>
        <w:t xml:space="preserve">11</w:t>
      </w:r>
      <w:r>
        <w:t xml:space="preserve">). The three best two-predictor models included the Brood Year reconnection date for 10 cfs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11: Predicted vs observed values for coho smolt production per female in the linear models with one through four hydrologic predictors. A dashed 1:1 line is included for reference." title="" id="118" name="Picture"/>
            <a:graphic>
              <a:graphicData uri="http://schemas.openxmlformats.org/drawingml/2006/picture">
                <pic:pic>
                  <pic:nvPicPr>
                    <pic:cNvPr descr="Graphics%20and%20Supplements/Figure%2010.png" id="119" name="Picture"/>
                    <pic:cNvPicPr>
                      <a:picLocks noChangeArrowheads="1" noChangeAspect="1"/>
                    </pic:cNvPicPr>
                  </pic:nvPicPr>
                  <pic:blipFill>
                    <a:blip r:embed="rId11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Predicted vs observed values for coho smolt production per female in the linear models with one through four hydrologic predictors. A dashed 1:1 line is included for reference.</w:t>
      </w:r>
    </w:p>
    <w:bookmarkEnd w:id="120"/>
    <w:bookmarkStart w:id="124" w:name="Xb93654a19f263e3fab1f6c524eff053919a9335"/>
    <w:p>
      <w:pPr>
        <w:pStyle w:val="Heading2"/>
      </w:pPr>
      <w:r>
        <w:rPr>
          <w:rStyle w:val="SectionNumber"/>
        </w:rPr>
        <w:t xml:space="preserve">4.4</w:t>
      </w:r>
      <w:r>
        <w:tab/>
      </w:r>
      <w:r>
        <w:t xml:space="preserve">Hydrologic Benefit value over time and component contributions</w:t>
      </w:r>
    </w:p>
    <w:p>
      <w:pPr>
        <w:pStyle w:val="FirstParagraph"/>
      </w:pPr>
      <w:r>
        <w:t xml:space="preserve">Matching the historical flow trends discussed above, the predicted value of coho spf-equivalent produced by a given water year has trended downward over time (Figure</w:t>
      </w:r>
      <w:r>
        <w:t xml:space="preserve"> </w:t>
      </w:r>
      <w:r>
        <w:t xml:space="preserve">12</w:t>
      </w:r>
      <w:r>
        <w:t xml:space="preserve">). The hydrology of a severe drought in water years 2012-2016 is reflected in three consecutive years (2014-2016) of lower-than-40 predicted coho spf.</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is obviously not possible, we chose to retain these impossible values to visually represent uncertainty associated with this modeling exercise (see Discussion for more information).</w:t>
      </w:r>
    </w:p>
    <w:p>
      <w:pPr>
        <w:pStyle w:val="BodyText"/>
      </w:pPr>
      <w:r>
        <w:t xml:space="preserve">The relative contributions of each hydrologic metric to predicted Hydrologic Benefit values (except the intercept term, which is excluded for ease of visualization) is shown in Figure</w:t>
      </w:r>
      <w:r>
        <w:t xml:space="preserve"> </w:t>
      </w:r>
      <w:r>
        <w:t xml:space="preserve">??</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122" name="Picture"/>
            <a:graphic>
              <a:graphicData uri="http://schemas.openxmlformats.org/drawingml/2006/picture">
                <pic:pic>
                  <pic:nvPicPr>
                    <pic:cNvPr descr="Graphics%20and%20Supplements/Figure%2011.png" id="123" name="Picture"/>
                    <pic:cNvPicPr>
                      <a:picLocks noChangeArrowheads="1" noChangeAspect="1"/>
                    </pic:cNvPicPr>
                  </pic:nvPicPr>
                  <pic:blipFill>
                    <a:blip r:embed="rId121"/>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SourceCode"/>
      </w:pPr>
      <w:r>
        <w:rPr>
          <w:rStyle w:val="VerbatimChar"/>
        </w:rPr>
        <w:t xml:space="preserve">## png </w:t>
      </w:r>
      <w:r>
        <w:br/>
      </w:r>
      <w:r>
        <w:rPr>
          <w:rStyle w:val="VerbatimChar"/>
        </w:rPr>
        <w:t xml:space="preserve">##   2</w:t>
      </w:r>
    </w:p>
    <w:bookmarkEnd w:id="124"/>
    <w:bookmarkStart w:id="125" w:name="X47683ace934ce23e483b771e9cbdb6913140c98"/>
    <w:p>
      <w:pPr>
        <w:pStyle w:val="Heading2"/>
      </w:pPr>
      <w:r>
        <w:rPr>
          <w:rStyle w:val="SectionNumber"/>
        </w:rPr>
        <w:t xml:space="preserve">4.5</w:t>
      </w:r>
      <w:r>
        <w:tab/>
      </w:r>
      <w:r>
        <w:t xml:space="preserve">Sensitivity of the Hydrologic Benefit function to one additional data point</w:t>
      </w:r>
    </w:p>
    <w:p>
      <w:pPr>
        <w:pStyle w:val="FirstParagraph"/>
      </w:pPr>
      <w:r>
        <w:t xml:space="preserve">The best-fit HB function weights are relatively sensitive to the addition of one new data point, as can be expected for a small dataset. Assigning a coho spf value of 0 to the missing 2016 observation (brood year 2015)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125"/>
    <w:bookmarkEnd w:id="126"/>
    <w:bookmarkStart w:id="132" w:name="discussion"/>
    <w:p>
      <w:pPr>
        <w:pStyle w:val="Heading1"/>
      </w:pPr>
      <w:r>
        <w:rPr>
          <w:rStyle w:val="SectionNumber"/>
        </w:rPr>
        <w:t xml:space="preserve">5</w:t>
      </w:r>
      <w:r>
        <w:tab/>
      </w:r>
      <w:r>
        <w:t xml:space="preserve">Discussion</w:t>
      </w:r>
    </w:p>
    <w:bookmarkStart w:id="127"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N. Leroy Poff et al. 2010)</w:t>
      </w:r>
      <w:r>
        <w:t xml:space="preserve">. Consequently, a diversity of methods have been used to predict regional ecological responses to changes in key flow metrics. Many regional case studies predict ecological responses in terms of species richness or macroinvertebrate composition at dozens or hundreds of bioassessment sites</w:t>
      </w:r>
      <w:r>
        <w:t xml:space="preserve"> </w:t>
      </w:r>
      <w:r>
        <w:t xml:space="preserve">(e.g., Mazor et al. 2018; McManamay et al. 2013; Hain et al. 2018; White et al. 2018; Larsen et al. 2021; Peek et al. 2022)</w:t>
      </w:r>
      <w:r>
        <w:t xml:space="preserve">, and the temporal framework is often a snapshot of the biological changes between natural and altered flow conditions</w:t>
      </w:r>
      <w:r>
        <w:t xml:space="preserve"> </w:t>
      </w:r>
      <w:r>
        <w:t xml:space="preserve">(Wheeler, Wenger, and Freeman 2018; Peek et al. 2022)</w:t>
      </w:r>
      <w:r>
        <w:t xml:space="preserve">. Methods of generating the predictive models include boosted regression trees</w:t>
      </w:r>
      <w:r>
        <w:t xml:space="preserve"> </w:t>
      </w:r>
      <w:r>
        <w:t xml:space="preserve">(Mazor et al. 2018; Hain et al. 2018)</w:t>
      </w:r>
      <w:r>
        <w:t xml:space="preserve">, stochastic matrix models</w:t>
      </w:r>
      <w:r>
        <w:t xml:space="preserve"> </w:t>
      </w:r>
      <w:r>
        <w:t xml:space="preserve">(Sakaris and Irwin 2010)</w:t>
      </w:r>
      <w:r>
        <w:t xml:space="preserve">, and probabilistic Bayesian Network models</w:t>
      </w:r>
      <w:r>
        <w:t xml:space="preserve"> </w:t>
      </w:r>
      <w:r>
        <w:t xml:space="preserve">(Bestgen et al. 2020)</w:t>
      </w:r>
      <w:r>
        <w:t xml:space="preserve">, among others.</w:t>
      </w:r>
    </w:p>
    <w:p>
      <w:pPr>
        <w:pStyle w:val="BodyText"/>
      </w:pPr>
      <w:r>
        <w:t xml:space="preserve">In most of these studies,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127"/>
    <w:bookmarkStart w:id="128"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9</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128"/>
    <w:bookmarkStart w:id="129" w:name="X22899a7bc665f95f7d1ce82e1c981266ee41a0c"/>
    <w:p>
      <w:pPr>
        <w:pStyle w:val="Heading2"/>
      </w:pPr>
      <w:r>
        <w:rPr>
          <w:rStyle w:val="SectionNumber"/>
        </w:rPr>
        <w:t xml:space="preserve">5.3</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12</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129"/>
    <w:bookmarkStart w:id="130" w:name="metric-weights-and-importance"/>
    <w:p>
      <w:pPr>
        <w:pStyle w:val="Heading2"/>
      </w:pPr>
      <w:r>
        <w:rPr>
          <w:rStyle w:val="SectionNumber"/>
        </w:rPr>
        <w:t xml:space="preserve">5.4</w:t>
      </w:r>
      <w:r>
        <w:tab/>
      </w:r>
      <w:r>
        <w:t xml:space="preserve">Metric weights and importance</w:t>
      </w:r>
    </w:p>
    <w:p>
      <w:pPr>
        <w:pStyle w:val="FirstParagraph"/>
      </w:pPr>
      <w:r>
        <w:t xml:space="preserve">The relative contributions of each metric, shown in Figure</w:t>
      </w:r>
      <w:r>
        <w:t xml:space="preserve"> </w:t>
      </w:r>
      <w:r>
        <w:t xml:space="preserve">??</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w:t>
      </w:r>
      <w:r>
        <w:t xml:space="preserve">} 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12</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130"/>
    <w:bookmarkStart w:id="131" w:name="Xe7b831585be370552e5eda248af1ddb6912a940"/>
    <w:p>
      <w:pPr>
        <w:pStyle w:val="Heading2"/>
      </w:pPr>
      <w:r>
        <w:rPr>
          <w:rStyle w:val="SectionNumber"/>
        </w:rPr>
        <w:t xml:space="preserve">5.5</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Mediterranean climates more generally. Viability of the SONCC ESU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5"/>
        </w:numPr>
        <w:pStyle w:val="Compact"/>
      </w:pPr>
      <w:r>
        <w:t xml:space="preserve">Effective population size</w:t>
      </w:r>
    </w:p>
    <w:p>
      <w:pPr>
        <w:numPr>
          <w:ilvl w:val="0"/>
          <w:numId w:val="1005"/>
        </w:numPr>
        <w:pStyle w:val="Compact"/>
      </w:pPr>
      <w:r>
        <w:t xml:space="preserve">Population size per generation</w:t>
      </w:r>
    </w:p>
    <w:p>
      <w:pPr>
        <w:numPr>
          <w:ilvl w:val="0"/>
          <w:numId w:val="1005"/>
        </w:numPr>
        <w:pStyle w:val="Compact"/>
      </w:pPr>
      <w:r>
        <w:t xml:space="preserve">Population decline (rate of decline)</w:t>
      </w:r>
    </w:p>
    <w:p>
      <w:pPr>
        <w:numPr>
          <w:ilvl w:val="0"/>
          <w:numId w:val="1005"/>
        </w:numPr>
        <w:pStyle w:val="Compact"/>
      </w:pPr>
      <w:r>
        <w:t xml:space="preserve">Catastrophic decline (order of magnitude decline within 1 generation)</w:t>
      </w:r>
    </w:p>
    <w:p>
      <w:pPr>
        <w:numPr>
          <w:ilvl w:val="0"/>
          <w:numId w:val="1005"/>
        </w:numPr>
        <w:pStyle w:val="Compact"/>
      </w:pPr>
      <w:r>
        <w:t xml:space="preserve">Spawner density</w:t>
      </w:r>
    </w:p>
    <w:p>
      <w:pPr>
        <w:numPr>
          <w:ilvl w:val="0"/>
          <w:numId w:val="1005"/>
        </w:numPr>
        <w:pStyle w:val="Compact"/>
      </w:pPr>
      <w:r>
        <w:t xml:space="preserve">Potential spatial habitat capacity, in units of Intrinsic Potential (IP)</w:t>
      </w:r>
    </w:p>
    <w:p>
      <w:pPr>
        <w:numPr>
          <w:ilvl w:val="0"/>
          <w:numId w:val="1005"/>
        </w:numPr>
        <w:pStyle w:val="Compact"/>
      </w:pPr>
      <w:r>
        <w:t xml:space="preserve">Hatchery influence</w:t>
      </w:r>
    </w:p>
    <w:p>
      <w:pPr>
        <w:numPr>
          <w:ilvl w:val="0"/>
          <w:numId w:val="1005"/>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31"/>
    <w:bookmarkEnd w:id="132"/>
    <w:bookmarkStart w:id="285"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12</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Start w:id="284" w:name="refs"/>
    <w:bookmarkStart w:id="134"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33">
        <w:r>
          <w:rPr>
            <w:rStyle w:val="Hyperlink"/>
          </w:rPr>
          <w:t xml:space="preserve">https://doi.org/10.1890/130134</w:t>
        </w:r>
      </w:hyperlink>
      <w:r>
        <w:t xml:space="preserve">.</w:t>
      </w:r>
    </w:p>
    <w:bookmarkEnd w:id="134"/>
    <w:bookmarkStart w:id="135" w:name="ref-NMFS2005"/>
    <w:p>
      <w:pPr>
        <w:pStyle w:val="Bibliography"/>
      </w:pPr>
      <w:r>
        <w:t xml:space="preserve">Agrawal, A, R S Schick, E P Bjorkstedt, R G Szerlong, M N Goslin, B C Spence, T H Williams, K M Burnett, and National Oceanic.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no. June.</w:t>
      </w:r>
    </w:p>
    <w:bookmarkEnd w:id="135"/>
    <w:bookmarkStart w:id="137"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36">
        <w:r>
          <w:rPr>
            <w:rStyle w:val="Hyperlink"/>
          </w:rPr>
          <w:t xml:space="preserve">https://doi.org/10.1890/1540-9295(2006)4[309:IFNISA]2.0.CO;2</w:t>
        </w:r>
      </w:hyperlink>
      <w:r>
        <w:t xml:space="preserve">.</w:t>
      </w:r>
    </w:p>
    <w:bookmarkEnd w:id="137"/>
    <w:bookmarkStart w:id="139"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38">
        <w:r>
          <w:rPr>
            <w:rStyle w:val="Hyperlink"/>
          </w:rPr>
          <w:t xml:space="preserve">https://doi.org/10.1002/rra</w:t>
        </w:r>
      </w:hyperlink>
      <w:r>
        <w:t xml:space="preserve">.</w:t>
      </w:r>
    </w:p>
    <w:bookmarkEnd w:id="139"/>
    <w:bookmarkStart w:id="141" w:name="ref-Bestgen2020"/>
    <w:p>
      <w:pPr>
        <w:pStyle w:val="Bibliography"/>
      </w:pPr>
      <w:r>
        <w:t xml:space="preserve">Bestgen, Kevin R., N. Le Roy Poff, Daniel W. Baker, Brian P. Bledsoe, David M. Merritt, Mark Lorie, Gregor T. Auble, John S. Sanderson, and Boris C. Kondratieff. 2020.</w:t>
      </w:r>
      <w:r>
        <w:t xml:space="preserve"> </w:t>
      </w:r>
      <w:r>
        <w:t xml:space="preserve">“</w:t>
      </w:r>
      <w:r>
        <w:t xml:space="preserve">Designing flows to enhance ecosystem functioning in heavily altered rivers</w:t>
      </w:r>
      <w:r>
        <w:t xml:space="preserve">.”</w:t>
      </w:r>
      <w:r>
        <w:t xml:space="preserve"> </w:t>
      </w:r>
      <w:r>
        <w:rPr>
          <w:iCs/>
          <w:i/>
        </w:rPr>
        <w:t xml:space="preserve">Ecological Applications</w:t>
      </w:r>
      <w:r>
        <w:t xml:space="preserve"> </w:t>
      </w:r>
      <w:r>
        <w:t xml:space="preserve">30 (1): 1–19.</w:t>
      </w:r>
      <w:r>
        <w:t xml:space="preserve"> </w:t>
      </w:r>
      <w:hyperlink r:id="rId140">
        <w:r>
          <w:rPr>
            <w:rStyle w:val="Hyperlink"/>
          </w:rPr>
          <w:t xml:space="preserve">https://doi.org/10.1002/eap.2005</w:t>
        </w:r>
      </w:hyperlink>
      <w:r>
        <w:t xml:space="preserve">.</w:t>
      </w:r>
    </w:p>
    <w:bookmarkEnd w:id="141"/>
    <w:bookmarkStart w:id="143"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42">
        <w:r>
          <w:rPr>
            <w:rStyle w:val="Hyperlink"/>
          </w:rPr>
          <w:t xml:space="preserve">https://doi.org/10.2307/1446234</w:t>
        </w:r>
      </w:hyperlink>
      <w:r>
        <w:t xml:space="preserve">.</w:t>
      </w:r>
    </w:p>
    <w:bookmarkEnd w:id="143"/>
    <w:bookmarkStart w:id="145"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44">
        <w:r>
          <w:rPr>
            <w:rStyle w:val="Hyperlink"/>
          </w:rPr>
          <w:t xml:space="preserve">https://doi.org/10.1007/s11160-016-9432-3</w:t>
        </w:r>
      </w:hyperlink>
      <w:r>
        <w:t xml:space="preserve">.</w:t>
      </w:r>
    </w:p>
    <w:bookmarkEnd w:id="145"/>
    <w:bookmarkStart w:id="147"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46">
        <w:r>
          <w:rPr>
            <w:rStyle w:val="Hyperlink"/>
          </w:rPr>
          <w:t xml:space="preserve">https://doi.org/10.1577/1548-8659(1997)126&lt;0049</w:t>
        </w:r>
      </w:hyperlink>
      <w:r>
        <w:t xml:space="preserve">.</w:t>
      </w:r>
    </w:p>
    <w:bookmarkEnd w:id="147"/>
    <w:bookmarkStart w:id="149"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48">
        <w:r>
          <w:rPr>
            <w:rStyle w:val="Hyperlink"/>
          </w:rPr>
          <w:t xml:space="preserve">https://doi.org/10.1577/1548-8675(1994)014&lt;0237:hdacso&gt;2.3.co;2</w:t>
        </w:r>
      </w:hyperlink>
      <w:r>
        <w:t xml:space="preserve">.</w:t>
      </w:r>
    </w:p>
    <w:bookmarkEnd w:id="149"/>
    <w:bookmarkStart w:id="151" w:name="ref-Bunn2002"/>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50">
        <w:r>
          <w:rPr>
            <w:rStyle w:val="Hyperlink"/>
          </w:rPr>
          <w:t xml:space="preserve">https://doi.org/10.1007/s00267-002-2737-0</w:t>
        </w:r>
      </w:hyperlink>
      <w:r>
        <w:t xml:space="preserve">.</w:t>
      </w:r>
    </w:p>
    <w:bookmarkEnd w:id="151"/>
    <w:bookmarkStart w:id="152"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52"/>
    <w:bookmarkStart w:id="154"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53">
        <w:r>
          <w:rPr>
            <w:rStyle w:val="Hyperlink"/>
          </w:rPr>
          <w:t xml:space="preserve">https://www.fs.usda.gov/Internet/FSE{\_}DOCUMENTS/stelprd3850544.pdf</w:t>
        </w:r>
      </w:hyperlink>
      <w:r>
        <w:t xml:space="preserve">.</w:t>
      </w:r>
    </w:p>
    <w:bookmarkEnd w:id="154"/>
    <w:bookmarkStart w:id="156"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55">
        <w:r>
          <w:rPr>
            <w:rStyle w:val="Hyperlink"/>
          </w:rPr>
          <w:t xml:space="preserve">http://www.fgc.ca.gov/meetings/2015/Aug/Exhibits/0805{\_}Item{\_}38{\_}CohoStatusReport.pdf</w:t>
        </w:r>
      </w:hyperlink>
      <w:r>
        <w:t xml:space="preserve">.</w:t>
      </w:r>
    </w:p>
    <w:bookmarkEnd w:id="156"/>
    <w:bookmarkStart w:id="158"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57">
        <w:r>
          <w:rPr>
            <w:rStyle w:val="Hyperlink"/>
          </w:rPr>
          <w:t xml:space="preserve">https://wildlife.ca.gov/Conservation/Watersheds/Instream-Flow/Studies/Scott-Shasta-Study</w:t>
        </w:r>
      </w:hyperlink>
      <w:r>
        <w:t xml:space="preserve">.</w:t>
      </w:r>
    </w:p>
    <w:bookmarkEnd w:id="158"/>
    <w:bookmarkStart w:id="159"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59"/>
    <w:bookmarkStart w:id="161"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60">
        <w:r>
          <w:rPr>
            <w:rStyle w:val="Hyperlink"/>
          </w:rPr>
          <w:t xml:space="preserve">https://www.waterboards.ca.gov/drought/scott{\_}shasta{\_}rivers/docs/2022/klamath-reg-oal-approval-2022.pdf</w:t>
        </w:r>
      </w:hyperlink>
      <w:r>
        <w:t xml:space="preserve">.</w:t>
      </w:r>
    </w:p>
    <w:bookmarkEnd w:id="161"/>
    <w:bookmarkStart w:id="162"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62"/>
    <w:bookmarkStart w:id="164"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63">
        <w:r>
          <w:rPr>
            <w:rStyle w:val="Hyperlink"/>
          </w:rPr>
          <w:t xml:space="preserve">https://doi.org/10.1111/j.0022-1112.2004.00486.x</w:t>
        </w:r>
      </w:hyperlink>
      <w:r>
        <w:t xml:space="preserve">.</w:t>
      </w:r>
    </w:p>
    <w:bookmarkEnd w:id="164"/>
    <w:bookmarkStart w:id="166"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5">
        <w:r>
          <w:rPr>
            <w:rStyle w:val="Hyperlink"/>
          </w:rPr>
          <w:t xml:space="preserve">https://doi.org/10.3733/ca.v054n06p46</w:t>
        </w:r>
      </w:hyperlink>
      <w:r>
        <w:t xml:space="preserve">.</w:t>
      </w:r>
    </w:p>
    <w:bookmarkEnd w:id="166"/>
    <w:bookmarkStart w:id="168"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7">
        <w:r>
          <w:rPr>
            <w:rStyle w:val="Hyperlink"/>
          </w:rPr>
          <w:t xml:space="preserve">https://water.ca.gov/Programs/Water-Use-And-Efficiency/Land-And-Water-Use/Agricultural-Land-And-Water-Use-Estimates</w:t>
        </w:r>
      </w:hyperlink>
      <w:r>
        <w:t xml:space="preserve">.</w:t>
      </w:r>
    </w:p>
    <w:bookmarkEnd w:id="168"/>
    <w:bookmarkStart w:id="170"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9">
        <w:r>
          <w:rPr>
            <w:rStyle w:val="Hyperlink"/>
          </w:rPr>
          <w:t xml:space="preserve">http://groundwater.ucdavis.edu/files/165395.pdf</w:t>
        </w:r>
      </w:hyperlink>
      <w:r>
        <w:t xml:space="preserve">.</w:t>
      </w:r>
    </w:p>
    <w:bookmarkEnd w:id="170"/>
    <w:bookmarkStart w:id="172"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71">
        <w:r>
          <w:rPr>
            <w:rStyle w:val="Hyperlink"/>
          </w:rPr>
          <w:t xml:space="preserve">https://kbifrm.psmfc.org/wp-content/uploads/2016/12/Graham{\_}2012{\_}0010{\_}Klamath-River-Basin-Restoration-Nonuse-Value-Survey-Final-Report.pdf</w:t>
        </w:r>
      </w:hyperlink>
      <w:r>
        <w:t xml:space="preserve">.</w:t>
      </w:r>
    </w:p>
    <w:bookmarkEnd w:id="172"/>
    <w:bookmarkStart w:id="174"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3">
        <w:r>
          <w:rPr>
            <w:rStyle w:val="Hyperlink"/>
          </w:rPr>
          <w:t xml:space="preserve">https://doi.org/10.1111/fwb.13048</w:t>
        </w:r>
      </w:hyperlink>
      <w:r>
        <w:t xml:space="preserve">.</w:t>
      </w:r>
    </w:p>
    <w:bookmarkEnd w:id="174"/>
    <w:bookmarkStart w:id="176"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75">
        <w:r>
          <w:rPr>
            <w:rStyle w:val="Hyperlink"/>
          </w:rPr>
          <w:t xml:space="preserve">http://groundwater.ucdavis.edu/files/136426.pdf</w:t>
        </w:r>
      </w:hyperlink>
      <w:r>
        <w:t xml:space="preserve">.</w:t>
      </w:r>
    </w:p>
    <w:bookmarkEnd w:id="176"/>
    <w:bookmarkStart w:id="177"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77"/>
    <w:bookmarkStart w:id="178"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78"/>
    <w:bookmarkStart w:id="180"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79">
        <w:r>
          <w:rPr>
            <w:rStyle w:val="Hyperlink"/>
          </w:rPr>
          <w:t xml:space="preserve">https://doi.org/10.1007/978-1-4614-7138-7</w:t>
        </w:r>
      </w:hyperlink>
      <w:r>
        <w:t xml:space="preserve">.</w:t>
      </w:r>
    </w:p>
    <w:bookmarkEnd w:id="180"/>
    <w:bookmarkStart w:id="182"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81">
        <w:r>
          <w:rPr>
            <w:rStyle w:val="Hyperlink"/>
          </w:rPr>
          <w:t xml:space="preserve">https://nrm.dfg.ca.gov/FileHandler.ashx?DocumentID=77836</w:t>
        </w:r>
      </w:hyperlink>
      <w:r>
        <w:t xml:space="preserve">.</w:t>
      </w:r>
    </w:p>
    <w:bookmarkEnd w:id="182"/>
    <w:bookmarkStart w:id="183"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83"/>
    <w:bookmarkStart w:id="184"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84"/>
    <w:bookmarkStart w:id="185"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38">
        <w:r>
          <w:rPr>
            <w:rStyle w:val="Hyperlink"/>
          </w:rPr>
          <w:t xml:space="preserve">https://doi.org/10.1002/rra</w:t>
        </w:r>
      </w:hyperlink>
      <w:r>
        <w:t xml:space="preserve">.</w:t>
      </w:r>
    </w:p>
    <w:bookmarkEnd w:id="185"/>
    <w:bookmarkStart w:id="187"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86">
        <w:r>
          <w:rPr>
            <w:rStyle w:val="Hyperlink"/>
          </w:rPr>
          <w:t xml:space="preserve">https://doi.org/10.1029/2020WR028496</w:t>
        </w:r>
      </w:hyperlink>
      <w:r>
        <w:t xml:space="preserve">.</w:t>
      </w:r>
    </w:p>
    <w:bookmarkEnd w:id="187"/>
    <w:bookmarkStart w:id="189"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88">
        <w:r>
          <w:rPr>
            <w:rStyle w:val="Hyperlink"/>
          </w:rPr>
          <w:t xml:space="preserve">https://pubs.usgs.gov/wsp/1462/report.pdf</w:t>
        </w:r>
      </w:hyperlink>
      <w:r>
        <w:t xml:space="preserve">.</w:t>
      </w:r>
    </w:p>
    <w:bookmarkEnd w:id="189"/>
    <w:bookmarkStart w:id="190"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190"/>
    <w:bookmarkStart w:id="191"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191"/>
    <w:bookmarkStart w:id="193"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192">
        <w:r>
          <w:rPr>
            <w:rStyle w:val="Hyperlink"/>
          </w:rPr>
          <w:t xml:space="preserve">https://doi.org/10.1111/fwb.13062</w:t>
        </w:r>
      </w:hyperlink>
      <w:r>
        <w:t xml:space="preserve">.</w:t>
      </w:r>
    </w:p>
    <w:bookmarkEnd w:id="193"/>
    <w:bookmarkStart w:id="194"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194"/>
    <w:bookmarkStart w:id="196"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195">
        <w:r>
          <w:rPr>
            <w:rStyle w:val="Hyperlink"/>
          </w:rPr>
          <w:t xml:space="preserve">https://doi.org/10.1007/s00267-013-0055-3</w:t>
        </w:r>
      </w:hyperlink>
      <w:r>
        <w:t xml:space="preserve">.</w:t>
      </w:r>
    </w:p>
    <w:bookmarkEnd w:id="196"/>
    <w:bookmarkStart w:id="197" w:name="ref-Moyle2002"/>
    <w:p>
      <w:pPr>
        <w:pStyle w:val="Bibliography"/>
      </w:pPr>
      <w:r>
        <w:t xml:space="preserve">Moyle, P. B. 2002.</w:t>
      </w:r>
      <w:r>
        <w:t xml:space="preserve"> </w:t>
      </w:r>
      <w:r>
        <w:rPr>
          <w:iCs/>
          <w:i/>
        </w:rPr>
        <w:t xml:space="preserve">Inland Fishes of California</w:t>
      </w:r>
      <w:r>
        <w:t xml:space="preserve">. University of California Press.</w:t>
      </w:r>
    </w:p>
    <w:bookmarkEnd w:id="197"/>
    <w:bookmarkStart w:id="198"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38">
        <w:r>
          <w:rPr>
            <w:rStyle w:val="Hyperlink"/>
          </w:rPr>
          <w:t xml:space="preserve">https://doi.org/10.1002/rra</w:t>
        </w:r>
      </w:hyperlink>
      <w:r>
        <w:t xml:space="preserve">.</w:t>
      </w:r>
    </w:p>
    <w:bookmarkEnd w:id="198"/>
    <w:bookmarkStart w:id="200"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199">
        <w:r>
          <w:rPr>
            <w:rStyle w:val="Hyperlink"/>
          </w:rPr>
          <w:t xml:space="preserve">https://www.waterboards.ca.gov/water{\_}issues/programs/tmdl/records/region{\_}1/2010/ref3872.pdf</w:t>
        </w:r>
      </w:hyperlink>
      <w:r>
        <w:t xml:space="preserve">.</w:t>
      </w:r>
    </w:p>
    <w:bookmarkEnd w:id="200"/>
    <w:bookmarkStart w:id="201"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01"/>
    <w:bookmarkStart w:id="203"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202">
        <w:r>
          <w:rPr>
            <w:rStyle w:val="Hyperlink"/>
          </w:rPr>
          <w:t xml:space="preserve">https://www.fisheries.noaa.gov/resource/document/final-recovery-plan-southern-oregon-northern-california-coast-evolutionarily</w:t>
        </w:r>
      </w:hyperlink>
      <w:r>
        <w:t xml:space="preserve">.</w:t>
      </w:r>
    </w:p>
    <w:bookmarkEnd w:id="203"/>
    <w:bookmarkStart w:id="205"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204">
        <w:r>
          <w:rPr>
            <w:rStyle w:val="Hyperlink"/>
          </w:rPr>
          <w:t xml:space="preserve">https://doi.org/10.1002/rra.700</w:t>
        </w:r>
      </w:hyperlink>
      <w:r>
        <w:t xml:space="preserve">.</w:t>
      </w:r>
    </w:p>
    <w:bookmarkEnd w:id="205"/>
    <w:bookmarkStart w:id="207"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06">
        <w:r>
          <w:rPr>
            <w:rStyle w:val="Hyperlink"/>
          </w:rPr>
          <w:t xml:space="preserve">https://doi.org/10.1017/CBO9781107415324.004</w:t>
        </w:r>
      </w:hyperlink>
      <w:r>
        <w:t xml:space="preserve">.</w:t>
      </w:r>
    </w:p>
    <w:bookmarkEnd w:id="207"/>
    <w:bookmarkStart w:id="208"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08"/>
    <w:bookmarkStart w:id="210"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09">
        <w:r>
          <w:rPr>
            <w:rStyle w:val="Hyperlink"/>
          </w:rPr>
          <w:t xml:space="preserve">https://doi.org/10.3389/fenvs.2021.790667</w:t>
        </w:r>
      </w:hyperlink>
      <w:r>
        <w:t xml:space="preserve">.</w:t>
      </w:r>
    </w:p>
    <w:bookmarkEnd w:id="210"/>
    <w:bookmarkStart w:id="212"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11">
        <w:r>
          <w:rPr>
            <w:rStyle w:val="Hyperlink"/>
          </w:rPr>
          <w:t xml:space="preserve">https://doi.org/10.2307/1313099</w:t>
        </w:r>
      </w:hyperlink>
      <w:r>
        <w:t xml:space="preserve">.</w:t>
      </w:r>
    </w:p>
    <w:bookmarkEnd w:id="212"/>
    <w:bookmarkStart w:id="214" w:name="ref-Poff2010"/>
    <w:p>
      <w:pPr>
        <w:pStyle w:val="Bibliography"/>
      </w:pPr>
      <w:r>
        <w:t xml:space="preserve">Poff, N. Leroy,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13">
        <w:r>
          <w:rPr>
            <w:rStyle w:val="Hyperlink"/>
          </w:rPr>
          <w:t xml:space="preserve">https://doi.org/10.1111/j.1365-2427.2009.02204.x</w:t>
        </w:r>
      </w:hyperlink>
      <w:r>
        <w:t xml:space="preserve">.</w:t>
      </w:r>
    </w:p>
    <w:bookmarkEnd w:id="214"/>
    <w:bookmarkStart w:id="215"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13">
        <w:r>
          <w:rPr>
            <w:rStyle w:val="Hyperlink"/>
          </w:rPr>
          <w:t xml:space="preserve">https://doi.org/10.1111/j.1365-2427.2009.02204.x</w:t>
        </w:r>
      </w:hyperlink>
      <w:r>
        <w:t xml:space="preserve">.</w:t>
      </w:r>
    </w:p>
    <w:bookmarkEnd w:id="215"/>
    <w:bookmarkStart w:id="217"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16">
        <w:r>
          <w:rPr>
            <w:rStyle w:val="Hyperlink"/>
          </w:rPr>
          <w:t xml:space="preserve">https://doi.org/10.1111/j.1365-2427.2009.02272.x</w:t>
        </w:r>
      </w:hyperlink>
      <w:r>
        <w:t xml:space="preserve">.</w:t>
      </w:r>
    </w:p>
    <w:bookmarkEnd w:id="217"/>
    <w:bookmarkStart w:id="219"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18">
        <w:r>
          <w:rPr>
            <w:rStyle w:val="Hyperlink"/>
          </w:rPr>
          <w:t xml:space="preserve">https://www.siskiyourcd.com/resources</w:t>
        </w:r>
      </w:hyperlink>
      <w:r>
        <w:t xml:space="preserve">.</w:t>
      </w:r>
    </w:p>
    <w:bookmarkEnd w:id="219"/>
    <w:bookmarkStart w:id="221"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20">
        <w:r>
          <w:rPr>
            <w:rStyle w:val="Hyperlink"/>
          </w:rPr>
          <w:t xml:space="preserve">https://doi.org/10.1371/journal.pone.0098392</w:t>
        </w:r>
      </w:hyperlink>
      <w:r>
        <w:t xml:space="preserve">.</w:t>
      </w:r>
    </w:p>
    <w:bookmarkEnd w:id="221"/>
    <w:bookmarkStart w:id="223"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22">
        <w:r>
          <w:rPr>
            <w:rStyle w:val="Hyperlink"/>
          </w:rPr>
          <w:t xml:space="preserve">https://doi.org/10.2307/3868443</w:t>
        </w:r>
      </w:hyperlink>
      <w:r>
        <w:t xml:space="preserve">.</w:t>
      </w:r>
    </w:p>
    <w:bookmarkEnd w:id="223"/>
    <w:bookmarkStart w:id="225"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24">
        <w:r>
          <w:rPr>
            <w:rStyle w:val="Hyperlink"/>
          </w:rPr>
          <w:t xml:space="preserve">https://doi.org/10.1577/t01-126</w:t>
        </w:r>
      </w:hyperlink>
      <w:r>
        <w:t xml:space="preserve">.</w:t>
      </w:r>
    </w:p>
    <w:bookmarkEnd w:id="225"/>
    <w:bookmarkStart w:id="227" w:name="ref-Sakaris2010a"/>
    <w:p>
      <w:pPr>
        <w:pStyle w:val="Bibliography"/>
      </w:pPr>
      <w:r>
        <w:t xml:space="preserve">Sakaris, Peter C., and Elise R. Irwin. 2010.</w:t>
      </w:r>
      <w:r>
        <w:t xml:space="preserve"> </w:t>
      </w:r>
      <w:r>
        <w:t xml:space="preserve">“</w:t>
      </w:r>
      <w:r>
        <w:t xml:space="preserve">Tuning stochastic matrix models with hydrologic data to predict the population dynamics of a riverine fish</w:t>
      </w:r>
      <w:r>
        <w:t xml:space="preserve">.”</w:t>
      </w:r>
      <w:r>
        <w:t xml:space="preserve"> </w:t>
      </w:r>
      <w:r>
        <w:rPr>
          <w:iCs/>
          <w:i/>
        </w:rPr>
        <w:t xml:space="preserve">Ecological Applications</w:t>
      </w:r>
      <w:r>
        <w:t xml:space="preserve"> </w:t>
      </w:r>
      <w:r>
        <w:t xml:space="preserve">20 (2): 483–96.</w:t>
      </w:r>
      <w:r>
        <w:t xml:space="preserve"> </w:t>
      </w:r>
      <w:hyperlink r:id="rId226">
        <w:r>
          <w:rPr>
            <w:rStyle w:val="Hyperlink"/>
          </w:rPr>
          <w:t xml:space="preserve">https://doi.org/10.1890/08-0305.1</w:t>
        </w:r>
      </w:hyperlink>
      <w:r>
        <w:t xml:space="preserve">.</w:t>
      </w:r>
    </w:p>
    <w:bookmarkEnd w:id="227"/>
    <w:bookmarkStart w:id="229"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28">
        <w:r>
          <w:rPr>
            <w:rStyle w:val="Hyperlink"/>
          </w:rPr>
          <w:t xml:space="preserve">https://www.scottwatertrust.org/blank</w:t>
        </w:r>
      </w:hyperlink>
      <w:r>
        <w:t xml:space="preserve">.</w:t>
      </w:r>
    </w:p>
    <w:bookmarkEnd w:id="229"/>
    <w:bookmarkStart w:id="230"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30"/>
    <w:bookmarkStart w:id="232"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31">
        <w:r>
          <w:rPr>
            <w:rStyle w:val="Hyperlink"/>
          </w:rPr>
          <w:t xml:space="preserve">https://doi.org/10.1007/s00267-012-9864-z</w:t>
        </w:r>
      </w:hyperlink>
      <w:r>
        <w:t xml:space="preserve">.</w:t>
      </w:r>
    </w:p>
    <w:bookmarkEnd w:id="232"/>
    <w:bookmarkStart w:id="234"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33">
        <w:r>
          <w:rPr>
            <w:rStyle w:val="Hyperlink"/>
          </w:rPr>
          <w:t xml:space="preserve">https://www.co.siskiyou.ca.us/naturalresources/page/scott-valley-gsp-chapters</w:t>
        </w:r>
      </w:hyperlink>
      <w:r>
        <w:t xml:space="preserve">.</w:t>
      </w:r>
    </w:p>
    <w:bookmarkEnd w:id="234"/>
    <w:bookmarkStart w:id="236"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35">
        <w:r>
          <w:rPr>
            <w:rStyle w:val="Hyperlink"/>
          </w:rPr>
          <w:t xml:space="preserve">https://www.co.siskiyou.ca.us/scottvga/page/scott-valley-groundwater-advisory-committee-meeting-10</w:t>
        </w:r>
      </w:hyperlink>
      <w:r>
        <w:t xml:space="preserve">.</w:t>
      </w:r>
    </w:p>
    <w:bookmarkEnd w:id="236"/>
    <w:bookmarkStart w:id="237" w:name="ref-SiskiyouRCD1994"/>
    <w:p>
      <w:pPr>
        <w:pStyle w:val="Bibliography"/>
      </w:pPr>
      <w:r>
        <w:t xml:space="preserve">Siskiyou RCD. 1994.</w:t>
      </w:r>
      <w:r>
        <w:t xml:space="preserve"> </w:t>
      </w:r>
      <w:r>
        <w:t xml:space="preserve">“</w:t>
      </w:r>
      <w:r>
        <w:t xml:space="preserve">Scott Valley Irrigation District Study</w:t>
      </w:r>
      <w:r>
        <w:t xml:space="preserve">.”</w:t>
      </w:r>
    </w:p>
    <w:bookmarkEnd w:id="237"/>
    <w:bookmarkStart w:id="238"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18">
        <w:r>
          <w:rPr>
            <w:rStyle w:val="Hyperlink"/>
          </w:rPr>
          <w:t xml:space="preserve">https://www.siskiyourcd.com/resources</w:t>
        </w:r>
      </w:hyperlink>
      <w:r>
        <w:t xml:space="preserve">.</w:t>
      </w:r>
    </w:p>
    <w:bookmarkEnd w:id="238"/>
    <w:bookmarkStart w:id="239"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18">
        <w:r>
          <w:rPr>
            <w:rStyle w:val="Hyperlink"/>
          </w:rPr>
          <w:t xml:space="preserve">https://www.siskiyourcd.com/resources</w:t>
        </w:r>
      </w:hyperlink>
      <w:r>
        <w:t xml:space="preserve">.</w:t>
      </w:r>
    </w:p>
    <w:bookmarkEnd w:id="239"/>
    <w:bookmarkStart w:id="240"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18">
        <w:r>
          <w:rPr>
            <w:rStyle w:val="Hyperlink"/>
          </w:rPr>
          <w:t xml:space="preserve">https://www.siskiyourcd.com/resources</w:t>
        </w:r>
      </w:hyperlink>
      <w:r>
        <w:t xml:space="preserve">.</w:t>
      </w:r>
    </w:p>
    <w:bookmarkEnd w:id="240"/>
    <w:bookmarkStart w:id="241"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18">
        <w:r>
          <w:rPr>
            <w:rStyle w:val="Hyperlink"/>
          </w:rPr>
          <w:t xml:space="preserve">https://www.siskiyourcd.com/resources</w:t>
        </w:r>
      </w:hyperlink>
      <w:r>
        <w:t xml:space="preserve">.</w:t>
      </w:r>
    </w:p>
    <w:bookmarkEnd w:id="241"/>
    <w:bookmarkStart w:id="242"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18">
        <w:r>
          <w:rPr>
            <w:rStyle w:val="Hyperlink"/>
          </w:rPr>
          <w:t xml:space="preserve">https://www.siskiyourcd.com/resources</w:t>
        </w:r>
      </w:hyperlink>
      <w:r>
        <w:t xml:space="preserve">.</w:t>
      </w:r>
    </w:p>
    <w:bookmarkEnd w:id="242"/>
    <w:bookmarkStart w:id="243"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18">
        <w:r>
          <w:rPr>
            <w:rStyle w:val="Hyperlink"/>
          </w:rPr>
          <w:t xml:space="preserve">https://www.siskiyourcd.com/resources</w:t>
        </w:r>
      </w:hyperlink>
      <w:r>
        <w:t xml:space="preserve">.</w:t>
      </w:r>
    </w:p>
    <w:bookmarkEnd w:id="243"/>
    <w:bookmarkStart w:id="244"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18">
        <w:r>
          <w:rPr>
            <w:rStyle w:val="Hyperlink"/>
          </w:rPr>
          <w:t xml:space="preserve">https://www.siskiyourcd.com/resources</w:t>
        </w:r>
      </w:hyperlink>
      <w:r>
        <w:t xml:space="preserve">.</w:t>
      </w:r>
    </w:p>
    <w:bookmarkEnd w:id="244"/>
    <w:bookmarkStart w:id="245"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18">
        <w:r>
          <w:rPr>
            <w:rStyle w:val="Hyperlink"/>
          </w:rPr>
          <w:t xml:space="preserve">https://www.siskiyourcd.com/resources</w:t>
        </w:r>
      </w:hyperlink>
      <w:r>
        <w:t xml:space="preserve">.</w:t>
      </w:r>
    </w:p>
    <w:bookmarkEnd w:id="245"/>
    <w:bookmarkStart w:id="246"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18">
        <w:r>
          <w:rPr>
            <w:rStyle w:val="Hyperlink"/>
          </w:rPr>
          <w:t xml:space="preserve">https://www.siskiyourcd.com/resources</w:t>
        </w:r>
      </w:hyperlink>
      <w:r>
        <w:t xml:space="preserve">.</w:t>
      </w:r>
    </w:p>
    <w:bookmarkEnd w:id="246"/>
    <w:bookmarkStart w:id="247"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18">
        <w:r>
          <w:rPr>
            <w:rStyle w:val="Hyperlink"/>
          </w:rPr>
          <w:t xml:space="preserve">https://www.siskiyourcd.com/resources</w:t>
        </w:r>
      </w:hyperlink>
      <w:r>
        <w:t xml:space="preserve">.</w:t>
      </w:r>
    </w:p>
    <w:bookmarkEnd w:id="247"/>
    <w:bookmarkStart w:id="248"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18">
        <w:r>
          <w:rPr>
            <w:rStyle w:val="Hyperlink"/>
          </w:rPr>
          <w:t xml:space="preserve">https://www.siskiyourcd.com/resources</w:t>
        </w:r>
      </w:hyperlink>
      <w:r>
        <w:t xml:space="preserve">.</w:t>
      </w:r>
    </w:p>
    <w:bookmarkEnd w:id="248"/>
    <w:bookmarkStart w:id="249"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18">
        <w:r>
          <w:rPr>
            <w:rStyle w:val="Hyperlink"/>
          </w:rPr>
          <w:t xml:space="preserve">https://www.siskiyourcd.com/resources</w:t>
        </w:r>
      </w:hyperlink>
      <w:r>
        <w:t xml:space="preserve">.</w:t>
      </w:r>
    </w:p>
    <w:bookmarkEnd w:id="249"/>
    <w:bookmarkStart w:id="250"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18">
        <w:r>
          <w:rPr>
            <w:rStyle w:val="Hyperlink"/>
          </w:rPr>
          <w:t xml:space="preserve">https://www.siskiyourcd.com/resources</w:t>
        </w:r>
      </w:hyperlink>
      <w:r>
        <w:t xml:space="preserve">.</w:t>
      </w:r>
    </w:p>
    <w:bookmarkEnd w:id="250"/>
    <w:bookmarkStart w:id="252"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51">
        <w:r>
          <w:rPr>
            <w:rStyle w:val="Hyperlink"/>
          </w:rPr>
          <w:t xml:space="preserve">https://doi.org/10.1002/eco.1745</w:t>
        </w:r>
      </w:hyperlink>
      <w:r>
        <w:t xml:space="preserve">.</w:t>
      </w:r>
    </w:p>
    <w:bookmarkEnd w:id="252"/>
    <w:bookmarkStart w:id="253"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53"/>
    <w:bookmarkStart w:id="254"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54"/>
    <w:bookmarkStart w:id="256"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55">
        <w:r>
          <w:rPr>
            <w:rStyle w:val="Hyperlink"/>
          </w:rPr>
          <w:t xml:space="preserve">https://www.scottriverwatershedcouncil.com/scott-river-westside-planning-proje</w:t>
        </w:r>
      </w:hyperlink>
      <w:r>
        <w:t xml:space="preserve">.</w:t>
      </w:r>
    </w:p>
    <w:bookmarkEnd w:id="256"/>
    <w:bookmarkStart w:id="257" w:name="ref-CRMP2000"/>
    <w:p>
      <w:pPr>
        <w:pStyle w:val="Bibliography"/>
      </w:pPr>
      <w:r>
        <w:t xml:space="preserve">SRWC-CRMP. 2000.</w:t>
      </w:r>
      <w:r>
        <w:t xml:space="preserve"> </w:t>
      </w:r>
      <w:r>
        <w:t xml:space="preserve">“</w:t>
      </w:r>
      <w:r>
        <w:t xml:space="preserve">Final Report</w:t>
      </w:r>
      <w:r>
        <w:t xml:space="preserve">.”</w:t>
      </w:r>
    </w:p>
    <w:bookmarkEnd w:id="257"/>
    <w:bookmarkStart w:id="258"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58"/>
    <w:bookmarkStart w:id="260"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59">
        <w:r>
          <w:rPr>
            <w:rStyle w:val="Hyperlink"/>
          </w:rPr>
          <w:t xml:space="preserve">https://www.waterboards.ca.gov/waterrights/board{\_}decisions/adopted{\_}orders/judgments/docs/scottriver{\_}jd.pdf</w:t>
        </w:r>
      </w:hyperlink>
      <w:r>
        <w:t xml:space="preserve">.</w:t>
      </w:r>
    </w:p>
    <w:bookmarkEnd w:id="260"/>
    <w:bookmarkStart w:id="261"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61"/>
    <w:bookmarkStart w:id="263"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62">
        <w:r>
          <w:rPr>
            <w:rStyle w:val="Hyperlink"/>
          </w:rPr>
          <w:t xml:space="preserve">https://doi.org/10.1029/2018WR024209</w:t>
        </w:r>
      </w:hyperlink>
      <w:r>
        <w:t xml:space="preserve">.</w:t>
      </w:r>
    </w:p>
    <w:bookmarkEnd w:id="263"/>
    <w:bookmarkStart w:id="265"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64">
        <w:r>
          <w:rPr>
            <w:rStyle w:val="Hyperlink"/>
          </w:rPr>
          <w:t xml:space="preserve">https://data.census.gov/cedsci</w:t>
        </w:r>
      </w:hyperlink>
      <w:r>
        <w:t xml:space="preserve">.</w:t>
      </w:r>
    </w:p>
    <w:bookmarkEnd w:id="265"/>
    <w:bookmarkStart w:id="267"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66">
        <w:r>
          <w:rPr>
            <w:rStyle w:val="Hyperlink"/>
          </w:rPr>
          <w:t xml:space="preserve">https://doi.org/10.1111/j.1752-1688.2008.00212.x</w:t>
        </w:r>
      </w:hyperlink>
      <w:r>
        <w:t xml:space="preserve">.</w:t>
      </w:r>
    </w:p>
    <w:bookmarkEnd w:id="267"/>
    <w:bookmarkStart w:id="269"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268">
        <w:r>
          <w:rPr>
            <w:rStyle w:val="Hyperlink"/>
          </w:rPr>
          <w:t xml:space="preserve">https://swfsc-publications.fisheries.noaa.gov/publications/CR/2013/2013Wainwright.pdf</w:t>
        </w:r>
      </w:hyperlink>
      <w:r>
        <w:t xml:space="preserve">.</w:t>
      </w:r>
    </w:p>
    <w:bookmarkEnd w:id="269"/>
    <w:bookmarkStart w:id="271"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270">
        <w:r>
          <w:rPr>
            <w:rStyle w:val="Hyperlink"/>
          </w:rPr>
          <w:t xml:space="preserve">https://doi.org/10.1111/faf.12514</w:t>
        </w:r>
      </w:hyperlink>
      <w:r>
        <w:t xml:space="preserve">.</w:t>
      </w:r>
    </w:p>
    <w:bookmarkEnd w:id="271"/>
    <w:bookmarkStart w:id="273"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72">
        <w:r>
          <w:rPr>
            <w:rStyle w:val="Hyperlink"/>
          </w:rPr>
          <w:t xml:space="preserve">https://doi.org/10.1111/fwb.13001</w:t>
        </w:r>
      </w:hyperlink>
      <w:r>
        <w:t xml:space="preserve">.</w:t>
      </w:r>
    </w:p>
    <w:bookmarkEnd w:id="273"/>
    <w:bookmarkStart w:id="275"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74">
        <w:r>
          <w:rPr>
            <w:rStyle w:val="Hyperlink"/>
          </w:rPr>
          <w:t xml:space="preserve">https://doi.org/10.1016/j.scitotenv.2017.06.081</w:t>
        </w:r>
      </w:hyperlink>
      <w:r>
        <w:t xml:space="preserve">.</w:t>
      </w:r>
    </w:p>
    <w:bookmarkEnd w:id="275"/>
    <w:bookmarkStart w:id="277"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76">
        <w:r>
          <w:rPr>
            <w:rStyle w:val="Hyperlink"/>
          </w:rPr>
          <w:t xml:space="preserve">https://repository.library.noaa.gov/view/noaa/3483</w:t>
        </w:r>
      </w:hyperlink>
      <w:r>
        <w:t xml:space="preserve">.</w:t>
      </w:r>
    </w:p>
    <w:bookmarkEnd w:id="277"/>
    <w:bookmarkStart w:id="279"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78">
        <w:r>
          <w:rPr>
            <w:rStyle w:val="Hyperlink"/>
          </w:rPr>
          <w:t xml:space="preserve">https://repository.library.noaa.gov/view/noaa/3609</w:t>
        </w:r>
      </w:hyperlink>
      <w:r>
        <w:t xml:space="preserve">.</w:t>
      </w:r>
    </w:p>
    <w:bookmarkEnd w:id="279"/>
    <w:bookmarkStart w:id="281"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80">
        <w:r>
          <w:rPr>
            <w:rStyle w:val="Hyperlink"/>
          </w:rPr>
          <w:t xml:space="preserve">https://doi.org/10.1002/rra.3575</w:t>
        </w:r>
      </w:hyperlink>
      <w:r>
        <w:t xml:space="preserve">.</w:t>
      </w:r>
    </w:p>
    <w:bookmarkEnd w:id="281"/>
    <w:bookmarkStart w:id="283"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82">
        <w:r>
          <w:rPr>
            <w:rStyle w:val="Hyperlink"/>
          </w:rPr>
          <w:t xml:space="preserve">https://www.scottriverwatershedcouncil.com/scott-river-beaver-dam-analogue-coh</w:t>
        </w:r>
      </w:hyperlink>
      <w:r>
        <w:t xml:space="preserve">.</w:t>
      </w:r>
    </w:p>
    <w:bookmarkEnd w:id="283"/>
    <w:bookmarkEnd w:id="284"/>
    <w:bookmarkEnd w:id="2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107" Target="media/rId107.png" /><Relationship Type="http://schemas.openxmlformats.org/officeDocument/2006/relationships/image" Id="rId112" Target="media/rId112.png" /><Relationship Type="http://schemas.openxmlformats.org/officeDocument/2006/relationships/image" Id="rId41" Target="media/rId41.png" /><Relationship Type="http://schemas.openxmlformats.org/officeDocument/2006/relationships/image" Id="rId32" Target="media/rId32.jpg" /><Relationship Type="http://schemas.openxmlformats.org/officeDocument/2006/relationships/image" Id="rId22" Target="media/rId22.png" /><Relationship Type="http://schemas.openxmlformats.org/officeDocument/2006/relationships/image" Id="rId64" Target="media/rId64.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hyperlink" Id="rId175" Target="http://groundwater.ucdavis.edu/files/136426.pdf" TargetMode="External" /><Relationship Type="http://schemas.openxmlformats.org/officeDocument/2006/relationships/hyperlink" Id="rId169" Target="http://groundwater.ucdavis.edu/files/165395.pdf" TargetMode="External" /><Relationship Type="http://schemas.openxmlformats.org/officeDocument/2006/relationships/hyperlink" Id="rId155" Target="http://www.fgc.ca.gov/meetings/2015/Aug/Exhibits/0805{\_}Item{\_}38{\_}CohoStatusReport.pdf" TargetMode="External" /><Relationship Type="http://schemas.openxmlformats.org/officeDocument/2006/relationships/hyperlink" Id="rId264" Target="https://data.census.gov/cedsci" TargetMode="External" /><Relationship Type="http://schemas.openxmlformats.org/officeDocument/2006/relationships/hyperlink" Id="rId140" Target="https://doi.org/10.1002/eap.2005" TargetMode="External" /><Relationship Type="http://schemas.openxmlformats.org/officeDocument/2006/relationships/hyperlink" Id="rId251" Target="https://doi.org/10.1002/eco.1745" TargetMode="External" /><Relationship Type="http://schemas.openxmlformats.org/officeDocument/2006/relationships/hyperlink" Id="rId138" Target="https://doi.org/10.1002/rra" TargetMode="External" /><Relationship Type="http://schemas.openxmlformats.org/officeDocument/2006/relationships/hyperlink" Id="rId280" Target="https://doi.org/10.1002/rra.3575" TargetMode="External" /><Relationship Type="http://schemas.openxmlformats.org/officeDocument/2006/relationships/hyperlink" Id="rId204" Target="https://doi.org/10.1002/rra.700" TargetMode="External" /><Relationship Type="http://schemas.openxmlformats.org/officeDocument/2006/relationships/hyperlink" Id="rId179" Target="https://doi.org/10.1007/978-1-4614-7138-7" TargetMode="External" /><Relationship Type="http://schemas.openxmlformats.org/officeDocument/2006/relationships/hyperlink" Id="rId150" Target="https://doi.org/10.1007/s00267-002-2737-0" TargetMode="External" /><Relationship Type="http://schemas.openxmlformats.org/officeDocument/2006/relationships/hyperlink" Id="rId231" Target="https://doi.org/10.1007/s00267-012-9864-z" TargetMode="External" /><Relationship Type="http://schemas.openxmlformats.org/officeDocument/2006/relationships/hyperlink" Id="rId195" Target="https://doi.org/10.1007/s00267-013-0055-3" TargetMode="External" /><Relationship Type="http://schemas.openxmlformats.org/officeDocument/2006/relationships/hyperlink" Id="rId144" Target="https://doi.org/10.1007/s11160-016-9432-3" TargetMode="External" /><Relationship Type="http://schemas.openxmlformats.org/officeDocument/2006/relationships/hyperlink" Id="rId274" Target="https://doi.org/10.1016/j.scitotenv.2017.06.081" TargetMode="External" /><Relationship Type="http://schemas.openxmlformats.org/officeDocument/2006/relationships/hyperlink" Id="rId206" Target="https://doi.org/10.1017/CBO9781107415324.004" TargetMode="External" /><Relationship Type="http://schemas.openxmlformats.org/officeDocument/2006/relationships/hyperlink" Id="rId262" Target="https://doi.org/10.1029/2018WR024209" TargetMode="External" /><Relationship Type="http://schemas.openxmlformats.org/officeDocument/2006/relationships/hyperlink" Id="rId186" Target="https://doi.org/10.1029/2020WR028496" TargetMode="External" /><Relationship Type="http://schemas.openxmlformats.org/officeDocument/2006/relationships/hyperlink" Id="rId270" Target="https://doi.org/10.1111/faf.12514" TargetMode="External" /><Relationship Type="http://schemas.openxmlformats.org/officeDocument/2006/relationships/hyperlink" Id="rId272" Target="https://doi.org/10.1111/fwb.13001" TargetMode="External" /><Relationship Type="http://schemas.openxmlformats.org/officeDocument/2006/relationships/hyperlink" Id="rId173" Target="https://doi.org/10.1111/fwb.13048" TargetMode="External" /><Relationship Type="http://schemas.openxmlformats.org/officeDocument/2006/relationships/hyperlink" Id="rId192" Target="https://doi.org/10.1111/fwb.13062" TargetMode="External" /><Relationship Type="http://schemas.openxmlformats.org/officeDocument/2006/relationships/hyperlink" Id="rId163" Target="https://doi.org/10.1111/j.0022-1112.2004.00486.x" TargetMode="External" /><Relationship Type="http://schemas.openxmlformats.org/officeDocument/2006/relationships/hyperlink" Id="rId213" Target="https://doi.org/10.1111/j.1365-2427.2009.02204.x" TargetMode="External" /><Relationship Type="http://schemas.openxmlformats.org/officeDocument/2006/relationships/hyperlink" Id="rId216" Target="https://doi.org/10.1111/j.1365-2427.2009.02272.x" TargetMode="External" /><Relationship Type="http://schemas.openxmlformats.org/officeDocument/2006/relationships/hyperlink" Id="rId266" Target="https://doi.org/10.1111/j.1752-1688.2008.00212.x" TargetMode="External" /><Relationship Type="http://schemas.openxmlformats.org/officeDocument/2006/relationships/hyperlink" Id="rId220" Target="https://doi.org/10.1371/journal.pone.0098392" TargetMode="External" /><Relationship Type="http://schemas.openxmlformats.org/officeDocument/2006/relationships/hyperlink" Id="rId146" Target="https://doi.org/10.1577/1548-8659(1997)126&lt;0049" TargetMode="External" /><Relationship Type="http://schemas.openxmlformats.org/officeDocument/2006/relationships/hyperlink" Id="rId148" Target="https://doi.org/10.1577/1548-8675(1994)014&lt;0237:hdacso&gt;2.3.co;2" TargetMode="External" /><Relationship Type="http://schemas.openxmlformats.org/officeDocument/2006/relationships/hyperlink" Id="rId224" Target="https://doi.org/10.1577/t01-126" TargetMode="External" /><Relationship Type="http://schemas.openxmlformats.org/officeDocument/2006/relationships/hyperlink" Id="rId226" Target="https://doi.org/10.1890/08-0305.1" TargetMode="External" /><Relationship Type="http://schemas.openxmlformats.org/officeDocument/2006/relationships/hyperlink" Id="rId133" Target="https://doi.org/10.1890/130134" TargetMode="External" /><Relationship Type="http://schemas.openxmlformats.org/officeDocument/2006/relationships/hyperlink" Id="rId136" Target="https://doi.org/10.1890/1540-9295(2006)4[309:IFNISA]2.0.CO;2" TargetMode="External" /><Relationship Type="http://schemas.openxmlformats.org/officeDocument/2006/relationships/hyperlink" Id="rId211" Target="https://doi.org/10.2307/1313099" TargetMode="External" /><Relationship Type="http://schemas.openxmlformats.org/officeDocument/2006/relationships/hyperlink" Id="rId142" Target="https://doi.org/10.2307/1446234" TargetMode="External" /><Relationship Type="http://schemas.openxmlformats.org/officeDocument/2006/relationships/hyperlink" Id="rId222" Target="https://doi.org/10.2307/3868443" TargetMode="External" /><Relationship Type="http://schemas.openxmlformats.org/officeDocument/2006/relationships/hyperlink" Id="rId209" Target="https://doi.org/10.3389/fenvs.2021.790667" TargetMode="External" /><Relationship Type="http://schemas.openxmlformats.org/officeDocument/2006/relationships/hyperlink" Id="rId165" Target="https://doi.org/10.3733/ca.v054n06p46" TargetMode="External" /><Relationship Type="http://schemas.openxmlformats.org/officeDocument/2006/relationships/hyperlink" Id="rId171" Target="https://kbifrm.psmfc.org/wp-content/uploads/2016/12/Graham{\_}2012{\_}0010{\_}Klamath-River-Basin-Restoration-Nonuse-Value-Survey-Final-Report.pdf" TargetMode="External" /><Relationship Type="http://schemas.openxmlformats.org/officeDocument/2006/relationships/hyperlink" Id="rId181" Target="https://nrm.dfg.ca.gov/FileHandler.ashx?DocumentID=77836" TargetMode="External" /><Relationship Type="http://schemas.openxmlformats.org/officeDocument/2006/relationships/hyperlink" Id="rId188" Target="https://pubs.usgs.gov/wsp/1462/report.pdf" TargetMode="External" /><Relationship Type="http://schemas.openxmlformats.org/officeDocument/2006/relationships/hyperlink" Id="rId276" Target="https://repository.library.noaa.gov/view/noaa/3483" TargetMode="External" /><Relationship Type="http://schemas.openxmlformats.org/officeDocument/2006/relationships/hyperlink" Id="rId278" Target="https://repository.library.noaa.gov/view/noaa/3609" TargetMode="External" /><Relationship Type="http://schemas.openxmlformats.org/officeDocument/2006/relationships/hyperlink" Id="rId268" Target="https://swfsc-publications.fisheries.noaa.gov/publications/CR/2013/2013Wainwright.pdf" TargetMode="External" /><Relationship Type="http://schemas.openxmlformats.org/officeDocument/2006/relationships/hyperlink" Id="rId167" Target="https://water.ca.gov/Programs/Water-Use-And-Efficiency/Land-And-Water-Use/Agricultural-Land-And-Water-Use-Estimates" TargetMode="External" /><Relationship Type="http://schemas.openxmlformats.org/officeDocument/2006/relationships/hyperlink" Id="rId157" Target="https://wildlife.ca.gov/Conservation/Watersheds/Instream-Flow/Studies/Scott-Shasta-Study" TargetMode="External" /><Relationship Type="http://schemas.openxmlformats.org/officeDocument/2006/relationships/hyperlink" Id="rId233" Target="https://www.co.siskiyou.ca.us/naturalresources/page/scott-valley-gsp-chapters" TargetMode="External" /><Relationship Type="http://schemas.openxmlformats.org/officeDocument/2006/relationships/hyperlink" Id="rId235" Target="https://www.co.siskiyou.ca.us/scottvga/page/scott-valley-groundwater-advisory-committee-meeting-10" TargetMode="External" /><Relationship Type="http://schemas.openxmlformats.org/officeDocument/2006/relationships/hyperlink" Id="rId202" Target="https://www.fisheries.noaa.gov/resource/document/final-recovery-plan-southern-oregon-northern-california-coast-evolutionarily" TargetMode="External" /><Relationship Type="http://schemas.openxmlformats.org/officeDocument/2006/relationships/hyperlink" Id="rId153" Target="https://www.fs.usda.gov/Internet/FSE{\_}DOCUMENTS/stelprd3850544.pdf" TargetMode="External" /><Relationship Type="http://schemas.openxmlformats.org/officeDocument/2006/relationships/hyperlink" Id="rId282" Target="https://www.scottriverwatershedcouncil.com/scott-river-beaver-dam-analogue-coh" TargetMode="External" /><Relationship Type="http://schemas.openxmlformats.org/officeDocument/2006/relationships/hyperlink" Id="rId255" Target="https://www.scottriverwatershedcouncil.com/scott-river-westside-planning-proje" TargetMode="External" /><Relationship Type="http://schemas.openxmlformats.org/officeDocument/2006/relationships/hyperlink" Id="rId228" Target="https://www.scottwatertrust.org/blank" TargetMode="External" /><Relationship Type="http://schemas.openxmlformats.org/officeDocument/2006/relationships/hyperlink" Id="rId218" Target="https://www.siskiyourcd.com/resources" TargetMode="External" /><Relationship Type="http://schemas.openxmlformats.org/officeDocument/2006/relationships/hyperlink" Id="rId160" Target="https://www.waterboards.ca.gov/drought/scott{\_}shasta{\_}rivers/docs/2022/klamath-reg-oal-approval-2022.pdf" TargetMode="External" /><Relationship Type="http://schemas.openxmlformats.org/officeDocument/2006/relationships/hyperlink" Id="rId259" Target="https://www.waterboards.ca.gov/waterrights/board{\_}decisions/adopted{\_}orders/judgments/docs/scottriver{\_}jd.pdf" TargetMode="External" /><Relationship Type="http://schemas.openxmlformats.org/officeDocument/2006/relationships/hyperlink" Id="rId199"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75" Target="http://groundwater.ucdavis.edu/files/136426.pdf" TargetMode="External" /><Relationship Type="http://schemas.openxmlformats.org/officeDocument/2006/relationships/hyperlink" Id="rId169" Target="http://groundwater.ucdavis.edu/files/165395.pdf" TargetMode="External" /><Relationship Type="http://schemas.openxmlformats.org/officeDocument/2006/relationships/hyperlink" Id="rId155" Target="http://www.fgc.ca.gov/meetings/2015/Aug/Exhibits/0805{\_}Item{\_}38{\_}CohoStatusReport.pdf" TargetMode="External" /><Relationship Type="http://schemas.openxmlformats.org/officeDocument/2006/relationships/hyperlink" Id="rId264" Target="https://data.census.gov/cedsci" TargetMode="External" /><Relationship Type="http://schemas.openxmlformats.org/officeDocument/2006/relationships/hyperlink" Id="rId140" Target="https://doi.org/10.1002/eap.2005" TargetMode="External" /><Relationship Type="http://schemas.openxmlformats.org/officeDocument/2006/relationships/hyperlink" Id="rId251" Target="https://doi.org/10.1002/eco.1745" TargetMode="External" /><Relationship Type="http://schemas.openxmlformats.org/officeDocument/2006/relationships/hyperlink" Id="rId138" Target="https://doi.org/10.1002/rra" TargetMode="External" /><Relationship Type="http://schemas.openxmlformats.org/officeDocument/2006/relationships/hyperlink" Id="rId280" Target="https://doi.org/10.1002/rra.3575" TargetMode="External" /><Relationship Type="http://schemas.openxmlformats.org/officeDocument/2006/relationships/hyperlink" Id="rId204" Target="https://doi.org/10.1002/rra.700" TargetMode="External" /><Relationship Type="http://schemas.openxmlformats.org/officeDocument/2006/relationships/hyperlink" Id="rId179" Target="https://doi.org/10.1007/978-1-4614-7138-7" TargetMode="External" /><Relationship Type="http://schemas.openxmlformats.org/officeDocument/2006/relationships/hyperlink" Id="rId150" Target="https://doi.org/10.1007/s00267-002-2737-0" TargetMode="External" /><Relationship Type="http://schemas.openxmlformats.org/officeDocument/2006/relationships/hyperlink" Id="rId231" Target="https://doi.org/10.1007/s00267-012-9864-z" TargetMode="External" /><Relationship Type="http://schemas.openxmlformats.org/officeDocument/2006/relationships/hyperlink" Id="rId195" Target="https://doi.org/10.1007/s00267-013-0055-3" TargetMode="External" /><Relationship Type="http://schemas.openxmlformats.org/officeDocument/2006/relationships/hyperlink" Id="rId144" Target="https://doi.org/10.1007/s11160-016-9432-3" TargetMode="External" /><Relationship Type="http://schemas.openxmlformats.org/officeDocument/2006/relationships/hyperlink" Id="rId274" Target="https://doi.org/10.1016/j.scitotenv.2017.06.081" TargetMode="External" /><Relationship Type="http://schemas.openxmlformats.org/officeDocument/2006/relationships/hyperlink" Id="rId206" Target="https://doi.org/10.1017/CBO9781107415324.004" TargetMode="External" /><Relationship Type="http://schemas.openxmlformats.org/officeDocument/2006/relationships/hyperlink" Id="rId262" Target="https://doi.org/10.1029/2018WR024209" TargetMode="External" /><Relationship Type="http://schemas.openxmlformats.org/officeDocument/2006/relationships/hyperlink" Id="rId186" Target="https://doi.org/10.1029/2020WR028496" TargetMode="External" /><Relationship Type="http://schemas.openxmlformats.org/officeDocument/2006/relationships/hyperlink" Id="rId270" Target="https://doi.org/10.1111/faf.12514" TargetMode="External" /><Relationship Type="http://schemas.openxmlformats.org/officeDocument/2006/relationships/hyperlink" Id="rId272" Target="https://doi.org/10.1111/fwb.13001" TargetMode="External" /><Relationship Type="http://schemas.openxmlformats.org/officeDocument/2006/relationships/hyperlink" Id="rId173" Target="https://doi.org/10.1111/fwb.13048" TargetMode="External" /><Relationship Type="http://schemas.openxmlformats.org/officeDocument/2006/relationships/hyperlink" Id="rId192" Target="https://doi.org/10.1111/fwb.13062" TargetMode="External" /><Relationship Type="http://schemas.openxmlformats.org/officeDocument/2006/relationships/hyperlink" Id="rId163" Target="https://doi.org/10.1111/j.0022-1112.2004.00486.x" TargetMode="External" /><Relationship Type="http://schemas.openxmlformats.org/officeDocument/2006/relationships/hyperlink" Id="rId213" Target="https://doi.org/10.1111/j.1365-2427.2009.02204.x" TargetMode="External" /><Relationship Type="http://schemas.openxmlformats.org/officeDocument/2006/relationships/hyperlink" Id="rId216" Target="https://doi.org/10.1111/j.1365-2427.2009.02272.x" TargetMode="External" /><Relationship Type="http://schemas.openxmlformats.org/officeDocument/2006/relationships/hyperlink" Id="rId266" Target="https://doi.org/10.1111/j.1752-1688.2008.00212.x" TargetMode="External" /><Relationship Type="http://schemas.openxmlformats.org/officeDocument/2006/relationships/hyperlink" Id="rId220" Target="https://doi.org/10.1371/journal.pone.0098392" TargetMode="External" /><Relationship Type="http://schemas.openxmlformats.org/officeDocument/2006/relationships/hyperlink" Id="rId146" Target="https://doi.org/10.1577/1548-8659(1997)126&lt;0049" TargetMode="External" /><Relationship Type="http://schemas.openxmlformats.org/officeDocument/2006/relationships/hyperlink" Id="rId148" Target="https://doi.org/10.1577/1548-8675(1994)014&lt;0237:hdacso&gt;2.3.co;2" TargetMode="External" /><Relationship Type="http://schemas.openxmlformats.org/officeDocument/2006/relationships/hyperlink" Id="rId224" Target="https://doi.org/10.1577/t01-126" TargetMode="External" /><Relationship Type="http://schemas.openxmlformats.org/officeDocument/2006/relationships/hyperlink" Id="rId226" Target="https://doi.org/10.1890/08-0305.1" TargetMode="External" /><Relationship Type="http://schemas.openxmlformats.org/officeDocument/2006/relationships/hyperlink" Id="rId133" Target="https://doi.org/10.1890/130134" TargetMode="External" /><Relationship Type="http://schemas.openxmlformats.org/officeDocument/2006/relationships/hyperlink" Id="rId136" Target="https://doi.org/10.1890/1540-9295(2006)4[309:IFNISA]2.0.CO;2" TargetMode="External" /><Relationship Type="http://schemas.openxmlformats.org/officeDocument/2006/relationships/hyperlink" Id="rId211" Target="https://doi.org/10.2307/1313099" TargetMode="External" /><Relationship Type="http://schemas.openxmlformats.org/officeDocument/2006/relationships/hyperlink" Id="rId142" Target="https://doi.org/10.2307/1446234" TargetMode="External" /><Relationship Type="http://schemas.openxmlformats.org/officeDocument/2006/relationships/hyperlink" Id="rId222" Target="https://doi.org/10.2307/3868443" TargetMode="External" /><Relationship Type="http://schemas.openxmlformats.org/officeDocument/2006/relationships/hyperlink" Id="rId209" Target="https://doi.org/10.3389/fenvs.2021.790667" TargetMode="External" /><Relationship Type="http://schemas.openxmlformats.org/officeDocument/2006/relationships/hyperlink" Id="rId165" Target="https://doi.org/10.3733/ca.v054n06p46" TargetMode="External" /><Relationship Type="http://schemas.openxmlformats.org/officeDocument/2006/relationships/hyperlink" Id="rId171" Target="https://kbifrm.psmfc.org/wp-content/uploads/2016/12/Graham{\_}2012{\_}0010{\_}Klamath-River-Basin-Restoration-Nonuse-Value-Survey-Final-Report.pdf" TargetMode="External" /><Relationship Type="http://schemas.openxmlformats.org/officeDocument/2006/relationships/hyperlink" Id="rId181" Target="https://nrm.dfg.ca.gov/FileHandler.ashx?DocumentID=77836" TargetMode="External" /><Relationship Type="http://schemas.openxmlformats.org/officeDocument/2006/relationships/hyperlink" Id="rId188" Target="https://pubs.usgs.gov/wsp/1462/report.pdf" TargetMode="External" /><Relationship Type="http://schemas.openxmlformats.org/officeDocument/2006/relationships/hyperlink" Id="rId276" Target="https://repository.library.noaa.gov/view/noaa/3483" TargetMode="External" /><Relationship Type="http://schemas.openxmlformats.org/officeDocument/2006/relationships/hyperlink" Id="rId278" Target="https://repository.library.noaa.gov/view/noaa/3609" TargetMode="External" /><Relationship Type="http://schemas.openxmlformats.org/officeDocument/2006/relationships/hyperlink" Id="rId268" Target="https://swfsc-publications.fisheries.noaa.gov/publications/CR/2013/2013Wainwright.pdf" TargetMode="External" /><Relationship Type="http://schemas.openxmlformats.org/officeDocument/2006/relationships/hyperlink" Id="rId167" Target="https://water.ca.gov/Programs/Water-Use-And-Efficiency/Land-And-Water-Use/Agricultural-Land-And-Water-Use-Estimates" TargetMode="External" /><Relationship Type="http://schemas.openxmlformats.org/officeDocument/2006/relationships/hyperlink" Id="rId157" Target="https://wildlife.ca.gov/Conservation/Watersheds/Instream-Flow/Studies/Scott-Shasta-Study" TargetMode="External" /><Relationship Type="http://schemas.openxmlformats.org/officeDocument/2006/relationships/hyperlink" Id="rId233" Target="https://www.co.siskiyou.ca.us/naturalresources/page/scott-valley-gsp-chapters" TargetMode="External" /><Relationship Type="http://schemas.openxmlformats.org/officeDocument/2006/relationships/hyperlink" Id="rId235" Target="https://www.co.siskiyou.ca.us/scottvga/page/scott-valley-groundwater-advisory-committee-meeting-10" TargetMode="External" /><Relationship Type="http://schemas.openxmlformats.org/officeDocument/2006/relationships/hyperlink" Id="rId202" Target="https://www.fisheries.noaa.gov/resource/document/final-recovery-plan-southern-oregon-northern-california-coast-evolutionarily" TargetMode="External" /><Relationship Type="http://schemas.openxmlformats.org/officeDocument/2006/relationships/hyperlink" Id="rId153" Target="https://www.fs.usda.gov/Internet/FSE{\_}DOCUMENTS/stelprd3850544.pdf" TargetMode="External" /><Relationship Type="http://schemas.openxmlformats.org/officeDocument/2006/relationships/hyperlink" Id="rId282" Target="https://www.scottriverwatershedcouncil.com/scott-river-beaver-dam-analogue-coh" TargetMode="External" /><Relationship Type="http://schemas.openxmlformats.org/officeDocument/2006/relationships/hyperlink" Id="rId255" Target="https://www.scottriverwatershedcouncil.com/scott-river-westside-planning-proje" TargetMode="External" /><Relationship Type="http://schemas.openxmlformats.org/officeDocument/2006/relationships/hyperlink" Id="rId228" Target="https://www.scottwatertrust.org/blank" TargetMode="External" /><Relationship Type="http://schemas.openxmlformats.org/officeDocument/2006/relationships/hyperlink" Id="rId218" Target="https://www.siskiyourcd.com/resources" TargetMode="External" /><Relationship Type="http://schemas.openxmlformats.org/officeDocument/2006/relationships/hyperlink" Id="rId160" Target="https://www.waterboards.ca.gov/drought/scott{\_}shasta{\_}rivers/docs/2022/klamath-reg-oal-approval-2022.pdf" TargetMode="External" /><Relationship Type="http://schemas.openxmlformats.org/officeDocument/2006/relationships/hyperlink" Id="rId259" Target="https://www.waterboards.ca.gov/waterrights/board{\_}decisions/adopted{\_}orders/judgments/docs/scottriver{\_}jd.pdf" TargetMode="External" /><Relationship Type="http://schemas.openxmlformats.org/officeDocument/2006/relationships/hyperlink" Id="rId199"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2023-12-11T17:06:26Z</dcterms:created>
  <dcterms:modified xsi:type="dcterms:W3CDTF">2023-12-11T17:06:26Z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