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2018a)</w:t>
      </w:r>
      <w:r>
        <w:t xml:space="preserve">, several pilot projects to construct and assess the impact of beaver dam analogs (BDAs) on aquatic habitat and fish populations</w:t>
      </w:r>
      <w:r>
        <w:t xml:space="preserve"> </w:t>
      </w:r>
      <w:r>
        <w:t xml:space="preserve">(Yokel 2018b)</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Yokel et al. (2018a)</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r>
        <w:t xml:space="preserve"> </w:t>
      </w:r>
      <w:r>
        <w:rPr>
          <w:bCs/>
          <w:b/>
        </w:rPr>
        <w:t xml:space="preserve">We note that because the Brood Year period only covers the fall and early winter,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9a56442f012bfdc47d29a82793c41dde3638679"/>
    <w:p>
      <w:pPr>
        <w:pStyle w:val="Heading3"/>
      </w:pPr>
      <w:r>
        <w:rPr>
          <w:rStyle w:val="SectionNumber"/>
        </w:rPr>
        <w:t xml:space="preserve">3.6.2</w:t>
      </w:r>
      <w:r>
        <w:tab/>
      </w:r>
      <w:r>
        <w:t xml:space="preserve">Predictor restriction based on overlapping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15 to 20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generated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 The number of predictors (i.e., the number of non-0 coefficients) incorporated in these models ranged from zero (i.e., the model consisted of the intercept value only) to a maximum of 20 and 27 for coho and Chinook respectively.</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the number of coefficients, and the test error of the 10,000 randomly sampled test and training sets.</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rPr>
          <w:bCs/>
          <w:b/>
        </w:rPr>
        <w:t xml:space="preserve">We note that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numPr>
          <w:ilvl w:val="0"/>
          <w:numId w:val="1010"/>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10"/>
        </w:numPr>
        <w:pStyle w:val="Compact"/>
      </w:pPr>
      <w:r>
        <w:t xml:space="preserve">example of the above</w:t>
      </w:r>
    </w:p>
    <w:p>
      <w:pPr>
        <w:pStyle w:val="TableCaption"/>
      </w:pPr>
      <w:r>
        <w:t xml:space="preserve">Table 3:</w:t>
      </w:r>
      <w:r>
        <w:t xml:space="preserve"> </w:t>
      </w:r>
      <w:r>
        <w:t xml:space="preserve">Predictors informing the lasso regression for coho spfat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23.48</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14.45</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11.31</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10.14</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6.21</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3.86</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r>
      <w:tr>
        <w:trPr>
          <w:trHeight w:val="613"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55.77</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44.43</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40.65</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38.13</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26.79</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11"/>
        </w:numPr>
        <w:pStyle w:val="Compact"/>
      </w:pPr>
      <w:r>
        <w:t xml:space="preserve">coho % smolt survival - more variation explained with fewer coefficients than chinook juv per adult</w:t>
      </w:r>
    </w:p>
    <w:p>
      <w:pPr>
        <w:numPr>
          <w:ilvl w:val="0"/>
          <w:numId w:val="1011"/>
        </w:numPr>
        <w:pStyle w:val="Compact"/>
      </w:pPr>
      <w:r>
        <w:t xml:space="preserve">possible interp: in this watershed, Chinook outcomes are less sensitive to flow (or less limited by flow) than coho outcomes</w:t>
      </w:r>
    </w:p>
    <w:bookmarkEnd w:id="82"/>
    <w:bookmarkEnd w:id="83"/>
    <w:bookmarkStart w:id="92"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coho_smolt_per_fem</w:t>
      </w:r>
      <w:r>
        <w:t xml:space="preserve"> </w:t>
      </w:r>
      <w:r>
        <w:t xml:space="preserve">Coho lambda: 10</w:t>
      </w:r>
      <w:r>
        <w:t xml:space="preserve"> </w:t>
      </w:r>
      <w:r>
        <w:t xml:space="preserve">Coho RMSE: 25.775536</w:t>
      </w:r>
      <w:r>
        <w:t xml:space="preserve"> </w:t>
      </w:r>
      <w:r>
        <w:t xml:space="preserve">Coho relative RMSE: 0.4485762</w:t>
      </w:r>
    </w:p>
    <w:p>
      <w:pPr>
        <w:pStyle w:val="BodyText"/>
      </w:pPr>
      <w:r>
        <w:t xml:space="preserve">Coho y val: chinook_juv_per_adult</w:t>
      </w:r>
      <w:r>
        <w:t xml:space="preserve"> </w:t>
      </w:r>
      <w:r>
        <w:t xml:space="preserve">Chinook lambda: 20</w:t>
      </w:r>
      <w:r>
        <w:t xml:space="preserve"> </w:t>
      </w:r>
      <w:r>
        <w:t xml:space="preserve">Chinook RMSE: 78.8878344</w:t>
      </w:r>
      <w:r>
        <w:t xml:space="preserve"> </w:t>
      </w:r>
      <w:r>
        <w:t xml:space="preserve">Chinook relative RMSE: 0.596602</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2018a)</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2"/>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2"/>
        </w:numPr>
        <w:pStyle w:val="Compact"/>
      </w:pPr>
      <w:r>
        <w:t xml:space="preserve">Chinook typically do not oversummer in the freshwater system, potentially making them less vulnerable than coho to dry season conditions.</w:t>
      </w:r>
    </w:p>
    <w:p>
      <w:pPr>
        <w:numPr>
          <w:ilvl w:val="0"/>
          <w:numId w:val="1012"/>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3"/>
        </w:numPr>
        <w:pStyle w:val="Compact"/>
      </w:pPr>
      <w:r>
        <w:t xml:space="preserve">Effective population size</w:t>
      </w:r>
    </w:p>
    <w:p>
      <w:pPr>
        <w:numPr>
          <w:ilvl w:val="0"/>
          <w:numId w:val="1013"/>
        </w:numPr>
        <w:pStyle w:val="Compact"/>
      </w:pPr>
      <w:r>
        <w:t xml:space="preserve">Population size per generation</w:t>
      </w:r>
    </w:p>
    <w:p>
      <w:pPr>
        <w:numPr>
          <w:ilvl w:val="0"/>
          <w:numId w:val="1013"/>
        </w:numPr>
        <w:pStyle w:val="Compact"/>
      </w:pPr>
      <w:r>
        <w:t xml:space="preserve">Population decline (rate of decline)</w:t>
      </w:r>
    </w:p>
    <w:p>
      <w:pPr>
        <w:numPr>
          <w:ilvl w:val="0"/>
          <w:numId w:val="1013"/>
        </w:numPr>
        <w:pStyle w:val="Compact"/>
      </w:pPr>
      <w:r>
        <w:t xml:space="preserve">Catastrophic decline (order of magnitude decline within 1 generation)</w:t>
      </w:r>
    </w:p>
    <w:p>
      <w:pPr>
        <w:numPr>
          <w:ilvl w:val="0"/>
          <w:numId w:val="1013"/>
        </w:numPr>
        <w:pStyle w:val="Compact"/>
      </w:pPr>
      <w:r>
        <w:t xml:space="preserve">Spawner density</w:t>
      </w:r>
    </w:p>
    <w:p>
      <w:pPr>
        <w:numPr>
          <w:ilvl w:val="0"/>
          <w:numId w:val="1013"/>
        </w:numPr>
        <w:pStyle w:val="Compact"/>
      </w:pPr>
      <w:r>
        <w:t xml:space="preserve">Potential spatial habitat capacity, in units of Intrinsic Potential (IP)</w:t>
      </w:r>
    </w:p>
    <w:p>
      <w:pPr>
        <w:numPr>
          <w:ilvl w:val="0"/>
          <w:numId w:val="1013"/>
        </w:numPr>
        <w:pStyle w:val="Compact"/>
      </w:pPr>
      <w:r>
        <w:t xml:space="preserve">Hatchery influence</w:t>
      </w:r>
    </w:p>
    <w:p>
      <w:pPr>
        <w:numPr>
          <w:ilvl w:val="0"/>
          <w:numId w:val="1013"/>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38"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37" w:name="hb-formula"/>
    <w:p>
      <w:pPr>
        <w:pStyle w:val="Heading2"/>
      </w:pPr>
      <w:r>
        <w:rPr>
          <w:rStyle w:val="SectionNumber"/>
        </w:rPr>
        <w:t xml:space="preserve">7.5</w:t>
      </w:r>
      <w:r>
        <w:tab/>
      </w:r>
      <w:r>
        <w:t xml:space="preserve">HB formula</w:t>
      </w:r>
    </w:p>
    <w:bookmarkStart w:id="336"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3">
        <w:r>
          <w:rPr>
            <w:rStyle w:val="Hyperlink"/>
          </w:rPr>
          <w:t xml:space="preserve">https://wildlife.ca.gov/Conservation/Watersheds/Instream-Flow/Studies/Scott-Shasta-Study</w:t>
        </w:r>
      </w:hyperlink>
      <w:r>
        <w:t xml:space="preserve">.</w:t>
      </w:r>
    </w:p>
    <w:bookmarkEnd w:id="144"/>
    <w:bookmarkStart w:id="145"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5"/>
    <w:bookmarkStart w:id="14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6">
        <w:r>
          <w:rPr>
            <w:rStyle w:val="Hyperlink"/>
          </w:rPr>
          <w:t xml:space="preserve">https://www.waterboards.ca.gov/drought/scott{\_}shasta{\_}rivers/docs/2022/klamath-reg-oal-approval-2022.pdf</w:t>
        </w:r>
      </w:hyperlink>
      <w:r>
        <w:t xml:space="preserve">.</w:t>
      </w:r>
    </w:p>
    <w:bookmarkEnd w:id="147"/>
    <w:bookmarkStart w:id="149"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8">
        <w:r>
          <w:rPr>
            <w:rStyle w:val="Hyperlink"/>
          </w:rPr>
          <w:t xml:space="preserve">https://doi.org/10.3390/w9030196</w:t>
        </w:r>
      </w:hyperlink>
      <w:r>
        <w:t xml:space="preserve">.</w:t>
      </w:r>
    </w:p>
    <w:bookmarkEnd w:id="149"/>
    <w:bookmarkStart w:id="151"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0">
        <w:r>
          <w:rPr>
            <w:rStyle w:val="Hyperlink"/>
          </w:rPr>
          <w:t xml:space="preserve">https://doi.org/10.1111/ddi.12225</w:t>
        </w:r>
      </w:hyperlink>
      <w:r>
        <w:t xml:space="preserve">.</w:t>
      </w:r>
    </w:p>
    <w:bookmarkEnd w:id="151"/>
    <w:bookmarkStart w:id="152"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2"/>
    <w:bookmarkStart w:id="153"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3"/>
    <w:bookmarkStart w:id="155"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4">
        <w:r>
          <w:rPr>
            <w:rStyle w:val="Hyperlink"/>
          </w:rPr>
          <w:t xml:space="preserve">https://doi.org/10.1111/j.0022-1112.2004.00486.x</w:t>
        </w:r>
      </w:hyperlink>
      <w:r>
        <w:t xml:space="preserve">.</w:t>
      </w:r>
    </w:p>
    <w:bookmarkEnd w:id="155"/>
    <w:bookmarkStart w:id="157"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6">
        <w:r>
          <w:rPr>
            <w:rStyle w:val="Hyperlink"/>
          </w:rPr>
          <w:t xml:space="preserve">https://doi.org/10.1016/j.ecohyd.2016.12.002</w:t>
        </w:r>
      </w:hyperlink>
      <w:r>
        <w:t xml:space="preserve">.</w:t>
      </w:r>
    </w:p>
    <w:bookmarkEnd w:id="157"/>
    <w:bookmarkStart w:id="159"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8">
        <w:r>
          <w:rPr>
            <w:rStyle w:val="Hyperlink"/>
          </w:rPr>
          <w:t xml:space="preserve">https://doi.org/10.1111/1752-1688.12845</w:t>
        </w:r>
      </w:hyperlink>
      <w:r>
        <w:t xml:space="preserve">.</w:t>
      </w:r>
    </w:p>
    <w:bookmarkEnd w:id="159"/>
    <w:bookmarkStart w:id="16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2">
        <w:r>
          <w:rPr>
            <w:rStyle w:val="Hyperlink"/>
          </w:rPr>
          <w:t xml:space="preserve">https://water.ca.gov/Programs/Water-Use-And-Efficiency/Land-And-Water-Use/Agricultural-Land-And-Water-Use-Estimates</w:t>
        </w:r>
      </w:hyperlink>
      <w:r>
        <w:t xml:space="preserve">.</w:t>
      </w:r>
    </w:p>
    <w:bookmarkEnd w:id="163"/>
    <w:bookmarkStart w:id="16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4">
        <w:r>
          <w:rPr>
            <w:rStyle w:val="Hyperlink"/>
          </w:rPr>
          <w:t xml:space="preserve">http://groundwater.ucdavis.edu/files/165395.pdf</w:t>
        </w:r>
      </w:hyperlink>
      <w:r>
        <w:t xml:space="preserve">.</w:t>
      </w:r>
    </w:p>
    <w:bookmarkEnd w:id="165"/>
    <w:bookmarkStart w:id="167"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6">
        <w:r>
          <w:rPr>
            <w:rStyle w:val="Hyperlink"/>
          </w:rPr>
          <w:t xml:space="preserve">https://arxiv.org/abs/0908.3817</w:t>
        </w:r>
      </w:hyperlink>
      <w:r>
        <w:t xml:space="preserve">.</w:t>
      </w:r>
    </w:p>
    <w:bookmarkEnd w:id="167"/>
    <w:bookmarkStart w:id="169"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8">
        <w:r>
          <w:rPr>
            <w:rStyle w:val="Hyperlink"/>
          </w:rPr>
          <w:t xml:space="preserve">https://doi.org/10.1016/j.ecohyd.2019.07.003</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2">
        <w:r>
          <w:rPr>
            <w:rStyle w:val="Hyperlink"/>
          </w:rPr>
          <w:t xml:space="preserve">https://doi.org/10.1002/eco.1354</w:t>
        </w:r>
      </w:hyperlink>
      <w:r>
        <w:t xml:space="preserve">.</w:t>
      </w:r>
    </w:p>
    <w:bookmarkEnd w:id="173"/>
    <w:bookmarkStart w:id="175"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4">
        <w:r>
          <w:rPr>
            <w:rStyle w:val="Hyperlink"/>
          </w:rPr>
          <w:t xml:space="preserve">https://doi.org/10.1016/j.ecohyd.2020.02.002</w:t>
        </w:r>
      </w:hyperlink>
      <w:r>
        <w:t xml:space="preserve">.</w:t>
      </w:r>
    </w:p>
    <w:bookmarkEnd w:id="175"/>
    <w:bookmarkStart w:id="177"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6">
        <w:r>
          <w:rPr>
            <w:rStyle w:val="Hyperlink"/>
          </w:rPr>
          <w:t xml:space="preserve">https://doi.org/10.1111/fwb.12684</w:t>
        </w:r>
      </w:hyperlink>
      <w:r>
        <w:t xml:space="preserve">.</w:t>
      </w:r>
    </w:p>
    <w:bookmarkEnd w:id="177"/>
    <w:bookmarkStart w:id="179"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8">
        <w:r>
          <w:rPr>
            <w:rStyle w:val="Hyperlink"/>
          </w:rPr>
          <w:t xml:space="preserve">https://doi.org/10.1111/fwb.13048</w:t>
        </w:r>
      </w:hyperlink>
      <w:r>
        <w:t xml:space="preserve">.</w:t>
      </w:r>
    </w:p>
    <w:bookmarkEnd w:id="179"/>
    <w:bookmarkStart w:id="181"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0">
        <w:r>
          <w:rPr>
            <w:rStyle w:val="Hyperlink"/>
          </w:rPr>
          <w:t xml:space="preserve">https://doi.org/10.1002/ecs2.4660</w:t>
        </w:r>
      </w:hyperlink>
      <w:r>
        <w:t xml:space="preserve">.</w:t>
      </w:r>
    </w:p>
    <w:bookmarkEnd w:id="181"/>
    <w:bookmarkStart w:id="183"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2">
        <w:r>
          <w:rPr>
            <w:rStyle w:val="Hyperlink"/>
          </w:rPr>
          <w:t xml:space="preserve">https://doi.org/10.1016/j.quaint.2015.02.032</w:t>
        </w:r>
      </w:hyperlink>
      <w:r>
        <w:t xml:space="preserve">.</w:t>
      </w:r>
    </w:p>
    <w:bookmarkEnd w:id="183"/>
    <w:bookmarkStart w:id="185"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4">
        <w:r>
          <w:rPr>
            <w:rStyle w:val="Hyperlink"/>
          </w:rPr>
          <w:t xml:space="preserve">http://groundwater.ucdavis.edu/files/136426.pdf</w:t>
        </w:r>
      </w:hyperlink>
      <w:r>
        <w:t xml:space="preserve">.</w:t>
      </w:r>
    </w:p>
    <w:bookmarkEnd w:id="185"/>
    <w:bookmarkStart w:id="186"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6"/>
    <w:bookmarkStart w:id="188"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7">
        <w:r>
          <w:rPr>
            <w:rStyle w:val="Hyperlink"/>
          </w:rPr>
          <w:t xml:space="preserve">https://doi.org/10.1111/fwb.13270</w:t>
        </w:r>
      </w:hyperlink>
      <w:r>
        <w:t xml:space="preserve">.</w:t>
      </w:r>
    </w:p>
    <w:bookmarkEnd w:id="188"/>
    <w:bookmarkStart w:id="189"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9"/>
    <w:bookmarkStart w:id="191"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0">
        <w:r>
          <w:rPr>
            <w:rStyle w:val="Hyperlink"/>
          </w:rPr>
          <w:t xml:space="preserve">https://doi.org/10.1007/978-1-4614-7138-7</w:t>
        </w:r>
      </w:hyperlink>
      <w:r>
        <w:t xml:space="preserve">.</w:t>
      </w:r>
    </w:p>
    <w:bookmarkEnd w:id="191"/>
    <w:bookmarkStart w:id="193"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2">
        <w:r>
          <w:rPr>
            <w:rStyle w:val="Hyperlink"/>
          </w:rPr>
          <w:t xml:space="preserve">https://doi.org/10.1127/fal/2018/1177</w:t>
        </w:r>
      </w:hyperlink>
      <w:r>
        <w:t xml:space="preserve">.</w:t>
      </w:r>
    </w:p>
    <w:bookmarkEnd w:id="193"/>
    <w:bookmarkStart w:id="195"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4">
        <w:r>
          <w:rPr>
            <w:rStyle w:val="Hyperlink"/>
          </w:rPr>
          <w:t xml:space="preserve">https://nrm.dfg.ca.gov/FileHandler.ashx?DocumentID=77836</w:t>
        </w:r>
      </w:hyperlink>
      <w:r>
        <w:t xml:space="preserve">.</w:t>
      </w:r>
    </w:p>
    <w:bookmarkEnd w:id="195"/>
    <w:bookmarkStart w:id="196"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6"/>
    <w:bookmarkStart w:id="197"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7"/>
    <w:bookmarkStart w:id="198"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8"/>
    <w:bookmarkStart w:id="200"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9">
        <w:r>
          <w:rPr>
            <w:rStyle w:val="Hyperlink"/>
          </w:rPr>
          <w:t xml:space="preserve">https://doi.org/10.1002/eco.1460</w:t>
        </w:r>
      </w:hyperlink>
      <w:r>
        <w:t xml:space="preserve">.</w:t>
      </w:r>
    </w:p>
    <w:bookmarkEnd w:id="200"/>
    <w:bookmarkStart w:id="202"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1">
        <w:r>
          <w:rPr>
            <w:rStyle w:val="Hyperlink"/>
          </w:rPr>
          <w:t xml:space="preserve">https://doi.org/10.1525/bio.2011.61.12.5</w:t>
        </w:r>
      </w:hyperlink>
      <w:r>
        <w:t xml:space="preserve">.</w:t>
      </w:r>
    </w:p>
    <w:bookmarkEnd w:id="202"/>
    <w:bookmarkStart w:id="204"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3">
        <w:r>
          <w:rPr>
            <w:rStyle w:val="Hyperlink"/>
          </w:rPr>
          <w:t xml:space="preserve">https://doi.org/10.1111/fwb.12324</w:t>
        </w:r>
      </w:hyperlink>
      <w:r>
        <w:t xml:space="preserve">.</w:t>
      </w:r>
    </w:p>
    <w:bookmarkEnd w:id="204"/>
    <w:bookmarkStart w:id="205"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5"/>
    <w:bookmarkStart w:id="207"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6">
        <w:r>
          <w:rPr>
            <w:rStyle w:val="Hyperlink"/>
          </w:rPr>
          <w:t xml:space="preserve">https://doi.org/10.1029/2020WR028496</w:t>
        </w:r>
      </w:hyperlink>
      <w:r>
        <w:t xml:space="preserve">.</w:t>
      </w:r>
    </w:p>
    <w:bookmarkEnd w:id="207"/>
    <w:bookmarkStart w:id="209"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8">
        <w:r>
          <w:rPr>
            <w:rStyle w:val="Hyperlink"/>
          </w:rPr>
          <w:t xml:space="preserve">https://doi.org/10.1016/j.ecolind.2023.109989</w:t>
        </w:r>
      </w:hyperlink>
      <w:r>
        <w:t xml:space="preserve">.</w:t>
      </w:r>
    </w:p>
    <w:bookmarkEnd w:id="209"/>
    <w:bookmarkStart w:id="211"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0">
        <w:r>
          <w:rPr>
            <w:rStyle w:val="Hyperlink"/>
          </w:rPr>
          <w:t xml:space="preserve">https://pubs.usgs.gov/wsp/1462/report.pdf</w:t>
        </w:r>
      </w:hyperlink>
      <w:r>
        <w:t xml:space="preserve">.</w:t>
      </w:r>
    </w:p>
    <w:bookmarkEnd w:id="211"/>
    <w:bookmarkStart w:id="212"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2"/>
    <w:bookmarkStart w:id="213"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3"/>
    <w:bookmarkStart w:id="215"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4">
        <w:r>
          <w:rPr>
            <w:rStyle w:val="Hyperlink"/>
          </w:rPr>
          <w:t xml:space="preserve">https://doi.org/10.1111/fwb.13062</w:t>
        </w:r>
      </w:hyperlink>
      <w:r>
        <w:t xml:space="preserve">.</w:t>
      </w:r>
    </w:p>
    <w:bookmarkEnd w:id="215"/>
    <w:bookmarkStart w:id="216"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6"/>
    <w:bookmarkStart w:id="218"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7">
        <w:r>
          <w:rPr>
            <w:rStyle w:val="Hyperlink"/>
          </w:rPr>
          <w:t xml:space="preserve">https://doi.org/10.1890/14-0247.1</w:t>
        </w:r>
      </w:hyperlink>
      <w:r>
        <w:t xml:space="preserve">.</w:t>
      </w:r>
    </w:p>
    <w:bookmarkEnd w:id="218"/>
    <w:bookmarkStart w:id="220"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9">
        <w:r>
          <w:rPr>
            <w:rStyle w:val="Hyperlink"/>
          </w:rPr>
          <w:t xml:space="preserve">https://doi.org/10.1007/s00267-013-0055-3</w:t>
        </w:r>
      </w:hyperlink>
      <w:r>
        <w:t xml:space="preserve">.</w:t>
      </w:r>
    </w:p>
    <w:bookmarkEnd w:id="220"/>
    <w:bookmarkStart w:id="222"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1">
        <w:r>
          <w:rPr>
            <w:rStyle w:val="Hyperlink"/>
          </w:rPr>
          <w:t xml:space="preserve">https://doi.org/10.1016/j.scitotenv.2019.133774</w:t>
        </w:r>
      </w:hyperlink>
      <w:r>
        <w:t xml:space="preserve">.</w:t>
      </w:r>
    </w:p>
    <w:bookmarkEnd w:id="222"/>
    <w:bookmarkStart w:id="224"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3">
        <w:r>
          <w:rPr>
            <w:rStyle w:val="Hyperlink"/>
          </w:rPr>
          <w:t xml:space="preserve">https://doi.org/10.1002/rra.933</w:t>
        </w:r>
      </w:hyperlink>
      <w:r>
        <w:t xml:space="preserve">.</w:t>
      </w:r>
    </w:p>
    <w:bookmarkEnd w:id="224"/>
    <w:bookmarkStart w:id="225"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5"/>
    <w:bookmarkStart w:id="226"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6"/>
    <w:bookmarkStart w:id="227"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7"/>
    <w:bookmarkStart w:id="229"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8">
        <w:r>
          <w:rPr>
            <w:rStyle w:val="Hyperlink"/>
          </w:rPr>
          <w:t xml:space="preserve">https://www.waterboards.ca.gov/water{\_}issues/programs/tmdl/records/region{\_}1/2010/ref3872.pdf</w:t>
        </w:r>
      </w:hyperlink>
      <w:r>
        <w:t xml:space="preserve">.</w:t>
      </w:r>
    </w:p>
    <w:bookmarkEnd w:id="229"/>
    <w:bookmarkStart w:id="230"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0"/>
    <w:bookmarkStart w:id="232"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31">
        <w:r>
          <w:rPr>
            <w:rStyle w:val="Hyperlink"/>
          </w:rPr>
          <w:t xml:space="preserve">https://www.fisheries.noaa.gov/resource/document/final-recovery-plan-southern-oregon-northern-california-coast-evolutionarily</w:t>
        </w:r>
      </w:hyperlink>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70"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9">
        <w:r>
          <w:rPr>
            <w:rStyle w:val="Hyperlink"/>
          </w:rPr>
          <w:t xml:space="preserve">https://www.scottwatertrust.org/blank</w:t>
        </w:r>
      </w:hyperlink>
      <w:r>
        <w:t xml:space="preserve">.</w:t>
      </w:r>
    </w:p>
    <w:bookmarkEnd w:id="270"/>
    <w:bookmarkStart w:id="271"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1"/>
    <w:bookmarkStart w:id="273"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2">
        <w:r>
          <w:rPr>
            <w:rStyle w:val="Hyperlink"/>
          </w:rPr>
          <w:t xml:space="preserve">https://doi.org/10.1007/s00267-012-9864-z</w:t>
        </w:r>
      </w:hyperlink>
      <w:r>
        <w:t xml:space="preserve">.</w:t>
      </w:r>
    </w:p>
    <w:bookmarkEnd w:id="273"/>
    <w:bookmarkStart w:id="275"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4">
        <w:r>
          <w:rPr>
            <w:rStyle w:val="Hyperlink"/>
          </w:rPr>
          <w:t xml:space="preserve">https://doi.org/10.1002/eco.1909</w:t>
        </w:r>
      </w:hyperlink>
      <w:r>
        <w:t xml:space="preserve">.</w:t>
      </w:r>
    </w:p>
    <w:bookmarkEnd w:id="275"/>
    <w:bookmarkStart w:id="277"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6">
        <w:r>
          <w:rPr>
            <w:rStyle w:val="Hyperlink"/>
          </w:rPr>
          <w:t xml:space="preserve">https://www.co.siskiyou.ca.us/naturalresources/page/scott-valley-gsp-chapters</w:t>
        </w:r>
      </w:hyperlink>
      <w:r>
        <w:t xml:space="preserve">.</w:t>
      </w:r>
    </w:p>
    <w:bookmarkEnd w:id="277"/>
    <w:bookmarkStart w:id="279"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78">
        <w:r>
          <w:rPr>
            <w:rStyle w:val="Hyperlink"/>
          </w:rPr>
          <w:t xml:space="preserve">https://www.co.siskiyou.ca.us/scottvga/page/scott-valley-groundwater-advisory-committee-meeting-10</w:t>
        </w:r>
      </w:hyperlink>
      <w:r>
        <w:t xml:space="preserve">.</w:t>
      </w:r>
    </w:p>
    <w:bookmarkEnd w:id="279"/>
    <w:bookmarkStart w:id="280"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0"/>
    <w:bookmarkStart w:id="281"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1"/>
    <w:bookmarkStart w:id="282"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2"/>
    <w:bookmarkStart w:id="283"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3"/>
    <w:bookmarkStart w:id="284"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4"/>
    <w:bookmarkStart w:id="285"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5"/>
    <w:bookmarkStart w:id="286"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86"/>
    <w:bookmarkStart w:id="287"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87"/>
    <w:bookmarkStart w:id="288"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88"/>
    <w:bookmarkStart w:id="289"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89"/>
    <w:bookmarkStart w:id="290"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0"/>
    <w:bookmarkStart w:id="291"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1"/>
    <w:bookmarkStart w:id="292"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2"/>
    <w:bookmarkStart w:id="293"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3"/>
    <w:bookmarkStart w:id="295"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4">
        <w:r>
          <w:rPr>
            <w:rStyle w:val="Hyperlink"/>
          </w:rPr>
          <w:t xml:space="preserve">https://doi.org/10.1002/eco.1745</w:t>
        </w:r>
      </w:hyperlink>
      <w:r>
        <w:t xml:space="preserve">.</w:t>
      </w:r>
    </w:p>
    <w:bookmarkEnd w:id="295"/>
    <w:bookmarkStart w:id="296"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6"/>
    <w:bookmarkStart w:id="297" w:name="ref-CRMP2000"/>
    <w:p>
      <w:pPr>
        <w:pStyle w:val="Bibliography"/>
      </w:pPr>
      <w:r>
        <w:t xml:space="preserve">SRWC-CRMP. 2000.</w:t>
      </w:r>
      <w:r>
        <w:t xml:space="preserve"> </w:t>
      </w:r>
      <w:r>
        <w:t xml:space="preserve">“</w:t>
      </w:r>
      <w:r>
        <w:t xml:space="preserve">Final Report</w:t>
      </w:r>
      <w:r>
        <w:t xml:space="preserve">.”</w:t>
      </w:r>
    </w:p>
    <w:bookmarkEnd w:id="297"/>
    <w:bookmarkStart w:id="298"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98"/>
    <w:bookmarkStart w:id="299"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9">
        <w:r>
          <w:rPr>
            <w:rStyle w:val="Hyperlink"/>
          </w:rPr>
          <w:t xml:space="preserve">https://www.siskiyourcd.com/resources</w:t>
        </w:r>
      </w:hyperlink>
      <w:r>
        <w:t xml:space="preserve">.</w:t>
      </w:r>
    </w:p>
    <w:bookmarkEnd w:id="299"/>
    <w:bookmarkStart w:id="301"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0">
        <w:r>
          <w:rPr>
            <w:rStyle w:val="Hyperlink"/>
          </w:rPr>
          <w:t xml:space="preserve">https://doi.org/10.1111/j.1095-8649.2011.03072.x</w:t>
        </w:r>
      </w:hyperlink>
      <w:r>
        <w:t xml:space="preserve">.</w:t>
      </w:r>
    </w:p>
    <w:bookmarkEnd w:id="301"/>
    <w:bookmarkStart w:id="303"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02">
        <w:r>
          <w:rPr>
            <w:rStyle w:val="Hyperlink"/>
          </w:rPr>
          <w:t xml:space="preserve">https://www.waterboards.ca.gov/waterrights/board{\_}decisions/adopted{\_}orders/judgments/docs/scottriver{\_}jd.pdf</w:t>
        </w:r>
      </w:hyperlink>
      <w:r>
        <w:t xml:space="preserve">.</w:t>
      </w:r>
    </w:p>
    <w:bookmarkEnd w:id="303"/>
    <w:bookmarkStart w:id="304"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4"/>
    <w:bookmarkStart w:id="306"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5">
        <w:r>
          <w:rPr>
            <w:rStyle w:val="Hyperlink"/>
          </w:rPr>
          <w:t xml:space="preserve">https://doi.org/10.1016/j.scitotenv.2017.07.138</w:t>
        </w:r>
      </w:hyperlink>
      <w:r>
        <w:t xml:space="preserve">.</w:t>
      </w:r>
    </w:p>
    <w:bookmarkEnd w:id="306"/>
    <w:bookmarkStart w:id="308"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7">
        <w:r>
          <w:rPr>
            <w:rStyle w:val="Hyperlink"/>
          </w:rPr>
          <w:t xml:space="preserve">https://doi.org/10.1029/2018WR024209</w:t>
        </w:r>
      </w:hyperlink>
      <w:r>
        <w:t xml:space="preserve">.</w:t>
      </w:r>
    </w:p>
    <w:bookmarkEnd w:id="308"/>
    <w:bookmarkStart w:id="310"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09">
        <w:r>
          <w:rPr>
            <w:rStyle w:val="Hyperlink"/>
          </w:rPr>
          <w:t xml:space="preserve">https://data.census.gov/cedsci</w:t>
        </w:r>
      </w:hyperlink>
      <w:r>
        <w:t xml:space="preserve">.</w:t>
      </w:r>
    </w:p>
    <w:bookmarkEnd w:id="310"/>
    <w:bookmarkStart w:id="312"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1">
        <w:r>
          <w:rPr>
            <w:rStyle w:val="Hyperlink"/>
          </w:rPr>
          <w:t xml:space="preserve">https://doi.org/10.1111/j.1752-1688.2008.00212.x</w:t>
        </w:r>
      </w:hyperlink>
      <w:r>
        <w:t xml:space="preserve">.</w:t>
      </w:r>
    </w:p>
    <w:bookmarkEnd w:id="312"/>
    <w:bookmarkStart w:id="314"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3">
        <w:r>
          <w:rPr>
            <w:rStyle w:val="Hyperlink"/>
          </w:rPr>
          <w:t xml:space="preserve">https://swfsc-publications.fisheries.noaa.gov/publications/CR/2013/2013Wainwright.pdf</w:t>
        </w:r>
      </w:hyperlink>
      <w:r>
        <w:t xml:space="preserve">.</w:t>
      </w:r>
    </w:p>
    <w:bookmarkEnd w:id="314"/>
    <w:bookmarkStart w:id="316"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5">
        <w:r>
          <w:rPr>
            <w:rStyle w:val="Hyperlink"/>
          </w:rPr>
          <w:t xml:space="preserve">https://doi.org/10.1007/s00267-017-0981-6</w:t>
        </w:r>
      </w:hyperlink>
      <w:r>
        <w:t xml:space="preserve">.</w:t>
      </w:r>
    </w:p>
    <w:bookmarkEnd w:id="316"/>
    <w:bookmarkStart w:id="318"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7">
        <w:r>
          <w:rPr>
            <w:rStyle w:val="Hyperlink"/>
          </w:rPr>
          <w:t xml:space="preserve">https://doi.org/10.1111/faf.12514</w:t>
        </w:r>
      </w:hyperlink>
      <w:r>
        <w:t xml:space="preserve">.</w:t>
      </w:r>
    </w:p>
    <w:bookmarkEnd w:id="318"/>
    <w:bookmarkStart w:id="320"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19">
        <w:r>
          <w:rPr>
            <w:rStyle w:val="Hyperlink"/>
          </w:rPr>
          <w:t xml:space="preserve">https://doi.org/10.1111/fwb.13001</w:t>
        </w:r>
      </w:hyperlink>
      <w:r>
        <w:t xml:space="preserve">.</w:t>
      </w:r>
    </w:p>
    <w:bookmarkEnd w:id="320"/>
    <w:bookmarkStart w:id="322"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1">
        <w:r>
          <w:rPr>
            <w:rStyle w:val="Hyperlink"/>
          </w:rPr>
          <w:t xml:space="preserve">https://doi.org/10.1016/j.scitotenv.2017.06.081</w:t>
        </w:r>
      </w:hyperlink>
      <w:r>
        <w:t xml:space="preserve">.</w:t>
      </w:r>
    </w:p>
    <w:bookmarkEnd w:id="322"/>
    <w:bookmarkStart w:id="324"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3">
        <w:r>
          <w:rPr>
            <w:rStyle w:val="Hyperlink"/>
          </w:rPr>
          <w:t xml:space="preserve">https://repository.library.noaa.gov/view/noaa/3483</w:t>
        </w:r>
      </w:hyperlink>
      <w:r>
        <w:t xml:space="preserve">.</w:t>
      </w:r>
    </w:p>
    <w:bookmarkEnd w:id="324"/>
    <w:bookmarkStart w:id="326"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https://repository.library.noaa.gov/view/noaa/3609</w:t>
        </w:r>
      </w:hyperlink>
      <w:r>
        <w:t xml:space="preserve">.</w:t>
      </w:r>
    </w:p>
    <w:bookmarkEnd w:id="326"/>
    <w:bookmarkStart w:id="328"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7">
        <w:r>
          <w:rPr>
            <w:rStyle w:val="Hyperlink"/>
          </w:rPr>
          <w:t xml:space="preserve">https://doi.org/10.1080/02626667.2013.825722</w:t>
        </w:r>
      </w:hyperlink>
      <w:r>
        <w:t xml:space="preserve">.</w:t>
      </w:r>
    </w:p>
    <w:bookmarkEnd w:id="328"/>
    <w:bookmarkStart w:id="330"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29">
        <w:r>
          <w:rPr>
            <w:rStyle w:val="Hyperlink"/>
          </w:rPr>
          <w:t xml:space="preserve">https://doi.org/10.1016/j.ecoleng.2020.106102</w:t>
        </w:r>
      </w:hyperlink>
      <w:r>
        <w:t xml:space="preserve">.</w:t>
      </w:r>
    </w:p>
    <w:bookmarkEnd w:id="330"/>
    <w:bookmarkStart w:id="332"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1">
        <w:r>
          <w:rPr>
            <w:rStyle w:val="Hyperlink"/>
          </w:rPr>
          <w:t xml:space="preserve">https://doi.org/10.1002/rra.3575</w:t>
        </w:r>
      </w:hyperlink>
      <w:r>
        <w:t xml:space="preserve">.</w:t>
      </w:r>
    </w:p>
    <w:bookmarkEnd w:id="332"/>
    <w:bookmarkStart w:id="334" w:name="ref-Yokel2018"/>
    <w:p>
      <w:pPr>
        <w:pStyle w:val="Bibliography"/>
      </w:pPr>
      <w:r>
        <w:t xml:space="preserve">Yokel, E, Shari K Witmore, B Stapleton, C Gilmore, and M M Pollock. 2018b.</w:t>
      </w:r>
      <w:r>
        <w:t xml:space="preserve"> </w:t>
      </w:r>
      <w:r>
        <w:t xml:space="preserve">“</w:t>
      </w:r>
      <w:r>
        <w:t xml:space="preserve">Scott River Beaver Dam Analogue Coho Salmon Habitat Restoration Program 2017 Monitoring Report</w:t>
      </w:r>
      <w:r>
        <w:t xml:space="preserve">.”</w:t>
      </w:r>
      <w:r>
        <w:t xml:space="preserve"> </w:t>
      </w:r>
      <w:hyperlink r:id="rId333">
        <w:r>
          <w:rPr>
            <w:rStyle w:val="Hyperlink"/>
          </w:rPr>
          <w:t xml:space="preserve">https://www.scottriverwatershedcouncil.com/scott-river-beaver-dam-analogue-coh</w:t>
        </w:r>
      </w:hyperlink>
      <w:r>
        <w:t xml:space="preserve">.</w:t>
      </w:r>
    </w:p>
    <w:bookmarkEnd w:id="334"/>
    <w:bookmarkStart w:id="335" w:name="ref-SRWC2018"/>
    <w:p>
      <w:pPr>
        <w:pStyle w:val="Bibliography"/>
      </w:pPr>
      <w:r>
        <w:t xml:space="preserve">———. 2018a.</w:t>
      </w:r>
      <w:r>
        <w:t xml:space="preserve"> </w:t>
      </w:r>
      <w:r>
        <w:t xml:space="preserve">“</w:t>
      </w:r>
      <w:r>
        <w:t xml:space="preserve">Scott River Beaver Dam Analogue Coho Salmon Habitat Restoration Program 2017 Monitoring Report</w:t>
      </w:r>
      <w:r>
        <w:t xml:space="preserve">.”</w:t>
      </w:r>
      <w:r>
        <w:t xml:space="preserve"> </w:t>
      </w:r>
      <w:r>
        <w:t xml:space="preserve">Scott River Watershed Council.</w:t>
      </w:r>
      <w:r>
        <w:t xml:space="preserve"> </w:t>
      </w:r>
      <w:hyperlink r:id="rId333">
        <w:r>
          <w:rPr>
            <w:rStyle w:val="Hyperlink"/>
          </w:rPr>
          <w:t xml:space="preserve">https://www.scottriverwatershedcouncil.com/scott-river-beaver-dam-analogue-coh</w:t>
        </w:r>
      </w:hyperlink>
      <w:r>
        <w:t xml:space="preserve">.</w:t>
      </w:r>
    </w:p>
    <w:bookmarkEnd w:id="335"/>
    <w:bookmarkEnd w:id="336"/>
    <w:bookmarkEnd w:id="337"/>
    <w:bookmarkEnd w:id="3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09"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1"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5"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29"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1" Target="https://doi.org/10.1016/j.scitotenv.2017.06.081" TargetMode="External" /><Relationship Type="http://schemas.openxmlformats.org/officeDocument/2006/relationships/hyperlink" Id="rId305"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7"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27"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7"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19"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0"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1"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3" Target="https://repository.library.noaa.gov/view/noaa/3483" TargetMode="External" /><Relationship Type="http://schemas.openxmlformats.org/officeDocument/2006/relationships/hyperlink" Id="rId325" Target="https://repository.library.noaa.gov/view/noaa/3609" TargetMode="External" /><Relationship Type="http://schemas.openxmlformats.org/officeDocument/2006/relationships/hyperlink" Id="rId313"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3" Target="https://www.scottriverwatershedcouncil.com/scott-river-beaver-dam-analogue-coh"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2"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09"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1"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5"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29"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1" Target="https://doi.org/10.1016/j.scitotenv.2017.06.081" TargetMode="External" /><Relationship Type="http://schemas.openxmlformats.org/officeDocument/2006/relationships/hyperlink" Id="rId305"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7"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27"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7"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19"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0"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1"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3" Target="https://repository.library.noaa.gov/view/noaa/3483" TargetMode="External" /><Relationship Type="http://schemas.openxmlformats.org/officeDocument/2006/relationships/hyperlink" Id="rId325" Target="https://repository.library.noaa.gov/view/noaa/3609" TargetMode="External" /><Relationship Type="http://schemas.openxmlformats.org/officeDocument/2006/relationships/hyperlink" Id="rId313"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3" Target="https://www.scottriverwatershedcouncil.com/scott-river-beaver-dam-analogue-coh"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2"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2024-06-24T16:44:31Z</dcterms:created>
  <dcterms:modified xsi:type="dcterms:W3CDTF">2024-06-24T16:44:31Z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