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4.png" ContentType="image/png"/>
  <Override PartName="/word/media/rId109.png" ContentType="image/png"/>
  <Override PartName="/word/media/rId28.png" ContentType="image/png"/>
  <Override PartName="/word/media/rId50.png" ContentType="image/png"/>
  <Override PartName="/word/media/rId73.png" ContentType="image/png"/>
  <Override PartName="/word/media/rId77.png" ContentType="image/png"/>
  <Override PartName="/word/media/rId82.png" ContentType="image/png"/>
  <Override PartName="/word/media/rId87.png" ContentType="image/png"/>
  <Override PartName="/word/media/rId91.png" ContentType="image/png"/>
  <Override PartName="/word/media/rId46.png" ContentType="image/png"/>
  <Override PartName="/word/media/rId36.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Wiener</w:t>
      </w:r>
      <w:r>
        <w:t xml:space="preserve"> </w:t>
      </w:r>
      <w:r>
        <w:t xml:space="preserve">and</w:t>
      </w:r>
      <w:r>
        <w:t xml:space="preserve"> </w:t>
      </w:r>
      <w:r>
        <w:t xml:space="preserve">Thomas</w:t>
      </w:r>
      <w:r>
        <w:t xml:space="preserve"> </w:t>
      </w:r>
      <w:r>
        <w:t xml:space="preserve">Harter</w:t>
      </w:r>
    </w:p>
    <w:p>
      <w:pPr>
        <w:pStyle w:val="Date"/>
      </w:pPr>
      <w:r>
        <w:t xml:space="preserve">Sept. 2024</w:t>
      </w:r>
    </w:p>
    <w:bookmarkStart w:id="20" w:name="abstract"/>
    <w:p>
      <w:pPr>
        <w:pStyle w:val="Heading1"/>
      </w:pPr>
      <w:r>
        <w:t xml:space="preserve">Abstract</w:t>
      </w:r>
    </w:p>
    <w:p>
      <w:pPr>
        <w:pStyle w:val="FirstParagraph"/>
      </w:pPr>
      <w:r>
        <w:t xml:space="preserve">In many rural areas of arid and semi-arid regions, balancing agricultural and environmental water needs is a key challenge facing resource managers. This is complicated by the tendency for the water needs of cultivated crops to be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using a functional flows framework. We use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w:t>
      </w:r>
    </w:p>
    <w:p>
      <w:pPr>
        <w:pStyle w:val="BodyText"/>
      </w:pPr>
      <w:r>
        <w:t xml:space="preserve">Taking advantage of a nearly two-decade ecological monitoring dataset and long-term stream gauge measurements, we used lasso regression to build predictive models of coho and Chinook salmon reproductive success based on hydrologic metrics. To control for cohort effects, we chose normalized ecological response metrics for coho and Chinook (number of outmigrating smolt per spawning adult or spawning adult female). For both species, we calculated optimal prediction models using a cross-validation bootstrapping approach to resample and test on unsampled observations. Lambda values, a key fitting parameter in the lasso models, were selected based on an average relative test error threshold of 1.0. Selected lambda values were used to calculate a final predictive model, or Hydrologic Benefit function, using the full dataset for each species. Coho reproduction was found to be more predictable that that for Chinook. The hydrologic metrics that explain the greatest variance in predicted 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pPr>
        <w:pStyle w:val="BodyText"/>
      </w:pPr>
      <w:r>
        <w:t xml:space="preserve">Robustness of the results indicate that this method for empirically deriving hydrologic metrics with the highest ecological benefit for a threatened species may be useful in other watersheds, where sufficient ecological data records are available, to evaluate trade-offs and support water management decisions in human-altered novel ecosystems.</w:t>
      </w:r>
    </w:p>
    <w:p>
      <w:r>
        <w:br w:type="page"/>
      </w:r>
    </w:p>
    <w:bookmarkEnd w:id="20"/>
    <w:bookmarkStart w:id="23" w:name="introduction"/>
    <w:p>
      <w:pPr>
        <w:pStyle w:val="Heading1"/>
      </w:pPr>
      <w:r>
        <w:rPr>
          <w:rStyle w:val="SectionNumber"/>
        </w:rPr>
        <w:t xml:space="preserve">1</w:t>
      </w:r>
      <w:r>
        <w:tab/>
      </w:r>
      <w:r>
        <w:t xml:space="preserve">Introduction</w:t>
      </w:r>
    </w:p>
    <w:bookmarkStart w:id="21"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However, in many river ecosystems, though general methods to characterize environmental flows have been in wide use for at least a decade</w:t>
      </w:r>
      <w:r>
        <w:t xml:space="preserve"> </w:t>
      </w:r>
      <w:r>
        <w:t xml:space="preserve">(e.g., Poff and Zimmerman 2010; Shenton et al. 2012; Solans and García de Jalón 2016)</w:t>
      </w:r>
      <w:r>
        <w:t xml:space="preserve">, the regional-scale conditions that would maintain biodiversity are as yet unquantified or highly uncertain</w:t>
      </w:r>
      <w:r>
        <w:t xml:space="preserve"> </w:t>
      </w:r>
      <w:r>
        <w:t xml:space="preserve">(Poff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water use is primarily managed by managing land use.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(Poff et al. 1997; Poff and Zimmerman 2010)</w:t>
      </w:r>
      <w:r>
        <w:t xml:space="preserve">. Functional flow metrics (hydrologic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specific to California hydrology and made the metric-calculating algorithms publicly available</w:t>
      </w:r>
      <w:r>
        <w:t xml:space="preserve"> </w:t>
      </w:r>
      <w:r>
        <w:t xml:space="preserve">(Yarnell et al. 2020; Patterson et al. 2020)</w:t>
      </w:r>
      <w:r>
        <w:t xml:space="preserve">.</w:t>
      </w:r>
    </w:p>
    <w:p>
      <w:pPr>
        <w:pStyle w:val="BodyText"/>
      </w:pPr>
      <w:r>
        <w:t xml:space="preserve">In this study we examine correlations between several dozen hydrologic metrics and local salmon observations to determine the potential to empirically quantify a hydrologic regime that meets the ecological needs of specific species (coho and Chinook salmon) in a specific ecological region (the Scott River watershed). Using lasso regression hydrologic metric were selected that best predict salmon outcomes. The result of the predictor selection was a Hydrologic Benefit function for each species, conceptually 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bookmarkEnd w:id="21"/>
    <w:bookmarkStart w:id="22"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and Zimmerman 2010)</w:t>
      </w:r>
      <w:r>
        <w:t xml:space="preserve">. Consequently, in recent decades a diverse body of research has sought to identify and quantify ecological responses to changes in flow.</w:t>
      </w:r>
    </w:p>
    <w:p>
      <w:pPr>
        <w:pStyle w:val="BodyText"/>
      </w:pPr>
      <w:r>
        <w:t xml:space="preserve">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 Monk et al. 2006; Guareschi et al. 2014; Kevic et al. 2018; Mazor et al. 2018; Larsen et al. 2021; Peek et al. 2022)</w:t>
      </w:r>
      <w:r>
        <w:t xml:space="preserve">, and secondly, fish diversity and community assemblage</w:t>
      </w:r>
      <w:r>
        <w:t xml:space="preserve"> </w:t>
      </w:r>
      <w:r>
        <w:t xml:space="preserve">(e.g., Ryan A. McManamay et al. 2013; Peterson and Freeman 2016; Cartwright et al. 2017; Sinnathamby et al. 2018; Hain et al. 2018; Guedes et al. 2020; Yao et al. 2021)</w:t>
      </w:r>
      <w:r>
        <w:t xml:space="preserve">. Ecological responses can also be based on the abundance of a single or a few species, often of fish</w:t>
      </w:r>
      <w:r>
        <w:t xml:space="preserve"> </w:t>
      </w:r>
      <w:r>
        <w:t xml:space="preserve">(Stewart-Koster et al. 2011; Booth et al. 2014; DeWeber and Peterson 2020; Hale et al. 2023)</w:t>
      </w:r>
      <w:r>
        <w:t xml:space="preserve">, as well as the extent of habitat types</w:t>
      </w:r>
      <w:r>
        <w:t xml:space="preserve"> </w:t>
      </w:r>
      <w:r>
        <w:t xml:space="preserve">(Chowdhury and Driver 2007; Brand et al. 2011)</w:t>
      </w:r>
      <w:r>
        <w:t xml:space="preserve"> </w:t>
      </w:r>
      <w:r>
        <w:t xml:space="preserve">and the presence of organisms including vegetation and plankton</w:t>
      </w:r>
      <w:r>
        <w:t xml:space="preserve"> </w:t>
      </w:r>
      <w:r>
        <w:t xml:space="preserve">(Riis et al. 2008; Catford et al. 2014; Qian, Liu, and Chen 2016; Tesfaye et al. 2017; Saby et al. 2022)</w:t>
      </w:r>
      <w:r>
        <w:t xml:space="preserve">. Hydrologic predictors range widely, with a heavy emphasis on extreme (low or high) flow events and the duration of components of the flow regime</w:t>
      </w:r>
      <w:r>
        <w:t xml:space="preserve"> </w:t>
      </w:r>
      <w:r>
        <w:t xml:space="preserve">(e.g., Ayllón et al. 2014; Lamouroux and Olivier 2015; Ryan A. McManamay and Frimpong 2015; Bower et al. 2022)</w:t>
      </w:r>
      <w:r>
        <w:t xml:space="preserve">. Causes of the change in hydrology include the operation of dams, changes in human water use, climate change, and natural flow variability</w:t>
      </w:r>
      <w:r>
        <w:t xml:space="preserve"> </w:t>
      </w:r>
      <w:r>
        <w:t xml:space="preserve">(e.g., Alomía Herrera and Carrera Burneo 2017;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(as in 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is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w:t>
      </w:r>
      <w:r>
        <w:t xml:space="preserve"> </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(Richter et al. 2006; Han et al. 2015; Sinnathamby et al. 2018; Bradley et al. 2017; Brummer et al. 2016)</w:t>
      </w:r>
      <w:r>
        <w:t xml:space="preserve">. But historical approaches based on relationship-finding are several steps removed from the policy-making process</w:t>
      </w:r>
      <w:r>
        <w:t xml:space="preserve"> </w:t>
      </w:r>
      <w:r>
        <w:t xml:space="preserve">(Webb et al. 2018)</w:t>
      </w:r>
      <w:r>
        <w:t xml:space="preserve">. For example, the Ecological Limits of Hydrologic Alteration (ELOHA) framework or similar approaches can generate flow-ecology relationships or flow standards for particular rivers, but cannot translate specific management decisions into hydrologic or ecological outcomes</w:t>
      </w:r>
      <w:r>
        <w:t xml:space="preserve"> </w:t>
      </w:r>
      <w:r>
        <w:t xml:space="preserve">(Richter et al. 2006; Cartwright et al. 2017)</w:t>
      </w:r>
      <w:r>
        <w:t xml:space="preserve">.</w:t>
      </w:r>
      <w:r>
        <w:t xml:space="preserve"> </w:t>
      </w:r>
    </w:p>
    <w:p>
      <w:pPr>
        <w:pStyle w:val="BodyText"/>
      </w:pPr>
      <w:r>
        <w:t xml:space="preserve">An ideal framework for supporting decision-making would involve two key steps, firstly connecting land and water management actions to flow changes, and secondly connecting flow changes to ecological responses</w:t>
      </w:r>
      <w:r>
        <w:t xml:space="preserve"> </w:t>
      </w:r>
      <w:r>
        <w:t xml:space="preserve">(Peterson and Freeman 2016; DeWeber and Peterson 2020; Acero Triana, Chu, and Stein 2021)</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(J. S. Rosenfeld 2017)</w:t>
      </w:r>
      <w:r>
        <w:t xml:space="preserve">, but can be difficult to identify and in some cases may not exist</w:t>
      </w:r>
      <w:r>
        <w:t xml:space="preserve"> </w:t>
      </w:r>
      <w:r>
        <w:t xml:space="preserve">(Lueders and McManamay 2023)</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 Webb et al. 2018)</w:t>
      </w:r>
      <w:r>
        <w:t xml:space="preserve">, with the caveat that the designer flows approach may risk overlooking ecological flow needs that are not currently monitored</w:t>
      </w:r>
      <w:r>
        <w:t xml:space="preserve"> </w:t>
      </w:r>
      <w:r>
        <w:t xml:space="preserve">(Bower et al. 2022)</w:t>
      </w:r>
      <w:r>
        <w:t xml:space="preserve">. Finally, stakeholders in at least one study requested flow-ecology relationships based on empirical monitoring, rather than more easily-simulated proxies like flow changes or thermal exposure</w:t>
      </w:r>
      <w:r>
        <w:t xml:space="preserve"> </w:t>
      </w:r>
      <w:r>
        <w:t xml:space="preserve">(DeWeber and Peterson 2020)</w:t>
      </w:r>
      <w:r>
        <w:t xml:space="preserve">.</w:t>
      </w:r>
    </w:p>
    <w:p>
      <w:pPr>
        <w:pStyle w:val="BodyText"/>
      </w:pPr>
      <w:r>
        <w:rPr>
          <w:bCs/>
          <w:b/>
        </w:rPr>
        <w:t xml:space="preserve">rethink use of</w:t>
      </w:r>
      <w:r>
        <w:rPr>
          <w:bCs/>
          <w:b/>
        </w:rPr>
        <w:t xml:space="preserve"> </w:t>
      </w:r>
      <w:r>
        <w:rPr>
          <w:bCs/>
          <w:b/>
        </w:rPr>
        <w:t xml:space="preserve">“</w:t>
      </w:r>
      <w:r>
        <w:rPr>
          <w:bCs/>
          <w:b/>
        </w:rPr>
        <w:t xml:space="preserve">predict</w:t>
      </w:r>
      <w:r>
        <w:rPr>
          <w:bCs/>
          <w:b/>
        </w:rPr>
        <w:t xml:space="preserve">”</w:t>
      </w:r>
      <w:r>
        <w:rPr>
          <w:bCs/>
          <w:b/>
        </w:rPr>
        <w:t xml:space="preserve"> </w:t>
      </w:r>
      <w:r>
        <w:rPr>
          <w:bCs/>
          <w:b/>
        </w:rPr>
        <w:t xml:space="preserve">in introduction. clarify model development vs use.</w:t>
      </w:r>
    </w:p>
    <w:p>
      <w:pPr>
        <w:pStyle w:val="BodyText"/>
      </w:pPr>
      <w:r>
        <w:t xml:space="preserve">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using an appropriate hydrologic model, then use hydrologic benefit functions to summarize the ecologic outcomes of a portfolio of water and land use scenarios.</w:t>
      </w:r>
    </w:p>
    <w:bookmarkEnd w:id="22"/>
    <w:bookmarkEnd w:id="23"/>
    <w:bookmarkStart w:id="44"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both spatial and temporal overlap in a study area’s hydrologic and ecological monitoring data.</w:t>
      </w:r>
    </w:p>
    <w:p>
      <w:pPr>
        <w:pStyle w:val="BodyText"/>
      </w:pPr>
      <w:r>
        <w:t xml:space="preserve">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Ecologic data in Scott Valley is available due to routine monitoring of spawning anadromous fish, which has been ongoing in the broader Klamath basin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This study takes advantage of this nearly two-decade record of adult spawner and juvenile salmon abundance observations to draw preliminary conclusions regarding this hydrology-ecology relationship.</w:t>
      </w:r>
    </w:p>
    <w:p>
      <w:pPr>
        <w:pStyle w:val="CaptionedFigure"/>
      </w:pPr>
      <w:r>
        <w:drawing>
          <wp:inline>
            <wp:extent cx="5334000" cy="6324600"/>
            <wp:effectExtent b="0" l="0" r="0" t="0"/>
            <wp:docPr descr="Figure 1: The Scott River watershed, with regional geographic context (see inset) and local features." title="" id="25" name="Picture"/>
            <a:graphic>
              <a:graphicData uri="http://schemas.openxmlformats.org/drawingml/2006/picture">
                <pic:pic>
                  <pic:nvPicPr>
                    <pic:cNvPr descr="Graphics%20and%20Supplements/scott%20valley%20setting.png" id="26" name="Picture"/>
                    <pic:cNvPicPr>
                      <a:picLocks noChangeArrowheads="1" noChangeAspect="1"/>
                    </pic:cNvPicPr>
                  </pic:nvPicPr>
                  <pic:blipFill>
                    <a:blip r:embed="rId24"/>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bookmarkStart w:id="27" w:name="fig:ScottWatershedMap"/>
      <w:bookmarkEnd w:id="27"/>
      <w:r>
        <w:t xml:space="preserve">Figure 1: The Scott River watershed, with regional geographic context (see inset) and local features.</w:t>
      </w:r>
    </w:p>
    <w:bookmarkStart w:id="34" w:name="X36fa6955ee881a3061f3114fd02206899c105b3"/>
    <w:p>
      <w:pPr>
        <w:pStyle w:val="Heading2"/>
      </w:pPr>
      <w:r>
        <w:rPr>
          <w:rStyle w:val="SectionNumber"/>
        </w:rPr>
        <w:t xml:space="preserve">2.1</w:t>
      </w:r>
      <w:r>
        <w:tab/>
      </w:r>
      <w:r>
        <w:t xml:space="preserve">Scott River watershed setting and water use</w:t>
      </w:r>
    </w:p>
    <w:bookmarkStart w:id="32"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flowing generally from south to north and joining the Klamath River after flowing through a steep canyon (Figure</w:t>
      </w:r>
      <w:r>
        <w:t xml:space="preserve"> </w:t>
      </w:r>
      <w:r>
        <w:t xml:space="preserve">1</w:t>
      </w:r>
      <w:r>
        <w:t xml:space="preserve">). The Scott is a major tributary to the Klamath, which drains an area spanning sections of Northern California and Southern Oregon (Figure</w:t>
      </w:r>
      <w:r>
        <w:t xml:space="preserve"> </w:t>
      </w:r>
      <w:r>
        <w:t xml:space="preserve">1</w:t>
      </w:r>
      <w:r>
        <w:t xml:space="preserve">, inset map). Scott Valley has a Mediterranean climate with distinctive seasons of cool, wet winters and warm, dry summers. This seasonality in water input creates highly seasonal flow in the Scott River and tributary streams, where the beginning of a water year coincides with low flow conditions that immediately precede the onset of winter precipitation (Figure</w:t>
      </w:r>
      <w:r>
        <w:t xml:space="preserve"> </w:t>
      </w:r>
      <w:r>
        <w:t xml:space="preserve">2</w:t>
      </w:r>
      <w:r>
        <w:t xml:space="preserve">).</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upper Scott River are sources of recharge to the aquifer</w:t>
      </w:r>
      <w:r>
        <w:t xml:space="preserve"> </w:t>
      </w:r>
      <w:r>
        <w:t xml:space="preserve">(Mack 1958; Harter and Hines 2008)</w:t>
      </w:r>
      <w:r>
        <w:t xml:space="preserve">. Groundwater discharge sustains streamflow in low-lying areas, especially during the dry season of August through October or November</w:t>
      </w:r>
      <w:r>
        <w:t xml:space="preserve"> </w:t>
      </w:r>
      <w:r>
        <w:t xml:space="preserve">(Tolley, Foglia, and Harter 2019)</w:t>
      </w:r>
      <w:r>
        <w:t xml:space="preserve">. For consistency with regulatory and management programs in this region, this document uses units of cubic feet per second (cfs) when reporting hydrologic fluxes.</w:t>
      </w:r>
    </w:p>
    <w:p>
      <w:pPr>
        <w:pStyle w:val="CaptionedFigure"/>
      </w:pPr>
      <w:r>
        <w:drawing>
          <wp:inline>
            <wp:extent cx="5334000" cy="4572000"/>
            <wp:effectExtent b="0" l="0" r="0" t="0"/>
            <wp:docPr descr="Figure 2: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 title="" id="29" name="Picture"/>
            <a:graphic>
              <a:graphicData uri="http://schemas.openxmlformats.org/drawingml/2006/picture">
                <pic:pic>
                  <pic:nvPicPr>
                    <pic:cNvPr descr="Graphics%20and%20Supplements/Figure%202.png" id="30" name="Picture"/>
                    <pic:cNvPicPr>
                      <a:picLocks noChangeArrowheads="1" noChangeAspect="1"/>
                    </pic:cNvPicPr>
                  </pic:nvPicPr>
                  <pic:blipFill>
                    <a:blip r:embed="rId28"/>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bookmarkStart w:id="31" w:name="fig:fjFlowFigure"/>
      <w:bookmarkEnd w:id="31"/>
      <w:r>
        <w:t xml:space="preserve">Figure 2: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w:t>
      </w:r>
    </w:p>
    <w:bookmarkEnd w:id="32"/>
    <w:bookmarkStart w:id="33" w:name="water-uses-and-management-objectives"/>
    <w:p>
      <w:pPr>
        <w:pStyle w:val="Heading3"/>
      </w:pPr>
      <w:r>
        <w:rPr>
          <w:rStyle w:val="SectionNumber"/>
        </w:rPr>
        <w:t xml:space="preserve">2.1.2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bookmarkEnd w:id="33"/>
    <w:bookmarkEnd w:id="34"/>
    <w:bookmarkStart w:id="43" w:name="Xf9b99239fe8eb82d085e872a0934e80531e93af"/>
    <w:p>
      <w:pPr>
        <w:pStyle w:val="Heading2"/>
      </w:pPr>
      <w:r>
        <w:rPr>
          <w:rStyle w:val="SectionNumber"/>
        </w:rPr>
        <w:t xml:space="preserve">2.2</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bookmarkStart w:id="35"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 Knechtle and Giudice 2023)</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5"/>
    <w:bookmarkStart w:id="40"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7" name="Picture"/>
            <a:graphic>
              <a:graphicData uri="http://schemas.openxmlformats.org/drawingml/2006/picture">
                <pic:pic>
                  <pic:nvPicPr>
                    <pic:cNvPr descr="Graphics%20and%20Supplements/coho%20life%20cycle%20table_2022.02.03.jpg" id="38" name="Picture"/>
                    <pic:cNvPicPr>
                      <a:picLocks noChangeArrowheads="1" noChangeAspect="1"/>
                    </pic:cNvPicPr>
                  </pic:nvPicPr>
                  <pic:blipFill>
                    <a:blip r:embed="rId36"/>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bookmarkStart w:id="39" w:name="fig:cohoLifeCycleFigure"/>
      <w:bookmarkEnd w:id="39"/>
      <w:r>
        <w:t xml:space="preserve">Figure 3: Typical life stage progression of coho salmon in the Scott River watershed.</w:t>
      </w:r>
    </w:p>
    <w:bookmarkEnd w:id="40"/>
    <w:bookmarkStart w:id="41"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r>
        <w:t xml:space="preserve"> </w:t>
      </w: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 Consequently, a diagram of the Chinook life cycle would include more variability than the more structured coho life cycle reflected in Figure</w:t>
      </w:r>
      <w:r>
        <w:t xml:space="preserve"> </w:t>
      </w:r>
      <w:r>
        <w:t xml:space="preserve">3</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(California Department of Fish and Wildlife (CDFW)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41"/>
    <w:bookmarkStart w:id="42"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1"/>
        </w:numPr>
        <w:pStyle w:val="Compact"/>
      </w:pPr>
      <w:r>
        <w:t xml:space="preserve">In most years Chinook spawning migration takes place earlier (September-December) than coho (October-January).</w:t>
      </w:r>
    </w:p>
    <w:p>
      <w:pPr>
        <w:numPr>
          <w:ilvl w:val="0"/>
          <w:numId w:val="1001"/>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1"/>
        </w:numPr>
        <w:pStyle w:val="Compact"/>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1"/>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42"/>
    <w:bookmarkEnd w:id="43"/>
    <w:bookmarkEnd w:id="44"/>
    <w:bookmarkStart w:id="72" w:name="methods-quantitative-analysis"/>
    <w:p>
      <w:pPr>
        <w:pStyle w:val="Heading1"/>
      </w:pPr>
      <w:r>
        <w:rPr>
          <w:rStyle w:val="SectionNumber"/>
        </w:rPr>
        <w:t xml:space="preserve">3</w:t>
      </w:r>
      <w:r>
        <w:tab/>
      </w:r>
      <w:r>
        <w:t xml:space="preserve">Methods: Quantitative analysis</w:t>
      </w:r>
    </w:p>
    <w:p>
      <w:pPr>
        <w:pStyle w:val="FirstParagraph"/>
      </w:pPr>
      <w:r>
        <w:t xml:space="preserve">We used lasso regression</w:t>
      </w:r>
      <w:r>
        <w:t xml:space="preserve"> </w:t>
      </w:r>
      <w:r>
        <w:t xml:space="preserve">(James et al. 2013; Ranstam and Cook 2018)</w:t>
      </w:r>
      <w:r>
        <w:t xml:space="preserve"> </w:t>
      </w:r>
      <w:r>
        <w:t xml:space="preserve">to assess the feasibility of predicting an ecological response using dozens of potential hydrologic predictor metrics. The objectives of the lasso exercise were to 1) perform predictor selection, i.e., empirically estimate which hydrologic flows were most related to coho and Chinook reproductive outcomes and 2) estimate the uncertainty of a predictive Hydrologic Benefit formula, using the selected set of predictors and their calculated coefficients. Each step in the analysis is numbered and explained below.</w:t>
      </w:r>
    </w:p>
    <w:bookmarkStart w:id="55" w:name="Xe8c516df69f6b9666ccfbf7165518f829d29364"/>
    <w:p>
      <w:pPr>
        <w:pStyle w:val="Heading2"/>
      </w:pPr>
      <w:r>
        <w:rPr>
          <w:rStyle w:val="SectionNumber"/>
        </w:rPr>
        <w:t xml:space="preserve">3.1</w:t>
      </w:r>
      <w:r>
        <w:tab/>
      </w:r>
      <w:r>
        <w:t xml:space="preserve">Step 1. Calculate predictors: Flow metrics to describe Scott River flow regime</w:t>
      </w:r>
    </w:p>
    <w:p>
      <w:pPr>
        <w:pStyle w:val="FirstParagraph"/>
      </w:pPr>
      <w:r>
        <w:t xml:space="preserve">Hydrologic predictors consist of flow metrics calculated from the daily flow record at the Fort Jones river gauge from 1942-2023. The full suite of metrics is calculated on a water-year basis (i.e., each type of metric produces one value for each water year;</w:t>
      </w:r>
      <w:r>
        <w:t xml:space="preserve"> </w:t>
      </w:r>
      <w:r>
        <w:rPr>
          <w:iCs/>
          <w:i/>
        </w:rPr>
        <w:t xml:space="preserve">Supplemental Table 1</w:t>
      </w:r>
      <w:r>
        <w:t xml:space="preserve">). Abbreviations, relevant time periods and metric calculation details are listed in Table</w:t>
      </w:r>
      <w:r>
        <w:t xml:space="preserve"> </w:t>
      </w:r>
      <w:r>
        <w:t xml:space="preserve">1</w:t>
      </w:r>
      <w:r>
        <w:t xml:space="preserve">.</w:t>
      </w:r>
    </w:p>
    <w:p>
      <w:pPr>
        <w:pStyle w:val="BodyText"/>
      </w:pPr>
      <w:r>
        <w:t xml:space="preserve">Firstly, a series of metrics from the catalog of California-specific functional flows (as illustrated in Figure</w:t>
      </w:r>
      <w:r>
        <w:t xml:space="preserve"> </w:t>
      </w:r>
      <w:r>
        <w:t xml:space="preserve">4</w:t>
      </w:r>
      <w:r>
        <w:t xml:space="preserve">)</w:t>
      </w:r>
      <w:r>
        <w:t xml:space="preserve"> </w:t>
      </w:r>
      <w:r>
        <w:t xml:space="preserve">(Yarnell et al. 2020; Patterson et al. 2020)</w:t>
      </w:r>
      <w:r>
        <w:t xml:space="preserve"> </w:t>
      </w:r>
      <w:r>
        <w:t xml:space="preserve">were selected to highlight the history and salient characteristics of the Scott River flow regime over the past eight decades. Additional information is available in</w:t>
      </w:r>
      <w:r>
        <w:t xml:space="preserve"> </w:t>
      </w:r>
      <w:r>
        <w:t xml:space="preserve">Patterson et al. (2020)</w:t>
      </w:r>
      <w:r>
        <w:t xml:space="preserve"> </w:t>
      </w:r>
      <w:r>
        <w:t xml:space="preserve">and supporting documentation. 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we devised two additional metrics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w:t>
      </w:r>
      <w:r>
        <w:t xml:space="preserve"> </w:t>
      </w:r>
      <w:r>
        <w:t xml:space="preserve">1</w:t>
      </w:r>
      <w:r>
        <w:t xml:space="preserve">). More importantly, they add value to this analysis because of their direct relation to fish passage in the watershed.</w:t>
      </w:r>
    </w:p>
    <w:p>
      <w:pPr>
        <w:pStyle w:val="BodyText"/>
      </w:pPr>
      <w:r>
        <w:t xml:space="preserve">Finally, to identify the presence of scouring flows [i.e., storm events that can mobilize large amounts of sediment and either bury or wash away salmonid eggs;</w:t>
      </w:r>
      <w:r>
        <w:t xml:space="preserve"> </w:t>
      </w:r>
      <w:r>
        <w:t xml:space="preserve">Scott River Watershed Council (SRWC) (2018)</w:t>
      </w:r>
      <w:r>
        <w:t xml:space="preserve">], we calculated the number of days in each year with average daily flow greater than the 90th flow percentile (for the full Fort Jones hydrologic record).</w:t>
      </w:r>
    </w:p>
    <w:bookmarkStart w:id="54" w:name="Xf45fee2eebd53972590b701c61840508f81f9c4"/>
    <w:p>
      <w:pPr>
        <w:pStyle w:val="Heading3"/>
      </w:pPr>
      <w:r>
        <w:rPr>
          <w:rStyle w:val="SectionNumber"/>
        </w:rPr>
        <w:t xml:space="preserve">3.1.1</w:t>
      </w:r>
      <w:r>
        <w:tab/>
      </w:r>
      <w:r>
        <w:t xml:space="preserve">Selecting flow thresholds for dis- and re-connection timing</w:t>
      </w:r>
    </w:p>
    <w:p>
      <w:pPr>
        <w:pStyle w:val="FirstParagraph"/>
      </w:pPr>
      <w:r>
        <w:t xml:space="preserve">When calculating the timing of river connectivity, a discrete number of thresholds were selected from the continuum of flows, ranging between a lowest value of 8 cfs and highest value of 1000 cfs. At the lowest value all tributaries are known to be disconnected and significant dry reaches exist along the main stem, while the highest value is associated with winter storm events in a fully-connected river system</w:t>
      </w:r>
      <w:r>
        <w:t xml:space="preserve"> </w:t>
      </w:r>
      <w:r>
        <w:t xml:space="preserve">(Tolley, Foglia, and Harter 2019)</w:t>
      </w:r>
      <w:r>
        <w:t xml:space="preserve">.</w:t>
      </w:r>
    </w:p>
    <w:p>
      <w:pPr>
        <w:pStyle w:val="BodyText"/>
      </w:pPr>
      <w:r>
        <w:t xml:space="preserve">The reconnection timing of proximate flow thresholds is somewhat correlated. The lasso regression is appropriate for this type of data because the method can eliminate some redundancy in predictor information</w:t>
      </w:r>
      <w:r>
        <w:t xml:space="preserve"> </w:t>
      </w:r>
      <w:r>
        <w:t xml:space="preserve">(James et al. 2013)</w:t>
      </w:r>
      <w:r>
        <w:t xml:space="preserve">.</w:t>
      </w:r>
    </w:p>
    <w:p>
      <w:pPr>
        <w:pStyle w:val="TableCaption"/>
      </w:pPr>
      <w:bookmarkStart w:id="45" w:name="tab:funcFlowTermsTab"/>
      <w:bookmarkEnd w:id="45"/>
      <w:r>
        <w:t xml:space="preserve">Table 1:</w:t>
      </w:r>
      <w:r>
        <w:t xml:space="preserve"> </w:t>
      </w:r>
      <w:r>
        <w:t xml:space="preserve">Explanation of hydrologic metrics used in this analysis. Each type of metric, for each threshold value (e.g., 100 cfs or 50th flow percentile), produces one value per water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average daily flowrate recorded in the relevant period. Months of the designated time period (e.g. Sep-Dec for BY) are added to the column name for clarity. Example: BY_min_flow_sepdec</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 of all daily flow volumes recorded in the relevant period. Months of the designated time period (e.g. Jan-Jul for SY) are added to the column name for clarity. Example: SY_tot_flow_janjul</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 Example: RY_FA_Mag</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 (50th daily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 Abbreviation: Wet_BFL_Mag_50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events exceeding the 2, 5 and 10 year recurrence intervals of annual peak flow (50%, 20%, and 10% exceedance values).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of high-flow events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in an annual period (i.e. the Rearing Year) in which the FJ daily average flow exceeded the 90th percentile flowrate in the full FJ Gauge record.</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flow recession in water year days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bl>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7" name="Picture"/>
            <a:graphic>
              <a:graphicData uri="http://schemas.openxmlformats.org/drawingml/2006/picture">
                <pic:pic>
                  <pic:nvPicPr>
                    <pic:cNvPr descr="Graphics%20and%20Supplements/Yarnell2020_Fig2.PNG" id="48" name="Picture"/>
                    <pic:cNvPicPr>
                      <a:picLocks noChangeArrowheads="1" noChangeAspect="1"/>
                    </pic:cNvPicPr>
                  </pic:nvPicPr>
                  <pic:blipFill>
                    <a:blip r:embed="rId46"/>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bookmarkStart w:id="49" w:name="fig:fig2Yarnell2020"/>
      <w:bookmarkEnd w:id="49"/>
      <w:r>
        <w:t xml:space="preserve">Figure 4: Figure 2 from Yarnell et al., 2020. Illustration of five functional flow categories identified for a mixed rain-snowmelt runoff river in California.</w:t>
      </w:r>
    </w:p>
    <w:p>
      <w:pPr>
        <w:pStyle w:val="CaptionedFigure"/>
      </w:pPr>
      <w:r>
        <w:drawing>
          <wp:inline>
            <wp:extent cx="5334000" cy="3429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51" name="Picture"/>
            <a:graphic>
              <a:graphicData uri="http://schemas.openxmlformats.org/drawingml/2006/picture">
                <pic:pic>
                  <pic:nvPicPr>
                    <pic:cNvPr descr="Graphics%20and%20Supplements/Figure%204.png" id="52" name="Picture"/>
                    <pic:cNvPicPr>
                      <a:picLocks noChangeArrowheads="1" noChangeAspect="1"/>
                    </pic:cNvPicPr>
                  </pic:nvPicPr>
                  <pic:blipFill>
                    <a:blip r:embed="rId50"/>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bookmarkStart w:id="53" w:name="fig:reconnectExplainerHydrograph"/>
      <w:bookmarkEnd w:id="53"/>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54"/>
    <w:bookmarkEnd w:id="55"/>
    <w:bookmarkStart w:id="56" w:name="X609a518cf80cd5621c8edda22a9150e94756c7a"/>
    <w:p>
      <w:pPr>
        <w:pStyle w:val="Heading2"/>
      </w:pPr>
      <w:r>
        <w:rPr>
          <w:rStyle w:val="SectionNumber"/>
        </w:rPr>
        <w:t xml:space="preserve">3.2</w:t>
      </w:r>
      <w:r>
        <w:tab/>
      </w:r>
      <w:r>
        <w:t xml:space="preserve">Step 2. Assemble responses: Ecological monitoring data</w:t>
      </w:r>
    </w:p>
    <w:p>
      <w:pPr>
        <w:pStyle w:val="FirstParagraph"/>
      </w:pPr>
      <w:r>
        <w:t xml:space="preserve">Multiple observed quantities were evaluated as candidates to best represent the ecological response in the flow-ecology relationship.</w:t>
      </w:r>
    </w:p>
    <w:p>
      <w:pPr>
        <w:pStyle w:val="BodyText"/>
      </w:pPr>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pPr>
        <w:numPr>
          <w:ilvl w:val="0"/>
          <w:numId w:val="1002"/>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2"/>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numPr>
          <w:ilvl w:val="0"/>
          <w:numId w:val="1002"/>
        </w:numPr>
        <w:pStyle w:val="Compact"/>
      </w:pPr>
      <w:r>
        <w:t xml:space="preserve">Number of salmon gravel nests, or redds, observed during spawning window</w:t>
      </w:r>
      <w:r>
        <w:t xml:space="preserve"> </w:t>
      </w:r>
      <w:r>
        <w:t xml:space="preserve">(e.g., Siskiyou RCD 2017a)</w:t>
      </w:r>
      <w:r>
        <w:t xml:space="preserve"> </w:t>
      </w:r>
      <w:r>
        <w:t xml:space="preserve">(for coho only).</w:t>
      </w:r>
    </w:p>
    <w:p>
      <w:pPr>
        <w:pStyle w:val="FirstParagraph"/>
      </w:pPr>
      <w:r>
        <w:t xml:space="preserve">Based on these observations, two other combined metrics have historically been calculated and reported by regional agencies</w:t>
      </w:r>
      <w:r>
        <w:t xml:space="preserve"> </w:t>
      </w:r>
      <w:r>
        <w:t xml:space="preserve">(Knechtle and Giudice 2023)</w:t>
      </w:r>
      <w:r>
        <w:t xml:space="preserve">. These metrics use data from multiple years to capture multiple life stages for a given cohort:</w:t>
      </w:r>
    </w:p>
    <w:p>
      <w:pPr>
        <w:numPr>
          <w:ilvl w:val="0"/>
          <w:numId w:val="1003"/>
        </w:numPr>
        <w:pStyle w:val="Compact"/>
      </w:pPr>
      <w:r>
        <w:t xml:space="preserve">The number of outmigrating coho smolt produced per spawning female (coho spf) and the outmigrating Chinook juveniles per adult (Chinook jpa).</w:t>
      </w:r>
    </w:p>
    <w:bookmarkEnd w:id="56"/>
    <w:bookmarkStart w:id="60" w:name="X20c1638e278a12d3e21d99c660b4cf45da1d159"/>
    <w:p>
      <w:pPr>
        <w:pStyle w:val="Heading2"/>
      </w:pPr>
      <w:r>
        <w:rPr>
          <w:rStyle w:val="SectionNumber"/>
        </w:rPr>
        <w:t xml:space="preserve">3.3</w:t>
      </w:r>
      <w:r>
        <w:tab/>
      </w:r>
      <w:r>
        <w:t xml:space="preserve">Step 3. Align predictor and response metrics with timing of species cohorts</w:t>
      </w:r>
    </w:p>
    <w:p>
      <w:pPr>
        <w:pStyle w:val="FirstParagraph"/>
      </w:pPr>
      <w:r>
        <w:t xml:space="preserve">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Cs/>
          <w:i/>
        </w:rPr>
        <w:t xml:space="preserve">Supplemental Table 2</w:t>
      </w:r>
      <w:r>
        <w:t xml:space="preserve">).</w:t>
      </w:r>
    </w:p>
    <w:bookmarkStart w:id="58"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w:t>
      </w:r>
      <w:r>
        <w:t xml:space="preserve"> </w:t>
      </w:r>
      <w:r>
        <w:t xml:space="preserve">2</w:t>
      </w:r>
      <w:r>
        <w:t xml:space="preserve">):</w:t>
      </w:r>
    </w:p>
    <w:p>
      <w:pPr>
        <w:numPr>
          <w:ilvl w:val="0"/>
          <w:numId w:val="1004"/>
        </w:numPr>
        <w:pStyle w:val="Compact"/>
      </w:pPr>
      <w:r>
        <w:t xml:space="preserve">Brood Year (BY), September-December of the year of the cohort’s parents’ spawning</w:t>
      </w:r>
    </w:p>
    <w:p>
      <w:pPr>
        <w:numPr>
          <w:ilvl w:val="0"/>
          <w:numId w:val="1004"/>
        </w:numPr>
        <w:pStyle w:val="Compact"/>
      </w:pPr>
      <w:r>
        <w:t xml:space="preserve">Rearing Year (RY), January-December of the full year the cohort spends in the watershed</w:t>
      </w:r>
    </w:p>
    <w:p>
      <w:pPr>
        <w:numPr>
          <w:ilvl w:val="0"/>
          <w:numId w:val="1004"/>
        </w:numPr>
        <w:pStyle w:val="Compact"/>
      </w:pPr>
      <w:r>
        <w:t xml:space="preserve">Smolt Year (SY), January-July of the year of the cohort’s smolt outmigration</w:t>
      </w:r>
    </w:p>
    <w:p>
      <w:pPr>
        <w:pStyle w:val="FirstParagraph"/>
      </w:pPr>
      <w:r>
        <w:t xml:space="preserve">Coho Freshwater Life Periods overlap, e.g., the fall pulse flows in year</w:t>
      </w:r>
      <w:r>
        <w:t xml:space="preserve"> </w:t>
      </w:r>
      <m:oMath>
        <m:r>
          <m:t>i</m:t>
        </m:r>
      </m:oMath>
      <w:r>
        <w:t xml:space="preserve"> </w:t>
      </w:r>
      <w:r>
        <w:t xml:space="preserve">take place during one cohort’s Brood Year, and the same fall flows occur during the end of the Rearing Year for the cohort born in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Nonetheless, for consistency, even a January or February reconnection date will be referred to by the previous fall year designation.</w:t>
      </w:r>
    </w:p>
    <w:p>
      <w:pPr>
        <w:pStyle w:val="BodyText"/>
      </w:pPr>
      <w:r>
        <w:t xml:space="preserve">To build empirical relationships between hydrology and biology, ecological response variables were indexed by Brood Year of the affected cohort and hydrologic metrics tabulated accordingly (</w:t>
      </w:r>
      <w:r>
        <w:rPr>
          <w:iCs/>
          <w:i/>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multiple ecological responses (i.e.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Data were available and compiled for brood years 2004 through 2019. We note that because the Brood Year period only covers the fall and early winter,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p>
      <w:pPr>
        <w:pStyle w:val="TableCaption"/>
      </w:pPr>
      <w:bookmarkStart w:id="57" w:name="tab:funcFlowTermsTabLifePeriods"/>
      <w:bookmarkEnd w:id="57"/>
      <w:r>
        <w:t xml:space="preserve">Table 2:</w:t>
      </w:r>
      <w:r>
        <w:t xml:space="preserve"> </w:t>
      </w:r>
      <w:r>
        <w:t xml:space="preserve">Explanation of time period definitions used in this analysis (displayed graphically in Figure 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46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September-December window in which spawning occurs (by the parents of the designated cohort).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Rearing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January-December window during which a cohort hatches and rears in freshwater.</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Smolt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January-July window during which a cohort grows in freshwater and outmigrates to the ocean.</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CFLP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Freshwater Life Period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(conservatively wide) 21-month window, September through July, in which members of a cohort or the cohort's spawning parents are present in the freshwater system.</w:t>
            </w:r>
          </w:p>
        </w:tc>
      </w:tr>
    </w:tbl>
    <w:bookmarkEnd w:id="58"/>
    <w:bookmarkStart w:id="59" w:name="data-alignment---chinook"/>
    <w:p>
      <w:pPr>
        <w:pStyle w:val="Heading3"/>
      </w:pPr>
      <w:r>
        <w:rPr>
          <w:rStyle w:val="SectionNumber"/>
        </w:rPr>
        <w:t xml:space="preserve">3.3.2</w:t>
      </w:r>
      <w:r>
        <w:tab/>
      </w:r>
      <w:r>
        <w:t xml:space="preserve">Data alignment - Chinook</w:t>
      </w:r>
    </w:p>
    <w:p>
      <w:pPr>
        <w:pStyle w:val="FirstParagraph"/>
      </w:pPr>
      <w:r>
        <w:t xml:space="preserve">Because spawning occurs in the fall for both coho and Chinook salmon in the Scott River watershed</w:t>
      </w:r>
      <w:r>
        <w:t xml:space="preserve"> </w:t>
      </w:r>
      <w:r>
        <w:t xml:space="preserve">(California Department of Fish and Wildlife (CDFW) 2021)</w:t>
      </w:r>
      <w:r>
        <w:t xml:space="preserve">,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bookmarkEnd w:id="59"/>
    <w:bookmarkEnd w:id="60"/>
    <w:bookmarkStart w:id="61" w:name="X7445b02a15d4be14f0904dc67931441e9420807"/>
    <w:p>
      <w:pPr>
        <w:pStyle w:val="Heading2"/>
      </w:pPr>
      <w:r>
        <w:rPr>
          <w:rStyle w:val="SectionNumber"/>
        </w:rPr>
        <w:t xml:space="preserve">3.4</w:t>
      </w:r>
      <w:r>
        <w:tab/>
      </w:r>
      <w:r>
        <w:t xml:space="preserve">Step 4. Calculate correlation coefficients and rule out temporally impossible relationships</w:t>
      </w:r>
    </w:p>
    <w:p>
      <w:pPr>
        <w:pStyle w:val="FirstParagraph"/>
      </w:pPr>
      <w:r>
        <w:t xml:space="preserve">After aligning the hydrologic predictors and ecological responses, we calculated Pearson correlation coefficients</w:t>
      </w:r>
      <w:r>
        <w:t xml:space="preserve"> </w:t>
      </w:r>
      <w:r>
        <w:t xml:space="preserve">(Pearson 1895)</w:t>
      </w:r>
      <w:r>
        <w:t xml:space="preserve"> </w:t>
      </w:r>
      <m:oMath>
        <m:r>
          <m:t>R</m:t>
        </m:r>
      </m:oMath>
      <w:r>
        <w:t xml:space="preserve"> </w:t>
      </w:r>
      <w:r>
        <w:t xml:space="preserve">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w:t>
      </w:r>
      <w:r>
        <w:t xml:space="preserve"> </w:t>
      </w:r>
      <m:oMath>
        <m:r>
          <m:t>R</m:t>
        </m:r>
      </m:oMath>
      <w:r>
        <w:t xml:space="preserve"> </w:t>
      </w:r>
      <w:r>
        <w:t xml:space="preserve">matrix.</w:t>
      </w:r>
    </w:p>
    <w:bookmarkEnd w:id="61"/>
    <w:bookmarkStart w:id="62" w:name="X4fef343846e4ec5533e04e9ea59f7e0d1bd5440"/>
    <w:p>
      <w:pPr>
        <w:pStyle w:val="Heading2"/>
      </w:pPr>
      <w:r>
        <w:rPr>
          <w:rStyle w:val="SectionNumber"/>
        </w:rPr>
        <w:t xml:space="preserve">3.5</w:t>
      </w:r>
      <w:r>
        <w:tab/>
      </w:r>
      <w:r>
        <w:t xml:space="preserve">Step 5. Select ecological response metrics</w:t>
      </w:r>
    </w:p>
    <w:p>
      <w:pPr>
        <w:pStyle w:val="FirstParagraph"/>
      </w:pPr>
      <w:r>
        <w:t xml:space="preserve">To generate predictive models, we make an assumption of independence for each year of ecological observation data. Cohort effects may reduce the validity of this assumption (i.e. the number of coho spawners in year 2009 may be partly dependent on the number of spawners in 2006). In order to control somewhat for cohort effects, we selected the normalized metric available for each species as the ecological response variable: coho smolts per female spawner (coho spf) and Chinook juveniles per adult spawner (Chinook jpa). We used the correlation coefficents between the hydrologic and ecological metrics to assess the predictability of the two data types. For completeness, we also compared the</w:t>
      </w:r>
      <w:r>
        <w:t xml:space="preserve"> </w:t>
      </w:r>
      <m:oMath>
        <m:r>
          <m:t>R</m:t>
        </m:r>
      </m:oMath>
      <w:r>
        <w:t xml:space="preserve"> </w:t>
      </w:r>
      <w:r>
        <w:t xml:space="preserve">values of the two selected metrics to the other (non-normalized) ecological data types.</w:t>
      </w:r>
    </w:p>
    <w:bookmarkEnd w:id="62"/>
    <w:bookmarkStart w:id="70" w:name="Xa678dc57f09924ba6b6b79a52a1d04b551bab3e"/>
    <w:p>
      <w:pPr>
        <w:pStyle w:val="Heading2"/>
      </w:pPr>
      <w:r>
        <w:rPr>
          <w:rStyle w:val="SectionNumber"/>
        </w:rPr>
        <w:t xml:space="preserve">3.6</w:t>
      </w:r>
      <w:r>
        <w:tab/>
      </w:r>
      <w:r>
        <w:t xml:space="preserve">Step 6. Generate predictive model with lasso regression</w:t>
      </w:r>
    </w:p>
    <w:p>
      <w:pPr>
        <w:pStyle w:val="FirstParagraph"/>
      </w:pPr>
      <w:r>
        <w:t xml:space="preserve">With hydrologic metrics assigned to each salmon generation, indexed by brood-year (</w:t>
      </w:r>
      <w:r>
        <w:rPr>
          <w:iCs/>
          <w:i/>
        </w:rPr>
        <w:t xml:space="preserve">Supplemental Table 2</w:t>
      </w:r>
      <w:r>
        <w:t xml:space="preserve">), we assessed the potential for hydrologic metrics to predict biological outcomes by performing lasso regression</w:t>
      </w:r>
      <w:r>
        <w:t xml:space="preserve"> </w:t>
      </w:r>
      <w:r>
        <w:t xml:space="preserve">(James et al. 2013; Ranstam and Cook 2018)</w:t>
      </w:r>
      <w:r>
        <w:t xml:space="preserve"> </w:t>
      </w:r>
      <w:r>
        <w:t xml:space="preserve">between 88 hydrologic predictors and the two ecological metrics selected in the previous step (one for coho and one for Chinook).</w:t>
      </w:r>
    </w:p>
    <w:bookmarkStart w:id="63" w:name="general-approach"/>
    <w:p>
      <w:pPr>
        <w:pStyle w:val="Heading3"/>
      </w:pPr>
      <w:r>
        <w:rPr>
          <w:rStyle w:val="SectionNumber"/>
        </w:rPr>
        <w:t xml:space="preserve">3.6.1</w:t>
      </w:r>
      <w:r>
        <w:tab/>
      </w:r>
      <w:r>
        <w:t xml:space="preserve">General approach</w:t>
      </w:r>
    </w:p>
    <w:p>
      <w:pPr>
        <w:pStyle w:val="FirstParagraph"/>
      </w:pPr>
      <w:r>
        <w:t xml:space="preserve">We used the R programming environment</w:t>
      </w:r>
      <w:r>
        <w:t xml:space="preserve"> </w:t>
      </w:r>
      <w:r>
        <w:t xml:space="preserve">(R Core Team 2020)</w:t>
      </w:r>
      <w:r>
        <w:t xml:space="preserve"> </w:t>
      </w:r>
      <w:r>
        <w:t xml:space="preserve">and the linear modeling function</w:t>
      </w:r>
      <w:r>
        <w:t xml:space="preserve"> </w:t>
      </w:r>
      <w:r>
        <w:rPr>
          <w:rStyle w:val="VerbatimChar"/>
        </w:rPr>
        <w:t xml:space="preserve">glmnet()</w:t>
      </w:r>
      <w:r>
        <w:t xml:space="preserve"> </w:t>
      </w:r>
      <w:r>
        <w:t xml:space="preserve">(Friedman, Hastie, and Tibshirani 2010)</w:t>
      </w:r>
      <w:r>
        <w:t xml:space="preserve"> </w:t>
      </w:r>
      <w:r>
        <w:t xml:space="preserve">to perform variable selection using lasso regression. Lasso regression is less flexible than the classic least squares regression, and is commonly used in high-dimensional data settings, where the number of possible predictors approaches or exceeds the number of observations</w:t>
      </w:r>
      <w:r>
        <w:t xml:space="preserve"> </w:t>
      </w:r>
      <w:r>
        <w:t xml:space="preserve">(James et al. 2013)</w:t>
      </w:r>
      <w:r>
        <w:t xml:space="preserve">. Because the solution can set some coefficients to 0, thereby removing their associated predictors from the final model, lasso regression can also perform predictor selection.</w:t>
      </w:r>
    </w:p>
    <w:p>
      <w:pPr>
        <w:pStyle w:val="BodyText"/>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off"/>
              <m:supHide m:val="off"/>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off"/>
                          <m:supHide m:val="off"/>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off"/>
              <m:supHide m:val="off"/>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numPr>
          <w:ilvl w:val="0"/>
          <w:numId w:val="1005"/>
        </w:numPr>
        <w:pStyle w:val="Compact"/>
      </w:pPr>
      <m:oMath>
        <m:r>
          <m:t>n</m:t>
        </m:r>
      </m:oMath>
      <w:r>
        <w:t xml:space="preserve"> </w:t>
      </w:r>
      <w:r>
        <w:t xml:space="preserve">is the number of ecological observations;</w:t>
      </w:r>
    </w:p>
    <w:p>
      <w:pPr>
        <w:numPr>
          <w:ilvl w:val="0"/>
          <w:numId w:val="1005"/>
        </w:numPr>
        <w:pStyle w:val="Compact"/>
      </w:pPr>
      <m:oMath>
        <m:r>
          <m:t>i</m:t>
        </m:r>
      </m:oMath>
      <w:r>
        <w:t xml:space="preserve"> </w:t>
      </w:r>
      <w:r>
        <w:t xml:space="preserve">enumerates the brood years;</w:t>
      </w:r>
    </w:p>
    <w:p>
      <w:pPr>
        <w:numPr>
          <w:ilvl w:val="0"/>
          <w:numId w:val="1005"/>
        </w:numPr>
        <w:pStyle w:val="Compact"/>
      </w:pPr>
      <m:oMath>
        <m:r>
          <m:t>p</m:t>
        </m:r>
      </m:oMath>
      <w:r>
        <w:t xml:space="preserve"> </w:t>
      </w:r>
      <w:r>
        <w:t xml:space="preserve">is the number of predictors;</w:t>
      </w:r>
    </w:p>
    <w:p>
      <w:pPr>
        <w:numPr>
          <w:ilvl w:val="0"/>
          <w:numId w:val="1005"/>
        </w:numPr>
        <w:pStyle w:val="Compact"/>
      </w:pPr>
      <m:oMath>
        <m:r>
          <m:t>j</m:t>
        </m:r>
      </m:oMath>
      <w:r>
        <w:t xml:space="preserve"> </w:t>
      </w:r>
      <w:r>
        <w:t xml:space="preserve">enumerates the hydrologic predictors;</w:t>
      </w:r>
    </w:p>
    <w:p>
      <w:pPr>
        <w:numPr>
          <w:ilvl w:val="0"/>
          <w:numId w:val="1005"/>
        </w:numPr>
        <w:pStyle w:val="Compact"/>
      </w:pPr>
      <m:oMath>
        <m:sSub>
          <m:e>
            <m:r>
              <m:t>x</m:t>
            </m:r>
          </m:e>
          <m:sub>
            <m:r>
              <m:t>i</m:t>
            </m:r>
            <m:r>
              <m:t>j</m:t>
            </m:r>
          </m:sub>
        </m:sSub>
      </m:oMath>
      <w:r>
        <w:t xml:space="preserve"> </w:t>
      </w:r>
      <w:r>
        <w:t xml:space="preserve">is the observed value of hydrologic predictor</w:t>
      </w:r>
      <w:r>
        <w:t xml:space="preserve"> </w:t>
      </w:r>
      <m:oMath>
        <m:r>
          <m:t>j</m:t>
        </m:r>
      </m:oMath>
      <w:r>
        <w:t xml:space="preserve"> </w:t>
      </w:r>
      <w:r>
        <w:t xml:space="preserve">for brood year</w:t>
      </w:r>
      <w:r>
        <w:t xml:space="preserve"> </w:t>
      </w:r>
      <m:oMath>
        <m:r>
          <m:t>i</m:t>
        </m:r>
      </m:oMath>
      <w:r>
        <w:t xml:space="preserve"> </w:t>
      </w:r>
      <w:r>
        <w:t xml:space="preserve">(independent variable);</w:t>
      </w:r>
    </w:p>
    <w:p>
      <w:pPr>
        <w:numPr>
          <w:ilvl w:val="0"/>
          <w:numId w:val="1005"/>
        </w:numPr>
        <w:pStyle w:val="Compact"/>
      </w:pPr>
      <m:oMath>
        <m:sSub>
          <m:e>
            <m:r>
              <m:t>y</m:t>
            </m:r>
          </m:e>
          <m:sub>
            <m:r>
              <m:t>i</m:t>
            </m:r>
          </m:sub>
        </m:sSub>
      </m:oMath>
      <w:r>
        <w:t xml:space="preserve"> </w:t>
      </w:r>
      <w:r>
        <w:t xml:space="preserve">is the observed value of ecological response in brood year</w:t>
      </w:r>
      <w:r>
        <w:t xml:space="preserve"> </w:t>
      </w:r>
      <m:oMath>
        <m:r>
          <m:t>i</m:t>
        </m:r>
      </m:oMath>
      <w:r>
        <w:t xml:space="preserve"> </w:t>
      </w:r>
      <w:r>
        <w:t xml:space="preserve">(dependent variable);</w:t>
      </w:r>
    </w:p>
    <w:p>
      <w:pPr>
        <w:numPr>
          <w:ilvl w:val="0"/>
          <w:numId w:val="1005"/>
        </w:numPr>
        <w:pStyle w:val="Compact"/>
      </w:pPr>
      <m:oMath>
        <m:sSub>
          <m:e>
            <m:r>
              <m:t>β</m:t>
            </m:r>
          </m:e>
          <m:sub>
            <m:r>
              <m:t>0</m:t>
            </m:r>
          </m:sub>
        </m:sSub>
      </m:oMath>
      <w:r>
        <w:t xml:space="preserve"> </w:t>
      </w:r>
      <w:r>
        <w:t xml:space="preserve">is the intercept value for the resulting linear model;</w:t>
      </w:r>
    </w:p>
    <w:p>
      <w:pPr>
        <w:numPr>
          <w:ilvl w:val="0"/>
          <w:numId w:val="1005"/>
        </w:numPr>
        <w:pStyle w:val="Compact"/>
      </w:pPr>
      <m:oMath>
        <m:sSub>
          <m:e>
            <m:r>
              <m:t>β</m:t>
            </m:r>
          </m:e>
          <m:sub>
            <m:r>
              <m:t>j</m:t>
            </m:r>
          </m:sub>
        </m:sSub>
      </m:oMath>
      <w:r>
        <w:t xml:space="preserve"> </w:t>
      </w:r>
      <w:r>
        <w:t xml:space="preserve">is the coefficient value for hydrologic predictor</w:t>
      </w:r>
      <w:r>
        <w:t xml:space="preserve"> </w:t>
      </w:r>
      <m:oMath>
        <m:r>
          <m:t>j</m:t>
        </m:r>
      </m:oMath>
      <w:r>
        <w:t xml:space="preserve"> </w:t>
      </w:r>
      <w:r>
        <w:t xml:space="preserve">in the resulting linear model; and</w:t>
      </w:r>
    </w:p>
    <w:p>
      <w:pPr>
        <w:numPr>
          <w:ilvl w:val="0"/>
          <w:numId w:val="1005"/>
        </w:numPr>
        <w:pStyle w:val="Compact"/>
      </w:pPr>
      <m:oMath>
        <m:r>
          <m:t>λ</m:t>
        </m:r>
      </m:oMath>
      <w:r>
        <w:t xml:space="preserve"> </w:t>
      </w:r>
      <w:r>
        <w:t xml:space="preserve">is a tuning parameter, referred to as a shrinkage penalty.</w:t>
      </w:r>
    </w:p>
    <w:p>
      <w:pPr>
        <w:pStyle w:val="FirstParagraph"/>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r>
        <w:t xml:space="preserve"> </w:t>
      </w: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w:t>
      </w:r>
      <w:r>
        <w:t xml:space="preserve"> </w:t>
      </w:r>
      <w:r>
        <w:t xml:space="preserve">(James et al. 2013)</w:t>
      </w:r>
      <w:r>
        <w:t xml:space="preserve">. In this analysis a range of</w:t>
      </w:r>
      <w:r>
        <w:t xml:space="preserve"> </w:t>
      </w:r>
      <m:oMath>
        <m:r>
          <m:t>λ</m:t>
        </m:r>
      </m:oMath>
      <w:r>
        <w:t xml:space="preserve"> </w:t>
      </w:r>
      <w:r>
        <w:t xml:space="preserve">values was explored for each species.</w:t>
      </w:r>
    </w:p>
    <w:bookmarkEnd w:id="63"/>
    <w:bookmarkStart w:id="64" w:name="Xa36825116d2ac6903b5289f7648c182c9149f63"/>
    <w:p>
      <w:pPr>
        <w:pStyle w:val="Heading3"/>
      </w:pPr>
      <w:r>
        <w:rPr>
          <w:rStyle w:val="SectionNumber"/>
        </w:rPr>
        <w:t xml:space="preserve">3.6.2</w:t>
      </w:r>
      <w:r>
        <w:tab/>
      </w:r>
      <w:r>
        <w:t xml:space="preserve">Predictor restriction based on sample size</w:t>
      </w:r>
    </w:p>
    <w:p>
      <w:pPr>
        <w:pStyle w:val="FirstParagraph"/>
      </w:pPr>
      <w:r>
        <w:t xml:space="preserve">Some ecological records have gaps (e.g., when funding was not available in one year to conduct a redd survey). Additionally, some predictor metrics are not available in all years (i.e.,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bookmarkEnd w:id="64"/>
    <w:bookmarkStart w:id="68" w:name="test-error-and-range-of-lambda-values"/>
    <w:p>
      <w:pPr>
        <w:pStyle w:val="Heading3"/>
      </w:pPr>
      <w:r>
        <w:rPr>
          <w:rStyle w:val="SectionNumber"/>
        </w:rPr>
        <w:t xml:space="preserve">3.6.3</w:t>
      </w:r>
      <w:r>
        <w:tab/>
      </w:r>
      <w:r>
        <w:t xml:space="preserve">Test error and range of lambda values</w:t>
      </w:r>
    </w:p>
    <w:p>
      <w:pPr>
        <w:pStyle w:val="FirstParagraph"/>
      </w:pPr>
      <w:r>
        <w:t xml:space="preserve">In lasso regression, the goal is to select a lambda value (referred to as the</w:t>
      </w:r>
      <w:r>
        <w:t xml:space="preserve"> </w:t>
      </w:r>
      <w:r>
        <w:t xml:space="preserve">“</w:t>
      </w:r>
      <w:r>
        <w:t xml:space="preserve">shrinkage penalty</w:t>
      </w:r>
      <w:r>
        <w:t xml:space="preserve">”</w:t>
      </w:r>
      <w:r>
        <w:t xml:space="preserve"> </w:t>
      </w:r>
      <w:r>
        <w:t xml:space="preserve">or</w:t>
      </w:r>
      <w:r>
        <w:t xml:space="preserve"> </w:t>
      </w:r>
      <w:r>
        <w:t xml:space="preserve">“</w:t>
      </w:r>
      <w:r>
        <w:t xml:space="preserve">tuning parameter</w:t>
      </w:r>
      <w:r>
        <w:t xml:space="preserve">”</w:t>
      </w:r>
      <w:r>
        <w:t xml:space="preserve">) that uses available predictor data such that they explain the largest possible amount of variability observed in the response while also avoiding overfitting. With high-dimensional data, it is typically possible to perfectly fit the observations (explaining 100% of variability) by incorporating data from as many or more predictors as there are observations</w:t>
      </w:r>
      <w:r>
        <w:t xml:space="preserve"> </w:t>
      </w:r>
      <w:r>
        <w:t xml:space="preserve">(James et al. 2013)</w:t>
      </w:r>
      <w:r>
        <w:t xml:space="preserve">. The predictive models that result from this type of overfitting typically perform poorly when applied to new data, since they tend to incorporate random noise to achieve a perfect fit</w:t>
      </w:r>
      <w:r>
        <w:t xml:space="preserve"> </w:t>
      </w:r>
      <w:r>
        <w:t xml:space="preserve">(James et al. 2013)</w:t>
      </w:r>
      <w:r>
        <w:t xml:space="preserve">.</w:t>
      </w:r>
    </w:p>
    <w:bookmarkStart w:id="65" w:name="standard-method-to-select-lambda-value"/>
    <w:p>
      <w:pPr>
        <w:pStyle w:val="Heading4"/>
      </w:pPr>
      <w:r>
        <w:rPr>
          <w:rStyle w:val="SectionNumber"/>
        </w:rPr>
        <w:t xml:space="preserve">3.6.3.1</w:t>
      </w:r>
      <w:r>
        <w:tab/>
      </w:r>
      <w:r>
        <w:t xml:space="preserve">Standard method to select lambda value</w:t>
      </w:r>
    </w:p>
    <w:p>
      <w:pPr>
        <w:pStyle w:val="FirstParagraph"/>
      </w:pPr>
      <w:r>
        <w:t xml:space="preserve">The standard method to pick the optimal value of lambda is to divide a dataset into a</w:t>
      </w:r>
      <w:r>
        <w:t xml:space="preserve"> </w:t>
      </w:r>
      <w:r>
        <w:t xml:space="preserve">“</w:t>
      </w:r>
      <w:r>
        <w:t xml:space="preserve">training</w:t>
      </w:r>
      <w:r>
        <w:t xml:space="preserve">”</w:t>
      </w:r>
      <w:r>
        <w:t xml:space="preserve"> </w:t>
      </w:r>
      <w:r>
        <w:t xml:space="preserve">and a</w:t>
      </w:r>
      <w:r>
        <w:t xml:space="preserve"> </w:t>
      </w:r>
      <w:r>
        <w:t xml:space="preserve">“</w:t>
      </w:r>
      <w:r>
        <w:t xml:space="preserve">test</w:t>
      </w:r>
      <w:r>
        <w:t xml:space="preserve">”</w:t>
      </w:r>
      <w:r>
        <w:t xml:space="preserve"> </w:t>
      </w:r>
      <w:r>
        <w:t xml:space="preserve">set, and use the training set to generate a series of regression models based on a range of lambda values. In one popular textbook example, the range of lambdas used to produce models consists of 100 values from 0.01 to 10,000 [i.e., 100 equidistant numbers ranging from -2 to 5, and then used as an exponent of 10;</w:t>
      </w:r>
      <w:r>
        <w:t xml:space="preserve"> </w:t>
      </w:r>
      <w:r>
        <w:t xml:space="preserve">James et al. (2013)</w:t>
      </w:r>
      <w:r>
        <w:t xml:space="preserve">]. These 100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as optimal; using this optimal value, a final regression model is generated based on the full data set</w:t>
      </w:r>
      <w:r>
        <w:t xml:space="preserve"> </w:t>
      </w:r>
      <w:r>
        <w:t xml:space="preserve">(James et al. 2013)</w:t>
      </w:r>
      <w:r>
        <w:t xml:space="preserve">.</w:t>
      </w:r>
    </w:p>
    <w:bookmarkEnd w:id="65"/>
    <w:bookmarkStart w:id="66" w:name="X0aa63c962d37cc5c290e4eaf3a37e053c0c6525"/>
    <w:p>
      <w:pPr>
        <w:pStyle w:val="Heading4"/>
      </w:pPr>
      <w:r>
        <w:rPr>
          <w:rStyle w:val="SectionNumber"/>
        </w:rPr>
        <w:t xml:space="preserve">3.6.3.2</w:t>
      </w:r>
      <w:r>
        <w:tab/>
      </w:r>
      <w:r>
        <w:t xml:space="preserve">Modified method: resampling to identify range of possible optimal lambda values using hundreds of test-train dataset splits</w:t>
      </w:r>
    </w:p>
    <w:p>
      <w:pPr>
        <w:pStyle w:val="FirstParagraph"/>
      </w:pPr>
      <w:r>
        <w:t xml:space="preserve">However, we decided this was not appropriate for the small size of the available ecological datasets, which ranged from 13 to 21 years of observations: we could not be confident that the single optimal lambda value was an indicator of the ideal balance point between incorporating useful information and overfitting, since it could just be an artifact of the way we divided the dataset into test and training sets. To address the limited number of observations, instead of identifying a single optimal lambda value, we used resampling to identify a range of optimal lambda values. Specifically, we divided the dataset into non-repeating random sets of half test and half training data hundreds or thousands of times, and performed the standard method for optimal lambda identification on each test set. For coho spf, we identified optimal lambda values for all 1,716 possible 50% splits of the 13 data points; for Chinook, which had a larger sample size, we capped the number of test sets at 10,000.</w:t>
      </w:r>
    </w:p>
    <w:bookmarkEnd w:id="66"/>
    <w:bookmarkStart w:id="67" w:name="Xfed72b620d85e4f932b25f172de6cfd44fe9b8f"/>
    <w:p>
      <w:pPr>
        <w:pStyle w:val="Heading4"/>
      </w:pPr>
      <w:r>
        <w:rPr>
          <w:rStyle w:val="SectionNumber"/>
        </w:rPr>
        <w:t xml:space="preserve">3.6.3.3</w:t>
      </w:r>
      <w:r>
        <w:tab/>
      </w:r>
      <w:r>
        <w:t xml:space="preserve">Focus lasso results on potential optimal range</w:t>
      </w:r>
    </w:p>
    <w:p>
      <w:pPr>
        <w:pStyle w:val="FirstParagraph"/>
      </w:pPr>
      <w:r>
        <w:t xml:space="preserve">Then, using the full dataset, we calculated regression models produced by the full range of optimal lambda values identified in the test-train step. To generate a smooth set of curves for coefficient values and percent of deviation, the regression models were calculated at a series of 100 equidistant values between the two ends of the optimal lambda range. This smaller set of regressions (rather than calculating regression models at all 1,716 or all 10,000 optimal values) is possible because regression coefficients and percent deviation change smoothly with change in lambda values.</w:t>
      </w:r>
    </w:p>
    <w:bookmarkEnd w:id="67"/>
    <w:bookmarkEnd w:id="68"/>
    <w:bookmarkStart w:id="69" w:name="selection-of-final-lambda-value"/>
    <w:p>
      <w:pPr>
        <w:pStyle w:val="Heading3"/>
      </w:pPr>
      <w:r>
        <w:rPr>
          <w:rStyle w:val="SectionNumber"/>
        </w:rPr>
        <w:t xml:space="preserve">3.6.4</w:t>
      </w:r>
      <w:r>
        <w:tab/>
      </w:r>
      <w:r>
        <w:t xml:space="preserve">Selection of final lambda value</w:t>
      </w:r>
    </w:p>
    <w:p>
      <w:pPr>
        <w:pStyle w:val="FirstParagraph"/>
      </w:pPr>
      <w:r>
        <w:t xml:space="preserve">Since the standard method was deemed unsuitable for this dataset, we required a modified method to select the final lambda value, and thus generate a single final predictive regression model, for each species. In our modified method we considered the percentage of deviation explained (in the results for the full dataset) and the test error (of the 1,716 [coho] and 10,000 [Chinook] randomly sampled test and training sets). Our objective was to select a lambda value that explained the largest percent of deviation but also produced a reasonable average test error. In both cases we ultimately selected the lambda value associated with an average relative test error of 1.0, or a test error of 100% of the average observation value (see further details in Results).</w:t>
      </w:r>
    </w:p>
    <w:bookmarkEnd w:id="69"/>
    <w:bookmarkEnd w:id="70"/>
    <w:bookmarkStart w:id="71" w:name="Xcc873bd4122e127f797b0eb5391360994726419"/>
    <w:p>
      <w:pPr>
        <w:pStyle w:val="Heading2"/>
      </w:pPr>
      <w:r>
        <w:rPr>
          <w:rStyle w:val="SectionNumber"/>
        </w:rPr>
        <w:t xml:space="preserve">3.7</w:t>
      </w:r>
      <w:r>
        <w:tab/>
      </w:r>
      <w:r>
        <w:t xml:space="preserve">Step 7. Formulate Hydrologic Benefit function</w:t>
      </w:r>
    </w:p>
    <w:p>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w:t>
      </w:r>
      <w:r>
        <w:t xml:space="preserve"> </w:t>
      </w:r>
      <m:oMath>
        <m:r>
          <m:t>i</m:t>
        </m:r>
      </m:oMath>
      <w:r>
        <w:t xml:space="preserve"> </w:t>
      </w:r>
      <w:r>
        <w:t xml:space="preserve">is calculated as:</w:t>
      </w:r>
    </w:p>
    <w:p>
      <w:pPr>
        <w:pStyle w:val="BodyText"/>
      </w:pPr>
      <m:oMathPara>
        <m:oMathParaPr>
          <m:jc m:val="center"/>
        </m:oMathParaPr>
        <m:oMath>
          <m:r>
            <m:t>H</m:t>
          </m:r>
          <m:sSub>
            <m:e>
              <m:r>
                <m:t>B</m:t>
              </m:r>
            </m:e>
            <m:sub>
              <m:r>
                <m:t>i</m:t>
              </m:r>
            </m:sub>
          </m:sSub>
          <m:r>
            <m:rPr>
              <m:sty m:val="p"/>
            </m:rPr>
            <m:t>=</m:t>
          </m:r>
          <m:sSub>
            <m:e>
              <m:r>
                <m:t>β</m:t>
              </m:r>
            </m:e>
            <m:sub>
              <m:r>
                <m:t>0</m:t>
              </m:r>
            </m:sub>
          </m:sSub>
          <m:r>
            <m:rPr>
              <m:sty m:val="p"/>
            </m:rPr>
            <m:t>+</m:t>
          </m:r>
          <m:nary>
            <m:naryPr>
              <m:chr m:val="∑"/>
              <m:limLoc m:val="undOvr"/>
              <m:subHide m:val="off"/>
              <m:supHide m:val="off"/>
            </m:naryPr>
            <m:sub>
              <m:r>
                <m:t>j</m:t>
              </m:r>
              <m:r>
                <m:rPr>
                  <m:sty m:val="p"/>
                </m:rPr>
                <m:t>=</m:t>
              </m:r>
              <m:r>
                <m:t>1</m:t>
              </m:r>
            </m:sub>
            <m:sup>
              <m:r>
                <m:t>p</m:t>
              </m:r>
            </m:sup>
            <m:e>
              <m:sSub>
                <m:e>
                  <m:r>
                    <m:t>β</m:t>
                  </m:r>
                </m:e>
                <m:sub>
                  <m:r>
                    <m:t>j</m:t>
                  </m:r>
                </m:sub>
              </m:sSub>
              <m:sSub>
                <m:e>
                  <m:r>
                    <m:t>x</m:t>
                  </m:r>
                </m:e>
                <m:sub>
                  <m:r>
                    <m:t>i</m:t>
                  </m:r>
                  <m:r>
                    <m:t>j</m:t>
                  </m:r>
                </m:sub>
              </m:sSub>
            </m:e>
          </m:nary>
        </m:oMath>
      </m:oMathPara>
    </w:p>
    <w:p>
      <w:pPr>
        <w:pStyle w:val="FirstParagraph"/>
      </w:pPr>
      <w:r>
        <w:t xml:space="preserve">Where:</w:t>
      </w:r>
      <w:r>
        <w:t xml:space="preserve"> </w:t>
      </w:r>
      <m:oMath>
        <m:sSub>
          <m:e>
            <m:r>
              <m:t>x</m:t>
            </m:r>
          </m:e>
          <m:sub>
            <m:r>
              <m:t>i</m:t>
            </m:r>
            <m:r>
              <m:t>j</m:t>
            </m:r>
          </m:sub>
        </m:sSub>
      </m:oMath>
      <w:r>
        <w:t xml:space="preserve"> </w:t>
      </w:r>
      <w:r>
        <w:t xml:space="preserve">is the value of hydrologic predictor</w:t>
      </w:r>
      <w:r>
        <w:t xml:space="preserve"> </w:t>
      </w:r>
      <m:oMath>
        <m:r>
          <m:t>j</m:t>
        </m:r>
      </m:oMath>
      <w:r>
        <w:t xml:space="preserve"> </w:t>
      </w:r>
      <w:r>
        <w:t xml:space="preserve">in the cohort with Brood Year</w:t>
      </w:r>
      <w:r>
        <w:t xml:space="preserve"> </w:t>
      </w:r>
      <m:oMath>
        <m:r>
          <m:t>i</m:t>
        </m:r>
      </m:oMath>
      <w:r>
        <w:t xml:space="preserve">.</w:t>
      </w:r>
    </w:p>
    <w:p>
      <w:pPr>
        <w:pStyle w:val="BodyText"/>
      </w:pPr>
      <w:r>
        <w:t xml:space="preserve">As noted above, the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bookmarkEnd w:id="71"/>
    <w:bookmarkEnd w:id="72"/>
    <w:bookmarkStart w:id="115" w:name="results"/>
    <w:p>
      <w:pPr>
        <w:pStyle w:val="Heading1"/>
      </w:pPr>
      <w:r>
        <w:rPr>
          <w:rStyle w:val="SectionNumber"/>
        </w:rPr>
        <w:t xml:space="preserve">4</w:t>
      </w:r>
      <w:r>
        <w:tab/>
      </w:r>
      <w:r>
        <w:t xml:space="preserve">Results</w:t>
      </w:r>
    </w:p>
    <w:bookmarkStart w:id="81"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pPr>
        <w:pStyle w:val="BodyText"/>
      </w:pPr>
      <w:r>
        <w:t xml:space="preserve">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w:t>
      </w:r>
      <w:r>
        <w:t xml:space="preserve"> </w:t>
      </w:r>
      <w:r>
        <w:t xml:space="preserve">6</w:t>
      </w:r>
      <w:r>
        <w:t xml:space="preserve">,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w:t>
      </w:r>
      <w:r>
        <w:t xml:space="preserve"> </w:t>
      </w:r>
      <w:r>
        <w:t xml:space="preserve">6</w:t>
      </w:r>
      <w:r>
        <w:t xml:space="preserve">, panel B).</w:t>
      </w:r>
    </w:p>
    <w:p>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w:t>
      </w:r>
      <w:r>
        <w:t xml:space="preserve"> </w:t>
      </w:r>
      <w:r>
        <w:t xml:space="preserve">6</w:t>
      </w:r>
      <w:r>
        <w:t xml:space="preserve">, panel E).</w:t>
      </w:r>
    </w:p>
    <w:p>
      <w:pPr>
        <w:pStyle w:val="BodyText"/>
      </w:pPr>
      <w:r>
        <w:t xml:space="preserve">After April, the chance of large precipitation events becomes minimal leading to a gradual, near-exponential decline of streamflow rates during May through July as the snowpack in the upper watershed melts off. While a very consistent feature in the annual hydrograph (e.g., Figure</w:t>
      </w:r>
      <w:r>
        <w:t xml:space="preserve"> </w:t>
      </w:r>
      <w:r>
        <w:t xml:space="preserve">5</w:t>
      </w:r>
      <w:r>
        <w:t xml:space="preserve">), the rate of flow reduction (i.e., the exponential decline) during the spring has increased over the period of record. The spring recession curve has grown steeper and accelerated the annual recession process: the rate of decline was just above 0.05%/day in 1940, and it was nearly 0.07%/day in 2020 (Figure</w:t>
      </w:r>
      <w:r>
        <w:t xml:space="preserve"> </w:t>
      </w:r>
      <w:r>
        <w:t xml:space="preserve">6</w:t>
      </w:r>
      <w:r>
        <w:t xml:space="preserve">, panel EF).</w:t>
      </w:r>
    </w:p>
    <w:p>
      <w:pPr>
        <w:pStyle w:val="BodyText"/>
      </w:pPr>
      <w:r>
        <w:t xml:space="preserve">The median dry season flow has dropped by approximately 50%, with many years since 1977 seeing flows below 30 cfs, a condition not seen prior to 1977 and largely related discontinuation of inefficient flood irrigation with surface water during the 1970s and the introduction of efficient sprinkler irrigation with groundwater allowing for an extended irrigation season</w:t>
      </w:r>
      <w:r>
        <w:t xml:space="preserve"> </w:t>
      </w:r>
      <w:r>
        <w:t xml:space="preserve">(Tolley, Foglia, and Harter 2019)</w:t>
      </w:r>
      <w:r>
        <w:t xml:space="preserve">. The onset of the dry season is earlier, and the duration of the dry season has increased, in some of the most recent years to over 200 days (Figure</w:t>
      </w:r>
      <w:r>
        <w:t xml:space="preserve"> </w:t>
      </w:r>
      <w:r>
        <w:t xml:space="preserve">6</w:t>
      </w:r>
      <w:r>
        <w:t xml:space="preserve">, panels G and H).</w:t>
      </w:r>
    </w:p>
    <w:p>
      <w:pPr>
        <w:pStyle w:val="BodyText"/>
      </w:pPr>
      <w:r>
        <w:t xml:space="preserve">The reconnection and disconnection dates also show significant trends over time.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w:t>
      </w:r>
      <w:r>
        <w:t xml:space="preserve"> </w:t>
      </w:r>
      <w:r>
        <w:t xml:space="preserve">7</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3." title="" id="74" name="Picture"/>
            <a:graphic>
              <a:graphicData uri="http://schemas.openxmlformats.org/drawingml/2006/picture">
                <pic:pic>
                  <pic:nvPicPr>
                    <pic:cNvPr descr="Graphics%20and%20Supplements/Figure%205.png" id="75" name="Picture"/>
                    <pic:cNvPicPr>
                      <a:picLocks noChangeArrowheads="1" noChangeAspect="1"/>
                    </pic:cNvPicPr>
                  </pic:nvPicPr>
                  <pic:blipFill>
                    <a:blip r:embed="rId73"/>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bookmarkStart w:id="76" w:name="fig:funcFlowTimeseries"/>
      <w:bookmarkEnd w:id="76"/>
      <w:r>
        <w:t xml:space="preserve">Figure 6: Total annual flow volume (panel A) and functional flow metrics (panels B-H; Patterson et al. 2020), derived from daily average flow measurements at the Fort Jones USGS flow gauge (ID 11519500) for water years 1942-2023.</w:t>
      </w:r>
    </w:p>
    <w:p>
      <w:pPr>
        <w:pStyle w:val="CaptionedFigure"/>
      </w:pPr>
      <w:r>
        <w:drawing>
          <wp:inline>
            <wp:extent cx="5334000" cy="4572000"/>
            <wp:effectExtent b="0" l="0" r="0" t="0"/>
            <wp:docPr descr="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78" name="Picture"/>
            <a:graphic>
              <a:graphicData uri="http://schemas.openxmlformats.org/drawingml/2006/picture">
                <pic:pic>
                  <pic:nvPicPr>
                    <pic:cNvPr descr="Graphics%20and%20Supplements/Figure%206.png" id="79" name="Picture"/>
                    <pic:cNvPicPr>
                      <a:picLocks noChangeArrowheads="1" noChangeAspect="1"/>
                    </pic:cNvPicPr>
                  </pic:nvPicPr>
                  <pic:blipFill>
                    <a:blip r:embed="rId7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bookmarkStart w:id="80" w:name="fig:reAndDisconTimeseries"/>
      <w:bookmarkEnd w:id="80"/>
      <w:r>
        <w:t xml:space="preserve">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81"/>
    <w:bookmarkStart w:id="86" w:name="hydrology-ecology-correlations"/>
    <w:p>
      <w:pPr>
        <w:pStyle w:val="Heading2"/>
      </w:pPr>
      <w:r>
        <w:rPr>
          <w:rStyle w:val="SectionNumber"/>
        </w:rPr>
        <w:t xml:space="preserve">4.2</w:t>
      </w:r>
      <w:r>
        <w:tab/>
      </w:r>
      <w:r>
        <w:t xml:space="preserve">Hydrology-ecology correlations</w:t>
      </w:r>
    </w:p>
    <w:p>
      <w:pPr>
        <w:pStyle w:val="FirstParagraph"/>
      </w:pPr>
      <w:r>
        <w:t xml:space="preserve">In the correlation analysis we assessed relatedness of ecological outcome metrics with all types of hydrologic metrics (i.e. reconnection/disconnection timing, functional flows, and scouring flow metrics) (</w:t>
      </w:r>
      <w:r>
        <w:rPr>
          <w:iCs/>
          <w:i/>
        </w:rPr>
        <w:t xml:space="preserve">Supplemental Figure 1</w:t>
      </w:r>
      <w:r>
        <w:t xml:space="preserve">; with selected metrics shown in Figure</w:t>
      </w:r>
      <w:r>
        <w:t xml:space="preserve"> </w:t>
      </w:r>
      <w:r>
        <w:t xml:space="preserve">8</w:t>
      </w:r>
      <w:r>
        <w:t xml:space="preserve">).</w:t>
      </w:r>
    </w:p>
    <w:p>
      <w:pPr>
        <w:pStyle w:val="BodyText"/>
      </w:pPr>
      <w:r>
        <w:t xml:space="preserve">The correlations between hydrologic and ecologic metrics were not particularly strong. The maximum absolute</w:t>
      </w:r>
      <w:r>
        <w:t xml:space="preserve"> </w:t>
      </w:r>
      <m:oMath>
        <m:r>
          <m:t>R</m:t>
        </m:r>
      </m:oMath>
      <w:r>
        <w:t xml:space="preserve"> </w:t>
      </w:r>
      <w:r>
        <w:t xml:space="preserve">value was 0.58, calculated between rearing year spring disconnection timing at 400 cfs (</w:t>
      </w:r>
      <w:r>
        <w:rPr>
          <w:rStyle w:val="VerbatimChar"/>
        </w:rPr>
        <w:t xml:space="preserve">RY_discon_400</w:t>
      </w:r>
      <w:r>
        <w:t xml:space="preserve">) and coho smolt abundance, and only nine absolute</w:t>
      </w:r>
      <w:r>
        <w:t xml:space="preserve"> </w:t>
      </w:r>
      <m:oMath>
        <m:r>
          <m:t>R</m:t>
        </m:r>
      </m:oMath>
      <w:r>
        <w:t xml:space="preserve"> </w:t>
      </w:r>
      <w:r>
        <w:t xml:space="preserve">values were greater than 0.5. This is consistent with the understanding that hydrology is only one factor influencing salmonid reproductive outcomes.</w:t>
      </w:r>
    </w:p>
    <w:p>
      <w:pPr>
        <w:pStyle w:val="BodyText"/>
      </w:pPr>
      <w:r>
        <w:t xml:space="preserve">The correlation coefficients do not show uniform effects of hydrology on both species: for example, the brood year reconnection timing produces strong negative correlations with coho spf and weak positive correlations with Chinook jpa (Figure</w:t>
      </w:r>
      <w:r>
        <w:t xml:space="preserve"> </w:t>
      </w:r>
      <w:r>
        <w:t xml:space="preserve">8</w:t>
      </w:r>
      <w:r>
        <w:t xml:space="preserve">). Furthermore, hydrology tends to have different effects on different life stages: for both species the sign of</w:t>
      </w:r>
      <w:r>
        <w:t xml:space="preserve"> </w:t>
      </w:r>
      <m:oMath>
        <m:r>
          <m:t>R</m:t>
        </m:r>
      </m:oMath>
      <w:r>
        <w:t xml:space="preserve"> </w:t>
      </w:r>
      <w:r>
        <w:t xml:space="preserve">with brood year reconnection timing is the opposite for spawning adults and outmigrating juveniles (though brood year reconnection correlations are much weaker for Chinook than for coho).</w:t>
      </w:r>
    </w:p>
    <w:p>
      <w:pPr>
        <w:pStyle w:val="CaptionedFigure"/>
      </w:pPr>
      <w:r>
        <w:drawing>
          <wp:inline>
            <wp:extent cx="5334000" cy="6096000"/>
            <wp:effectExtent b="0" l="0" r="0" t="0"/>
            <wp:docPr descr="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 title="" id="83" name="Picture"/>
            <a:graphic>
              <a:graphicData uri="http://schemas.openxmlformats.org/drawingml/2006/picture">
                <pic:pic>
                  <pic:nvPicPr>
                    <pic:cNvPr descr="Graphics%20and%20Supplements/Figure%207.png" id="84" name="Picture"/>
                    <pic:cNvPicPr>
                      <a:picLocks noChangeArrowheads="1" noChangeAspect="1"/>
                    </pic:cNvPicPr>
                  </pic:nvPicPr>
                  <pic:blipFill>
                    <a:blip r:embed="rId82"/>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bookmarkStart w:id="85" w:name="fig:corrMatrixFig"/>
      <w:bookmarkEnd w:id="85"/>
      <w:r>
        <w:t xml:space="preserve">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w:t>
      </w:r>
    </w:p>
    <w:bookmarkEnd w:id="86"/>
    <w:bookmarkStart w:id="100" w:name="lasso-regression"/>
    <w:p>
      <w:pPr>
        <w:pStyle w:val="Heading2"/>
      </w:pPr>
      <w:r>
        <w:rPr>
          <w:rStyle w:val="SectionNumber"/>
        </w:rPr>
        <w:t xml:space="preserve">4.3</w:t>
      </w:r>
      <w:r>
        <w:tab/>
      </w:r>
      <w:r>
        <w:t xml:space="preserve">Lasso regression</w:t>
      </w:r>
    </w:p>
    <w:p>
      <w:pPr>
        <w:pStyle w:val="FirstParagraph"/>
      </w:pPr>
      <w:r>
        <w:t xml:space="preserve">Lasso regression findings included results from the 50% test-train subsets and from the full dataset (Figures</w:t>
      </w:r>
      <w:r>
        <w:t xml:space="preserve"> </w:t>
      </w:r>
      <w:r>
        <w:t xml:space="preserve">9</w:t>
      </w:r>
      <w:r>
        <w:t xml:space="preserve"> </w:t>
      </w:r>
      <w:r>
        <w:t xml:space="preserve">and</w:t>
      </w:r>
      <w:r>
        <w:t xml:space="preserve"> </w:t>
      </w:r>
      <w:r>
        <w:t xml:space="preserve">10</w:t>
      </w:r>
      <w:r>
        <w:t xml:space="preserve">; Tables</w:t>
      </w:r>
      <w:r>
        <w:t xml:space="preserve"> </w:t>
      </w:r>
      <w:r>
        <w:t xml:space="preserve">3</w:t>
      </w:r>
      <w:r>
        <w:t xml:space="preserve"> </w:t>
      </w:r>
      <w:r>
        <w:t xml:space="preserve">and</w:t>
      </w:r>
      <w:r>
        <w:t xml:space="preserve"> </w:t>
      </w:r>
      <w:r>
        <w:t xml:space="preserve">4</w:t>
      </w:r>
      <w:r>
        <w:t xml:space="preserve">). During the test-train step, each of the 1,716 and 10,000 (coho and Chinook, respectively) subsets produced an optimal lambda value and associated regression model with a number of non-zero coefficients (degrees of freedom). The test errors informed the selection of the final lambda value, while the order of the non-zero coefficients in their optimal regression models allowed us to assess general predictor rank stability. During the full dataset analysis, we examined predictor coefficient values and percent of variability (deviation from the mean) in ecological data explained by hydrology across a range of lambda values.</w:t>
      </w:r>
    </w:p>
    <w:p>
      <w:pPr>
        <w:pStyle w:val="BodyText"/>
      </w:pPr>
      <w:r>
        <w:t xml:space="preserve">Finally, we used the final lambda value and the full dataset to generate a regression model to be used as a predictive tool (the Hydrologic Benefit function). As mentioned in Methods, we selected normalized values of reproductive success for both species as the ecological response variable: coho smolts per female spawner (coho spf) and Chinook juveniles per adult spawner (Chinook jpa). These metrics isolate the effects of the freshwater environment on a given salmon cohort and minimize the importance of ocean conditions or cohort strength.</w:t>
      </w:r>
    </w:p>
    <w:bookmarkStart w:id="95" w:name="X37098796cbf36b234f62901db63c93e812ce414"/>
    <w:p>
      <w:pPr>
        <w:pStyle w:val="Heading3"/>
      </w:pPr>
      <w:r>
        <w:rPr>
          <w:rStyle w:val="SectionNumber"/>
        </w:rPr>
        <w:t xml:space="preserve">4.3.1</w:t>
      </w:r>
      <w:r>
        <w:tab/>
      </w:r>
      <w:r>
        <w:t xml:space="preserve">Test error and selection of final lambda value</w:t>
      </w:r>
    </w:p>
    <w:p>
      <w:pPr>
        <w:pStyle w:val="FirstParagraph"/>
      </w:pPr>
      <w:r>
        <w:t xml:space="preserve">In the 50% test-train subset analysis, an increasing optimal lambda value produced a monotonically decreasing average test error across the range of optimal lambda values (Figures</w:t>
      </w:r>
      <w:r>
        <w:t xml:space="preserve"> </w:t>
      </w:r>
      <w:r>
        <w:t xml:space="preserve">9</w:t>
      </w:r>
      <w:r>
        <w:t xml:space="preserve"> </w:t>
      </w:r>
      <w:r>
        <w:t xml:space="preserve">and</w:t>
      </w:r>
      <w:r>
        <w:t xml:space="preserve"> </w:t>
      </w:r>
      <w:r>
        <w:t xml:space="preserve">10</w:t>
      </w:r>
      <w:r>
        <w:t xml:space="preserve">, top panels). This means that for both species, the lowest average test error was found to be at the highest optimal lambda value. And indeed, for both species, a non-negligible fraction of the test sets produced optimal regression models with 0 degrees of freedom (22 and 26 percent for coho and Chinook, respectively) (Figures</w:t>
      </w:r>
      <w:r>
        <w:t xml:space="preserve"> </w:t>
      </w:r>
      <w:r>
        <w:t xml:space="preserve">9</w:t>
      </w:r>
      <w:r>
        <w:t xml:space="preserve"> </w:t>
      </w:r>
      <w:r>
        <w:t xml:space="preserve">and</w:t>
      </w:r>
      <w:r>
        <w:t xml:space="preserve"> </w:t>
      </w:r>
      <w:r>
        <w:t xml:space="preserve">10</w:t>
      </w:r>
      <w:r>
        <w:t xml:space="preserve">, middle panels). This suggests that there are some observation subsets for which the mean is the best possible prediction and hydrologic metrics provide no additional useful information. However, the majority of the test sets produced optimal lambda values with 1 (42 and 29 percent for coho and Chinook, respectively) or more predictors (37 and 45 percent for coho and Chinook, respectively).</w:t>
      </w:r>
    </w:p>
    <w:p>
      <w:pPr>
        <w:pStyle w:val="BodyText"/>
      </w:pPr>
      <w:r>
        <w:t xml:space="preserve">If we applied a strict interpretation of the lasso methodology, we would select these upper bounds as the final lambda values (approximately 37 for coho and 110 for Chinook), producing regression models that contained all-zero coefficients and explained 0% of deviation. In our professional judgment, this would not match existing understanding that ecological outcomes depend in part on hydrologic conditions. It also does not reflect that, in the majority of the test sets, the optimal regression models contained at least one non-zero coefficient.</w:t>
      </w:r>
    </w:p>
    <w:p>
      <w:pPr>
        <w:pStyle w:val="BodyText"/>
      </w:pPr>
      <w:r>
        <w:t xml:space="preserve">We therefore assumed that this monotonic lambda-test error relationship may be an artefact of the small ecological sample size, and adopted a secondary process for selecting a final lambda value. In this secondary method we set a somewhat arbitrary relative test error threshold of 1.0. The lambda value that explained the maximum deviation without producing an average test error that exceeded 100% of the mean observation value was selected for both species: 10 for coho spf and 50 for Chinook jpa.</w:t>
      </w:r>
    </w:p>
    <w:p>
      <w:pPr>
        <w:pStyle w:val="CaptionedFigure"/>
      </w:pPr>
      <w:r>
        <w:drawing>
          <wp:inline>
            <wp:extent cx="5334000" cy="6096000"/>
            <wp:effectExtent b="0" l="0" r="0" t="0"/>
            <wp:docPr descr="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88" name="Picture"/>
            <a:graphic>
              <a:graphicData uri="http://schemas.openxmlformats.org/drawingml/2006/picture">
                <pic:pic>
                  <pic:nvPicPr>
                    <pic:cNvPr descr="Graphics%20and%20Supplements/Figure%208.png" id="89" name="Picture"/>
                    <pic:cNvPicPr>
                      <a:picLocks noChangeArrowheads="1" noChangeAspect="1"/>
                    </pic:cNvPicPr>
                  </pic:nvPicPr>
                  <pic:blipFill>
                    <a:blip r:embed="rId87"/>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bookmarkStart w:id="90" w:name="fig:lassoResultsCoho"/>
      <w:bookmarkEnd w:id="90"/>
      <w:r>
        <w:t xml:space="preserve">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p>
      <w:pPr>
        <w:pStyle w:val="CaptionedFigure"/>
      </w:pPr>
      <w:r>
        <w:drawing>
          <wp:inline>
            <wp:extent cx="5334000" cy="6096000"/>
            <wp:effectExtent b="0" l="0" r="0" t="0"/>
            <wp:docPr descr="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92" name="Picture"/>
            <a:graphic>
              <a:graphicData uri="http://schemas.openxmlformats.org/drawingml/2006/picture">
                <pic:pic>
                  <pic:nvPicPr>
                    <pic:cNvPr descr="Graphics%20and%20Supplements/Figure%209.png" id="93" name="Picture"/>
                    <pic:cNvPicPr>
                      <a:picLocks noChangeArrowheads="1" noChangeAspect="1"/>
                    </pic:cNvPicPr>
                  </pic:nvPicPr>
                  <pic:blipFill>
                    <a:blip r:embed="rId91"/>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bookmarkStart w:id="94" w:name="fig:lassoResultsChinook"/>
      <w:bookmarkEnd w:id="94"/>
      <w:r>
        <w:t xml:space="preserve">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bookmarkEnd w:id="95"/>
    <w:bookmarkStart w:id="98" w:name="predictor-rank-stability"/>
    <w:p>
      <w:pPr>
        <w:pStyle w:val="Heading3"/>
      </w:pPr>
      <w:r>
        <w:rPr>
          <w:rStyle w:val="SectionNumber"/>
        </w:rPr>
        <w:t xml:space="preserve">4.3.2</w:t>
      </w:r>
      <w:r>
        <w:tab/>
      </w:r>
      <w:r>
        <w:t xml:space="preserve">Predictor rank stability</w:t>
      </w:r>
    </w:p>
    <w:p>
      <w:pPr>
        <w:pStyle w:val="FirstParagraph"/>
      </w:pPr>
      <w:r>
        <w:t xml:space="preserve">In the test-train step, each of the regression models produced from a (random) training subset was associated with an order of appearance of predictors (similar to the results for the full dataset in Figures</w:t>
      </w:r>
      <w:r>
        <w:t xml:space="preserve"> </w:t>
      </w:r>
      <w:r>
        <w:t xml:space="preserve">9</w:t>
      </w:r>
      <w:r>
        <w:t xml:space="preserve"> </w:t>
      </w:r>
      <w:r>
        <w:t xml:space="preserve">and</w:t>
      </w:r>
      <w:r>
        <w:t xml:space="preserve"> </w:t>
      </w:r>
      <w:r>
        <w:t xml:space="preserve">10</w:t>
      </w:r>
      <w:r>
        <w:t xml:space="preserve"> </w:t>
      </w:r>
      <w:r>
        <w:t xml:space="preserve">[top panel], and listed in Tables</w:t>
      </w:r>
      <w:r>
        <w:t xml:space="preserve"> </w:t>
      </w:r>
      <w:r>
        <w:t xml:space="preserve">3</w:t>
      </w:r>
      <w:r>
        <w:t xml:space="preserve"> </w:t>
      </w:r>
      <w:r>
        <w:t xml:space="preserve">and</w:t>
      </w:r>
      <w:r>
        <w:t xml:space="preserve"> </w:t>
      </w:r>
      <w:r>
        <w:t xml:space="preserve">4</w:t>
      </w:r>
      <w:r>
        <w:t xml:space="preserve">).</w:t>
      </w:r>
    </w:p>
    <w:p>
      <w:pPr>
        <w:pStyle w:val="BodyText"/>
      </w:pPr>
      <w:r>
        <w:t xml:space="preserve">In the 1,716 models generated using random data subsets for coho, the metrics that appeared most often in the top 5 predictors were the brood year fall flow reconnection timing (750 and 150 cfs thresholds), the rearing year spring disconnection timing, the slope of the flow recession in the smolt (outmigrating) year, and the duration of the rearing year wet season (</w:t>
      </w:r>
      <w:r>
        <w:rPr>
          <w:rStyle w:val="VerbatimChar"/>
        </w:rPr>
        <w:t xml:space="preserve">BY_recon_750</w:t>
      </w:r>
      <w:r>
        <w:t xml:space="preserve">,</w:t>
      </w:r>
      <w:r>
        <w:t xml:space="preserve"> </w:t>
      </w:r>
      <w:r>
        <w:rPr>
          <w:rStyle w:val="VerbatimChar"/>
        </w:rPr>
        <w:t xml:space="preserve">RY_discon_200</w:t>
      </w:r>
      <w:r>
        <w:t xml:space="preserve">,</w:t>
      </w:r>
      <w:r>
        <w:t xml:space="preserve"> </w:t>
      </w:r>
      <w:r>
        <w:rPr>
          <w:rStyle w:val="VerbatimChar"/>
        </w:rPr>
        <w:t xml:space="preserve">SY_SP_ROC</w:t>
      </w:r>
      <w:r>
        <w:t xml:space="preserve">,</w:t>
      </w:r>
      <w:r>
        <w:t xml:space="preserve"> </w:t>
      </w:r>
      <w:r>
        <w:rPr>
          <w:rStyle w:val="VerbatimChar"/>
        </w:rPr>
        <w:t xml:space="preserve">RY_Wet_BFL_Dur</w:t>
      </w:r>
      <w:r>
        <w:t xml:space="preserve">, and</w:t>
      </w:r>
      <w:r>
        <w:t xml:space="preserve"> </w:t>
      </w:r>
      <w:r>
        <w:rPr>
          <w:rStyle w:val="VerbatimChar"/>
        </w:rPr>
        <w:t xml:space="preserve">BY_recon_150</w:t>
      </w:r>
      <w:r>
        <w:t xml:space="preserve">). Because of the collinearity of many of the reconnection metrics, no individual threshold should carry much significance; rather this suggests that the reproductive success of coho is relatively sensitive to the timing of fall flow increases and spring flow recessions. Of these five, only one (</w:t>
      </w:r>
      <w:r>
        <w:rPr>
          <w:rStyle w:val="VerbatimChar"/>
        </w:rPr>
        <w:t xml:space="preserve">RY_discon_200</w:t>
      </w:r>
      <w:r>
        <w:t xml:space="preserve">) appears in the top five predictors of the regression model produced using the full dataset (Figure</w:t>
      </w:r>
      <w:r>
        <w:t xml:space="preserve"> </w:t>
      </w:r>
      <w:r>
        <w:t xml:space="preserve">9</w:t>
      </w:r>
      <w:r>
        <w:t xml:space="preserve">; Table</w:t>
      </w:r>
      <w:r>
        <w:t xml:space="preserve"> </w:t>
      </w:r>
      <w:r>
        <w:t xml:space="preserve">3</w:t>
      </w:r>
      <w:r>
        <w:t xml:space="preserve">); however, the full-dataset model does include the same preponderance of flow timing metrics in the first five non-zero predictors.</w:t>
      </w:r>
    </w:p>
    <w:p>
      <w:pPr>
        <w:pStyle w:val="BodyText"/>
      </w:pPr>
      <w:r>
        <w:t xml:space="preserve">In the 10,000 data subsets analyzed for Chinook, the metrics that appeared most often in the top 5 predictors were the log-transformed total flow in the brood year fall, flow magnitude in the rearing year wet season and dry season, the slope of the spring recession in the rearing year, and rearing year dry season duration (</w:t>
      </w:r>
      <w:r>
        <w:rPr>
          <w:rStyle w:val="VerbatimChar"/>
        </w:rPr>
        <w:t xml:space="preserve">log_BY_tot_flow_sepdec</w:t>
      </w:r>
      <w:r>
        <w:t xml:space="preserve">,</w:t>
      </w:r>
      <w:r>
        <w:t xml:space="preserve"> </w:t>
      </w:r>
      <w:r>
        <w:rPr>
          <w:rStyle w:val="VerbatimChar"/>
        </w:rPr>
        <w:t xml:space="preserve">RY_Wet_BFL_Mag_50</w:t>
      </w:r>
      <w:r>
        <w:t xml:space="preserve">,</w:t>
      </w:r>
      <w:r>
        <w:t xml:space="preserve"> </w:t>
      </w:r>
      <w:r>
        <w:rPr>
          <w:rStyle w:val="VerbatimChar"/>
        </w:rPr>
        <w:t xml:space="preserve">RY_DS_Mag_90</w:t>
      </w:r>
      <w:r>
        <w:t xml:space="preserve">,</w:t>
      </w:r>
      <w:r>
        <w:t xml:space="preserve"> </w:t>
      </w:r>
      <w:r>
        <w:rPr>
          <w:rStyle w:val="VerbatimChar"/>
        </w:rPr>
        <w:t xml:space="preserve">RY_SP_ROC</w:t>
      </w:r>
      <w:r>
        <w:t xml:space="preserve">,</w:t>
      </w:r>
      <w:r>
        <w:t xml:space="preserve"> </w:t>
      </w:r>
      <w:r>
        <w:rPr>
          <w:rStyle w:val="VerbatimChar"/>
        </w:rPr>
        <w:t xml:space="preserve">RY_DS_Dur_WS</w:t>
      </w:r>
      <w:r>
        <w:t xml:space="preserve">). In contrast to the coho this suggests that the reproductive success of Chinook is less sensitive to the timing of fall flow increases and spring flow recessions, and potentially more sensitive to conditions during the dry and wet seasons. Of the five most-frequent predictors identified in the test-train exercise, three (</w:t>
      </w:r>
      <w:r>
        <w:rPr>
          <w:rStyle w:val="VerbatimChar"/>
        </w:rPr>
        <w:t xml:space="preserve">log_BY_tot_flow_sepdec</w:t>
      </w:r>
      <w:r>
        <w:t xml:space="preserve">,</w:t>
      </w:r>
      <w:r>
        <w:t xml:space="preserve"> </w:t>
      </w:r>
      <w:r>
        <w:rPr>
          <w:rStyle w:val="VerbatimChar"/>
        </w:rPr>
        <w:t xml:space="preserve">RY_Wet_BFL_Mag_50</w:t>
      </w:r>
      <w:r>
        <w:t xml:space="preserve">,</w:t>
      </w:r>
      <w:r>
        <w:t xml:space="preserve"> </w:t>
      </w:r>
      <w:r>
        <w:rPr>
          <w:rStyle w:val="VerbatimChar"/>
        </w:rPr>
        <w:t xml:space="preserve">RY_DS_Dur_WS</w:t>
      </w:r>
      <w:r>
        <w:t xml:space="preserve">) appear in the top five predictors of the regression model produced using the full dataset (Figure</w:t>
      </w:r>
      <w:r>
        <w:t xml:space="preserve"> </w:t>
      </w:r>
      <w:r>
        <w:t xml:space="preserve">10</w:t>
      </w:r>
      <w:r>
        <w:t xml:space="preserve">; Table</w:t>
      </w:r>
      <w:r>
        <w:t xml:space="preserve"> </w:t>
      </w:r>
      <w:r>
        <w:t xml:space="preserve">4</w:t>
      </w:r>
      <w:r>
        <w:t xml:space="preserve">). This may reflect the higher degree of predictor stability achieved with a dataset the size of the Chinook jpa observations (n=21) versus coho spf (n=13).</w:t>
      </w:r>
    </w:p>
    <w:p>
      <w:pPr>
        <w:pStyle w:val="TableCaption"/>
      </w:pPr>
      <w:bookmarkStart w:id="96" w:name="tab:predAppearTabCoho"/>
      <w:bookmarkEnd w:id="96"/>
      <w:r>
        <w:t xml:space="preserve">Table 3:</w:t>
      </w:r>
      <w:r>
        <w:t xml:space="preserve"> </w:t>
      </w:r>
      <w:r>
        <w:t xml:space="preserve">Predictors informing the lasso regression for the full dataset of coho spf observations, 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41"/>
        <w:gridCol w:w="2062"/>
        <w:gridCol w:w="2685"/>
      </w:tblGrid>
      <w:tr>
        <w:trPr>
          <w:trHeight w:val="615"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 of appearance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Non-zero lambda value</w:t>
            </w:r>
          </w:p>
        </w:tc>
      </w:tr>
      <w:tr>
        <w:trPr>
          <w:trHeight w:val="61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BY_recon_200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23.45</w:t>
            </w:r>
          </w:p>
        </w:tc>
      </w:tr>
      <w:tr>
        <w:trPr>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16.02</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14.54</w:t>
            </w:r>
          </w:p>
        </w:tc>
      </w:tr>
      <w:tr>
        <w:trPr>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11.56</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10.08</w:t>
            </w:r>
          </w:p>
        </w:tc>
      </w:tr>
      <w:tr>
        <w:trPr>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8.22</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7.85</w:t>
            </w:r>
          </w:p>
        </w:tc>
      </w:tr>
      <w:tr>
        <w:trPr>
          <w:trHeight w:val="61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6.36</w:t>
            </w:r>
          </w:p>
        </w:tc>
      </w:tr>
      <w:tr>
        <w:trPr>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4.50</w:t>
            </w:r>
          </w:p>
        </w:tc>
      </w:tr>
      <w:tr>
        <w:trPr>
          <w:trHeight w:val="61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4.13</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w:t>
            </w:r>
          </w:p>
        </w:tc>
      </w:tr>
      <w:tr>
        <w:trPr>
          <w:trHeight w:val="613"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w:t>
            </w:r>
          </w:p>
        </w:tc>
      </w:tr>
    </w:tbl>
    <w:p>
      <w:pPr>
        <w:pStyle w:val="TableCaption"/>
      </w:pPr>
      <w:bookmarkStart w:id="97" w:name="tab:predAppearTabChinook"/>
      <w:bookmarkEnd w:id="97"/>
      <w:r>
        <w:t xml:space="preserve">Table 4:</w:t>
      </w:r>
      <w:r>
        <w:t xml:space="preserve"> </w:t>
      </w:r>
      <w:r>
        <w:t xml:space="preserve">Predictors informing the lasso regression for the full dataset of Chinook jpa observations, 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41"/>
        <w:gridCol w:w="3150"/>
        <w:gridCol w:w="2685"/>
      </w:tblGrid>
      <w:tr>
        <w:trPr>
          <w:trHeight w:val="615"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 of appearance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Non-zero lambda value</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55.80</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46.35</w:t>
            </w:r>
          </w:p>
        </w:tc>
      </w:tr>
      <w:tr>
        <w:trPr>
          <w:trHeight w:val="61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43.98</w:t>
            </w:r>
          </w:p>
        </w:tc>
      </w:tr>
      <w:tr>
        <w:trPr>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RY_DS_Dur_WS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40.44</w:t>
            </w:r>
          </w:p>
        </w:tc>
      </w:tr>
      <w:tr>
        <w:trPr>
          <w:trHeight w:val="61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39.26</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29.81</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BY_min_flow_sepdec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27.45</w:t>
            </w:r>
          </w:p>
        </w:tc>
      </w:tr>
      <w:tr>
        <w:trPr>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23.91</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16.82</w:t>
            </w:r>
          </w:p>
        </w:tc>
      </w:tr>
      <w:tr>
        <w:trPr>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12.10</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10.91</w:t>
            </w:r>
          </w:p>
        </w:tc>
      </w:tr>
      <w:tr>
        <w:trPr>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9.73</w:t>
            </w:r>
          </w:p>
        </w:tc>
      </w:tr>
      <w:tr>
        <w:trPr>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6.19</w:t>
            </w:r>
          </w:p>
        </w:tc>
      </w:tr>
      <w:tr>
        <w:trPr>
          <w:trHeight w:val="615"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6.19</w:t>
            </w:r>
          </w:p>
        </w:tc>
      </w:tr>
      <w:tr>
        <w:trPr>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5.01</w:t>
            </w:r>
          </w:p>
        </w:tc>
      </w:tr>
      <w:tr>
        <w:trPr>
          <w:trHeight w:val="615"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5.01</w:t>
            </w:r>
          </w:p>
        </w:tc>
      </w:tr>
      <w:tr>
        <w:trPr>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w:t>
            </w:r>
          </w:p>
        </w:tc>
      </w:tr>
      <w:tr>
        <w:trPr>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w:t>
            </w:r>
          </w:p>
        </w:tc>
      </w:tr>
      <w:tr>
        <w:trPr>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trHeight w:val="61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r>
      <w:tr>
        <w:trPr>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r>
      <w:tr>
        <w:trPr>
          <w:trHeight w:val="615"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RY_min_flow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r>
    </w:tbl>
    <w:bookmarkEnd w:id="98"/>
    <w:bookmarkStart w:id="99" w:name="Xd2d573d5bebcc6b50a618d8914ff96ba11e2b4c"/>
    <w:p>
      <w:pPr>
        <w:pStyle w:val="Heading3"/>
      </w:pPr>
      <w:r>
        <w:rPr>
          <w:rStyle w:val="SectionNumber"/>
        </w:rPr>
        <w:t xml:space="preserve">4.3.3</w:t>
      </w:r>
      <w:r>
        <w:tab/>
      </w:r>
      <w:r>
        <w:t xml:space="preserve">Regression coefficients and fraction of deviation</w:t>
      </w:r>
    </w:p>
    <w:p>
      <w:pPr>
        <w:pStyle w:val="FirstParagraph"/>
      </w:pPr>
      <w:r>
        <w:t xml:space="preserve">As mentioned above, we used 100 equidistant values within the identified potential optimal range (identified in step 6) to generate a series of regression models to predict ecological outcomes for coho and Chinook. As is typical in lasso regression, coefficient values in these models approach 0 as the lambda value increases (Figures</w:t>
      </w:r>
      <w:r>
        <w:t xml:space="preserve"> </w:t>
      </w:r>
      <w:r>
        <w:t xml:space="preserve">9</w:t>
      </w:r>
      <w:r>
        <w:t xml:space="preserve"> </w:t>
      </w:r>
      <w:r>
        <w:t xml:space="preserve">and</w:t>
      </w:r>
      <w:r>
        <w:t xml:space="preserve"> </w:t>
      </w:r>
      <w:r>
        <w:t xml:space="preserve">10</w:t>
      </w:r>
      <w:r>
        <w:t xml:space="preserve">, lower panels). Notably, a common interpretation is that the order of disappearance (from left to right) or appearance (from right to left) reflects the order of predictor importance; i.e., the single non-zero coefficient remaining at the highest lambda value is the most important predictor in the dataset (</w:t>
      </w:r>
      <w:r>
        <w:rPr>
          <w:rStyle w:val="VerbatimChar"/>
        </w:rPr>
        <w:t xml:space="preserve">BY_recon_200</w:t>
      </w:r>
      <w:r>
        <w:t xml:space="preserve"> </w:t>
      </w:r>
      <w:r>
        <w:t xml:space="preserve">in the case of coho spf).</w:t>
      </w:r>
    </w:p>
    <w:p>
      <w:pPr>
        <w:pStyle w:val="BodyText"/>
      </w:pPr>
      <w:r>
        <w:t xml:space="preserve">The fraction of the deviation of the observed values from the mean is a function of the lambda value. For the full dataset, this fraction ranges from 0% of (with all coefficients set to 0) to 100% of deviation. The number of non-0 coefficients explaining 100% of variation is 12 and 24 for coho and Chinook respectively. This matches the general rule of thumb that with high-dimensional data, it is often possible to explain 100% of deviation by incorporating data from as many or more predictors than the number of observations</w:t>
      </w:r>
      <w:r>
        <w:t xml:space="preserve"> </w:t>
      </w:r>
      <w:r>
        <w:t xml:space="preserve">(James et al. 2013)</w:t>
      </w:r>
      <w:r>
        <w:t xml:space="preserve">.</w:t>
      </w:r>
    </w:p>
    <w:p>
      <w:pPr>
        <w:pStyle w:val="BodyText"/>
      </w:pPr>
      <w:r>
        <w:t xml:space="preserve">To explain 20% of Chinook deviation, the regression model needed 5 non-0 coefficients (or degrees of freedom), while for coho only 1 was necessary. Similarly, to explain 50% of variation required 8 and 5 degrees of freedom for Chinook and coho respectively (Figures</w:t>
      </w:r>
      <w:r>
        <w:t xml:space="preserve"> </w:t>
      </w:r>
      <w:r>
        <w:t xml:space="preserve">9</w:t>
      </w:r>
      <w:r>
        <w:t xml:space="preserve"> </w:t>
      </w:r>
      <w:r>
        <w:t xml:space="preserve">and</w:t>
      </w:r>
      <w:r>
        <w:t xml:space="preserve"> </w:t>
      </w:r>
      <w:r>
        <w:t xml:space="preserve">10</w:t>
      </w:r>
      <w:r>
        <w:t xml:space="preserve">, middle panel).</w:t>
      </w:r>
    </w:p>
    <w:bookmarkEnd w:id="99"/>
    <w:bookmarkEnd w:id="100"/>
    <w:bookmarkStart w:id="114" w:name="hydrologic-benefit-function"/>
    <w:p>
      <w:pPr>
        <w:pStyle w:val="Heading2"/>
      </w:pPr>
      <w:r>
        <w:rPr>
          <w:rStyle w:val="SectionNumber"/>
        </w:rPr>
        <w:t xml:space="preserve">4.4</w:t>
      </w:r>
      <w:r>
        <w:tab/>
      </w:r>
      <w:r>
        <w:t xml:space="preserve">Hydrologic Benefit Function</w:t>
      </w:r>
    </w:p>
    <w:p>
      <w:pPr>
        <w:pStyle w:val="FirstParagraph"/>
      </w:pPr>
      <w:r>
        <w:t xml:space="preserve">For each species, the predictive model of ecological observations was based on the selected final lambda values, and refered to as the Hydrologic Benefit (HB) function. The HB function for coho is composed of an intercept and five non-zero coefficients, while for Chinook it includes only one non-zero coefficient (Tables</w:t>
      </w:r>
      <w:r>
        <w:t xml:space="preserve"> </w:t>
      </w:r>
      <w:r>
        <w:t xml:space="preserve">5</w:t>
      </w:r>
      <w:r>
        <w:t xml:space="preserve"> </w:t>
      </w:r>
      <w:r>
        <w:t xml:space="preserve">and</w:t>
      </w:r>
      <w:r>
        <w:t xml:space="preserve"> </w:t>
      </w:r>
      <w:r>
        <w:t xml:space="preserve">6</w:t>
      </w:r>
      <w:r>
        <w:t xml:space="preserve">).</w:t>
      </w:r>
    </w:p>
    <w:p>
      <w:pPr>
        <w:pStyle w:val="TableCaption"/>
      </w:pPr>
      <w:bookmarkStart w:id="101" w:name="tab:coefTableCoho"/>
      <w:bookmarkEnd w:id="101"/>
      <w:r>
        <w:t xml:space="preserve">Table 5:</w:t>
      </w:r>
      <w:r>
        <w:t xml:space="preserve"> </w:t>
      </w:r>
      <w:r>
        <w:t xml:space="preserve">Values for the intercept and coefficient terms in the Hydrologic Benefit function for coho spf,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62"/>
        <w:gridCol w:w="1084"/>
        <w:gridCol w:w="3835"/>
      </w:tblGrid>
      <w:tr>
        <w:trPr>
          <w:trHeight w:val="61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612"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87.400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reconnection (100 cfs)</w:t>
            </w:r>
          </w:p>
        </w:tc>
      </w:tr>
      <w:tr>
        <w:trPr>
          <w:trHeight w:val="61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reconnection (200 cfs)</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Later disconnection (200 cfs)</w:t>
            </w:r>
          </w:p>
        </w:tc>
      </w:tr>
      <w:tr>
        <w:trPr>
          <w:trHeight w:val="61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reconnection (8 cfs)</w:t>
            </w:r>
          </w:p>
        </w:tc>
      </w:tr>
      <w:tr>
        <w:trPr>
          <w:trHeight w:val="617"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flow magnitude (dry season)</w:t>
            </w:r>
          </w:p>
        </w:tc>
      </w:tr>
    </w:tbl>
    <w:p>
      <w:pPr>
        <w:pStyle w:val="TableCaption"/>
      </w:pPr>
      <w:bookmarkStart w:id="102" w:name="tab:coefTableChinook"/>
      <w:bookmarkEnd w:id="102"/>
      <w:r>
        <w:t xml:space="preserve">Table 6:</w:t>
      </w:r>
      <w:r>
        <w:t xml:space="preserve"> </w:t>
      </w:r>
      <w:r>
        <w:t xml:space="preserve">Values for the intercept and coefficient terms in the Hydrologic Benefit function for Chinook jpa,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32"/>
        <w:gridCol w:w="973"/>
        <w:gridCol w:w="5278"/>
      </w:tblGrid>
      <w:tr>
        <w:trPr>
          <w:trHeight w:val="61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612"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617"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brooding period total flow (log-transformed)</w:t>
            </w:r>
          </w:p>
        </w:tc>
      </w:tr>
    </w:tbl>
    <w:bookmarkStart w:id="103" w:name="X63b9add7216461afc23f6690150dd5be34f90af"/>
    <w:p>
      <w:pPr>
        <w:pStyle w:val="Heading3"/>
      </w:pPr>
      <w:r>
        <w:rPr>
          <w:rStyle w:val="SectionNumber"/>
        </w:rPr>
        <w:t xml:space="preserve">4.4.1</w:t>
      </w:r>
      <w:r>
        <w:tab/>
      </w:r>
      <w:r>
        <w:t xml:space="preserve">Predictors and coefficients in the selected models</w:t>
      </w:r>
    </w:p>
    <w:p>
      <w:pPr>
        <w:pStyle w:val="FirstParagraph"/>
      </w:pPr>
      <w:r>
        <w:t xml:space="preserve">The predictive model of coho spf included one positive coefficient, for predictor</w:t>
      </w:r>
      <w:r>
        <w:t xml:space="preserve"> </w:t>
      </w:r>
      <w:r>
        <w:rPr>
          <w:rStyle w:val="VerbatimChar"/>
        </w:rPr>
        <w:t xml:space="preserve">RY_discon_200</w:t>
      </w:r>
      <w:r>
        <w:t xml:space="preserve">. This indicates that delayed river disonnection in the spring is related to higher relative coho reproduction. All other coeficients are negative, including three metrics related to reconnection timing, indicating that earlier reconnections at the end of the dry season are related to higher relative coho reproduction. The range of flow values indicate possibly differential sensitivity to different flow phenomena: 8 cfs only occurs at the end of a very dry water year, while 100 cfs typically means that coho salmon have access to some of their preferred tributary habitat</w:t>
      </w:r>
      <w:r>
        <w:t xml:space="preserve"> </w:t>
      </w:r>
      <w:r>
        <w:t xml:space="preserve">(Siskiyou County Flood Control and Water Conservation District 2021)</w:t>
      </w:r>
      <w:r>
        <w:t xml:space="preserve">. One coefficient is somewhat counterintutive, suggesting that a higher rearing year dry season flow magnitude is associated with reduced coho reproduction; in our experience we would expect the opposite to be true.</w:t>
      </w:r>
    </w:p>
    <w:p>
      <w:pPr>
        <w:pStyle w:val="BodyText"/>
      </w:pPr>
      <w:r>
        <w:t xml:space="preserve">The predictive model of Chinook jpa contains one non-zero coefficient, which is associated with predictor</w:t>
      </w:r>
      <w:r>
        <w:t xml:space="preserve"> </w:t>
      </w:r>
      <w:r>
        <w:rPr>
          <w:rStyle w:val="VerbatimChar"/>
        </w:rPr>
        <w:t xml:space="preserve">log_by_tot_flow_sepdec</w:t>
      </w:r>
      <w:r>
        <w:t xml:space="preserve">. This suggests that the order-of-magnitude of brood year total flow is negatively related to relative reproduction of Chinook. It’s possible that this relationship is driven by high-flow events in wet years that could produce scouring flows, negatively impacting Chinook eggs laid in the mainstem of the Scott River.</w:t>
      </w:r>
    </w:p>
    <w:bookmarkEnd w:id="103"/>
    <w:bookmarkStart w:id="108" w:name="Xbb3dd5df872c117cae335f43a403d38a2bd7af6"/>
    <w:p>
      <w:pPr>
        <w:pStyle w:val="Heading3"/>
      </w:pPr>
      <w:r>
        <w:rPr>
          <w:rStyle w:val="SectionNumber"/>
        </w:rPr>
        <w:t xml:space="preserve">4.4.2</w:t>
      </w:r>
      <w:r>
        <w:tab/>
      </w:r>
      <w:r>
        <w:t xml:space="preserve">Predicted Hydrologic Benefit value over time</w:t>
      </w:r>
    </w:p>
    <w:p>
      <w:pPr>
        <w:pStyle w:val="FirstParagraph"/>
      </w:pPr>
      <w:r>
        <w:t xml:space="preserve">The visual match between predicted and observed values for coho spf is rather poor: predicted values do not range either as low or as high as observed values (Figure</w:t>
      </w:r>
      <w:r>
        <w:t xml:space="preserve"> </w:t>
      </w:r>
      <w:r>
        <w:t xml:space="preserve">11</w:t>
      </w:r>
      <w:r>
        <w:t xml:space="preserve">, top panel). This matches the expectation that the selected regression model will explain only ~50% of the deviation from the mean (Figure</w:t>
      </w:r>
      <w:r>
        <w:t xml:space="preserve"> </w:t>
      </w:r>
      <w:r>
        <w:t xml:space="preserve">9</w:t>
      </w:r>
      <w:r>
        <w:t xml:space="preserve">, middle panel). The visual match for Chinook, however, is significantly worse (Figure</w:t>
      </w:r>
      <w:r>
        <w:t xml:space="preserve"> </w:t>
      </w:r>
      <w:r>
        <w:t xml:space="preserve">11</w:t>
      </w:r>
      <w:r>
        <w:t xml:space="preserve">, lower panel), corresponding to a regression model that explains &lt;10% of deviation (Figure</w:t>
      </w:r>
      <w:r>
        <w:t xml:space="preserve"> </w:t>
      </w:r>
      <w:r>
        <w:t xml:space="preserve">10</w:t>
      </w:r>
      <w:r>
        <w:t xml:space="preserve">, middle panel).</w:t>
      </w:r>
    </w:p>
    <w:p>
      <w:pPr>
        <w:pStyle w:val="BodyText"/>
      </w:pPr>
      <w:r>
        <w:t xml:space="preserve">Matching the historical flow trends discussed above (and tabulated in</w:t>
      </w:r>
      <w:r>
        <w:t xml:space="preserve"> </w:t>
      </w:r>
      <w:r>
        <w:rPr>
          <w:iCs/>
          <w:i/>
        </w:rPr>
        <w:t xml:space="preserve">Supplemental Table 2</w:t>
      </w:r>
      <w:r>
        <w:t xml:space="preserve">), the predicted value of coho spf-equivalent produced by a given water year has trended downward over time (Figure</w:t>
      </w:r>
      <w:r>
        <w:t xml:space="preserve"> </w:t>
      </w:r>
      <w:r>
        <w:t xml:space="preserve">11</w:t>
      </w:r>
      <w:r>
        <w:t xml:space="preserve">, top panel). The lowest predicted value, 25.9 coho spf in brood year 2013, corresponds to the severe drought year of 2014. Conditions were so extreme in water year 2014 that emergency measures were taken by local agencies and conservation organizations to facilitate transport of salmon around disconnected river reaches</w:t>
      </w:r>
      <w:r>
        <w:t xml:space="preserve"> </w:t>
      </w:r>
      <w:r>
        <w:t xml:space="preserve">(California Department of Fish and Wildlife (CDFW) 2015a)</w:t>
      </w:r>
      <w:r>
        <w:t xml:space="preserve">.</w:t>
      </w:r>
    </w:p>
    <w:p>
      <w:pPr>
        <w:pStyle w:val="BodyText"/>
      </w:pPr>
      <w:r>
        <w:t xml:space="preserve">Conversely, for Chinook, because such an inflexible model was selected, no trend is visible in predicted values (Figure</w:t>
      </w:r>
      <w:r>
        <w:t xml:space="preserve"> </w:t>
      </w:r>
      <w:r>
        <w:t xml:space="preserve">11</w:t>
      </w:r>
      <w:r>
        <w:t xml:space="preserve">, lower panel).</w:t>
      </w:r>
    </w:p>
    <w:p>
      <w:pPr>
        <w:pStyle w:val="CaptionedFigure"/>
      </w:pPr>
      <w:r>
        <w:drawing>
          <wp:inline>
            <wp:extent cx="5334000" cy="6096000"/>
            <wp:effectExtent b="0" l="0" r="0" t="0"/>
            <wp:docPr descr="Figure 11: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 title="" id="105" name="Picture"/>
            <a:graphic>
              <a:graphicData uri="http://schemas.openxmlformats.org/drawingml/2006/picture">
                <pic:pic>
                  <pic:nvPicPr>
                    <pic:cNvPr descr="Graphics%20and%20Supplements/Figure%2010.png" id="106" name="Picture"/>
                    <pic:cNvPicPr>
                      <a:picLocks noChangeArrowheads="1" noChangeAspect="1"/>
                    </pic:cNvPicPr>
                  </pic:nvPicPr>
                  <pic:blipFill>
                    <a:blip r:embed="rId104"/>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bookmarkStart w:id="107" w:name="fig:hbfOverTime"/>
      <w:bookmarkEnd w:id="107"/>
      <w:r>
        <w:t xml:space="preserve">Figure 11: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w:t>
      </w:r>
      <w:r>
        <w:t xml:space="preserve"> </w:t>
      </w:r>
    </w:p>
    <w:bookmarkEnd w:id="108"/>
    <w:bookmarkStart w:id="113" w:name="X56a3243927ad12ba97c22e4510875d65fa121f7"/>
    <w:p>
      <w:pPr>
        <w:pStyle w:val="Heading3"/>
      </w:pPr>
      <w:r>
        <w:rPr>
          <w:rStyle w:val="SectionNumber"/>
        </w:rPr>
        <w:t xml:space="preserve">4.4.3</w:t>
      </w:r>
      <w:r>
        <w:tab/>
      </w:r>
      <w:r>
        <w:t xml:space="preserve">Hydrologic Benefit function component contributions</w:t>
      </w:r>
    </w:p>
    <w:p>
      <w:pPr>
        <w:pStyle w:val="FirstParagraph"/>
      </w:pPr>
      <w:r>
        <w:t xml:space="preserve">The predicted HB values can be broken out into the value contributed by each predictor (Figure</w:t>
      </w:r>
      <w:r>
        <w:t xml:space="preserve"> </w:t>
      </w:r>
      <w:r>
        <w:t xml:space="preserve">12</w:t>
      </w:r>
      <w:r>
        <w:t xml:space="preserve">; the intercept term is excluded for ease of visualization). For coho spf, the largest contributions are from brood year fall reconnection timing (</w:t>
      </w:r>
      <w:r>
        <w:rPr>
          <w:rStyle w:val="VerbatimChar"/>
        </w:rPr>
        <w:t xml:space="preserve">BY_recon_200</w:t>
      </w:r>
      <w:r>
        <w:t xml:space="preserve"> </w:t>
      </w:r>
      <w:r>
        <w:t xml:space="preserve">and</w:t>
      </w:r>
      <w:r>
        <w:t xml:space="preserve"> </w:t>
      </w:r>
      <w:r>
        <w:rPr>
          <w:rStyle w:val="VerbatimChar"/>
        </w:rPr>
        <w:t xml:space="preserve">BY_recon_100</w:t>
      </w:r>
      <w:r>
        <w:t xml:space="preserve">); a negative value indicates that earlier reconnection timing is associated with higher relative smolt production. The next largest contribution is from spring disconnection in the rearing year: higher smolt production is predicted from later disconnection timing. Two other predictors,</w:t>
      </w:r>
      <w:r>
        <w:t xml:space="preserve"> </w:t>
      </w:r>
      <w:r>
        <w:rPr>
          <w:rStyle w:val="VerbatimChar"/>
        </w:rPr>
        <w:t xml:space="preserve">RY_recon_8</w:t>
      </w:r>
      <w:r>
        <w:t xml:space="preserve"> </w:t>
      </w:r>
      <w:r>
        <w:t xml:space="preserve">and</w:t>
      </w:r>
      <w:r>
        <w:t xml:space="preserve"> </w:t>
      </w:r>
      <w:r>
        <w:rPr>
          <w:rStyle w:val="VerbatimChar"/>
        </w:rPr>
        <w:t xml:space="preserve">RY_DS_Mag_90</w:t>
      </w:r>
      <w:r>
        <w:t xml:space="preserve"> </w:t>
      </w:r>
      <w:r>
        <w:t xml:space="preserve">contribute only minor amounts, although occasionally, in years with very low dry season flow and delayed fall reconnections, predictor RY_recon_8 contributes a meaningful negative value (Figure</w:t>
      </w:r>
      <w:r>
        <w:t xml:space="preserve"> </w:t>
      </w:r>
      <w:r>
        <w:t xml:space="preserve">12</w:t>
      </w:r>
      <w:r>
        <w:t xml:space="preserve">, top panel). For Chinook, all variation is introduced by the predictor</w:t>
      </w:r>
      <w:r>
        <w:t xml:space="preserve"> </w:t>
      </w:r>
      <w:r>
        <w:rPr>
          <w:rStyle w:val="VerbatimChar"/>
        </w:rPr>
        <w:t xml:space="preserve">log_BY_tot_flow_sepdec</w:t>
      </w:r>
      <w:r>
        <w:t xml:space="preserve">, since the model includes only one non-zero coefficient.</w:t>
      </w:r>
    </w:p>
    <w:p>
      <w:pPr>
        <w:pStyle w:val="CaptionedFigure"/>
      </w:pPr>
      <w:r>
        <w:drawing>
          <wp:inline>
            <wp:extent cx="5334000" cy="6096000"/>
            <wp:effectExtent b="0" l="0" r="0" t="0"/>
            <wp:docPr descr="Figure 12: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 title="" id="110" name="Picture"/>
            <a:graphic>
              <a:graphicData uri="http://schemas.openxmlformats.org/drawingml/2006/picture">
                <pic:pic>
                  <pic:nvPicPr>
                    <pic:cNvPr descr="Graphics%20and%20Supplements/Figure%2011.png" id="111" name="Picture"/>
                    <pic:cNvPicPr>
                      <a:picLocks noChangeArrowheads="1" noChangeAspect="1"/>
                    </pic:cNvPicPr>
                  </pic:nvPicPr>
                  <pic:blipFill>
                    <a:blip r:embed="rId109"/>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bookmarkStart w:id="112" w:name="fig:hbfBarchart"/>
      <w:bookmarkEnd w:id="112"/>
      <w:r>
        <w:t xml:space="preserve">Figure 12: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w:t>
      </w:r>
    </w:p>
    <w:bookmarkEnd w:id="113"/>
    <w:bookmarkEnd w:id="114"/>
    <w:bookmarkEnd w:id="115"/>
    <w:bookmarkStart w:id="122" w:name="discussion"/>
    <w:p>
      <w:pPr>
        <w:pStyle w:val="Heading1"/>
      </w:pPr>
      <w:r>
        <w:rPr>
          <w:rStyle w:val="SectionNumber"/>
        </w:rPr>
        <w:t xml:space="preserve">5</w:t>
      </w:r>
      <w:r>
        <w:tab/>
      </w:r>
      <w:r>
        <w:t xml:space="preserve">Discussion</w:t>
      </w:r>
    </w:p>
    <w:p>
      <w:pPr>
        <w:pStyle w:val="FirstParagraph"/>
      </w:pPr>
      <w:r>
        <w:t xml:space="preserve">The findings described above suggest that, in this case study, hydrology can explain about half of the variation in a key ecological outcome for coho salmon, though as a predictive tool it has some limitations.</w:t>
      </w:r>
    </w:p>
    <w:bookmarkStart w:id="116" w:name="X7927e02b030070da3d3f36a45d1c21d7f6b1239"/>
    <w:p>
      <w:pPr>
        <w:pStyle w:val="Heading2"/>
      </w:pPr>
      <w:r>
        <w:rPr>
          <w:rStyle w:val="SectionNumber"/>
        </w:rPr>
        <w:t xml:space="preserve">5.1</w:t>
      </w:r>
      <w:r>
        <w:tab/>
      </w:r>
      <w:r>
        <w:t xml:space="preserve">Previous work and limitations of a hydrologic predictor approach</w:t>
      </w:r>
    </w:p>
    <w:p>
      <w:pPr>
        <w:pStyle w:val="FirstParagraph"/>
      </w:pPr>
      <w:r>
        <w:t xml:space="preserve">In many previous studies of flow-ecology relationships, all the predictors used to model the ecological response are flow-derived metrics, because flow data is often continuous and more abundant than other data types. Such models rely on the assumption that spatial habitat extent (with flow as its proxy)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(J. 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(Ryan A. 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in some seasons is the major limiting factor on the local coho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116"/>
    <w:bookmarkStart w:id="117" w:name="X1e5150e60c8c7a8a48f98236bacb875804e9653"/>
    <w:p>
      <w:pPr>
        <w:pStyle w:val="Heading2"/>
      </w:pPr>
      <w:r>
        <w:rPr>
          <w:rStyle w:val="SectionNumber"/>
        </w:rPr>
        <w:t xml:space="preserve">5.2</w:t>
      </w:r>
      <w:r>
        <w:tab/>
      </w:r>
      <w:r>
        <w:t xml:space="preserve">Correlations suggest distinct flow-ecology relationships for different species and life stages</w:t>
      </w:r>
    </w:p>
    <w:p>
      <w:pPr>
        <w:pStyle w:val="FirstParagraph"/>
      </w:pPr>
      <w:r>
        <w:t xml:space="preserve">The correlation analysis findings were dissimilar for coho and Chinook, suggesting that the two species are subject to distinct flow-ecology relationships. The strength of these relationships, estimated as</w:t>
      </w:r>
      <w:r>
        <w:t xml:space="preserve"> </w:t>
      </w:r>
      <m:oMath>
        <m:r>
          <m:t>R</m:t>
        </m:r>
      </m:oMath>
      <w:r>
        <w:t xml:space="preserve"> </w:t>
      </w:r>
      <w:r>
        <w:t xml:space="preserve">values, support several findings that match existing understanding of coho and Chinook ecohydrology. For example, experiencing a longer wet season as newly hatched fry (</w:t>
      </w:r>
      <w:r>
        <w:rPr>
          <w:rStyle w:val="VerbatimChar"/>
        </w:rPr>
        <w:t xml:space="preserve">RY_Wet_BFL_Dur</w:t>
      </w:r>
      <w:r>
        <w:t xml:space="preserve">, or rearing year wet season baseflow duration) is associated with higher juvenile abundance for both species (Figure</w:t>
      </w:r>
      <w:r>
        <w:t xml:space="preserve"> </w:t>
      </w:r>
      <w:r>
        <w:t xml:space="preserve">8</w:t>
      </w:r>
      <w:r>
        <w:t xml:space="preserve">). Relatedly, so is a later rearing year dry season onset, and a later spring disconnection (in both the rearing and smolt years) is associated with more outmigrating coho smolt. Additionally, a higher number of RY scouring days does seem to be related to lower Chinook outmigrants, whereas it has no relationship with coho outmigrants.</w:t>
      </w:r>
    </w:p>
    <w:p>
      <w:pPr>
        <w:pStyle w:val="BodyText"/>
      </w:pPr>
      <w:r>
        <w:t xml:space="preserve">The correlations also suggest some findings that do not match current understanding. One strong signal is that earlier fall reconnection timing (earlier fall spawning flows) is associated with higher coho spf. In general, earlier fall flows in the brood year are thought to be beneficial to coho salmon, but here it appears that this is only true for the absolute number of outmigrating juveniles. The correlations suggest that a higher number of</w:t>
      </w:r>
      <w:r>
        <w:t xml:space="preserve"> </w:t>
      </w:r>
      <w:r>
        <w:rPr>
          <w:iCs/>
          <w:i/>
        </w:rPr>
        <w:t xml:space="preserve">spawners</w:t>
      </w:r>
      <w:r>
        <w:t xml:space="preserve"> </w:t>
      </w:r>
      <w:r>
        <w:t xml:space="preserve">is in fact associated with</w:t>
      </w:r>
      <w:r>
        <w:t xml:space="preserve"> </w:t>
      </w:r>
      <w:r>
        <w:rPr>
          <w:iCs/>
          <w:i/>
        </w:rPr>
        <w:t xml:space="preserve">later</w:t>
      </w:r>
      <w:r>
        <w:t xml:space="preserve"> </w:t>
      </w:r>
      <w:r>
        <w:t xml:space="preserve">fall flows (Figure</w:t>
      </w:r>
      <w:r>
        <w:t xml:space="preserve"> </w:t>
      </w:r>
      <w:r>
        <w:t xml:space="preserve">8</w:t>
      </w:r>
      <w:r>
        <w:t xml:space="preserve">). Relatedly and consistent with these results, the total flow volume in the four months of the brood year period is also negatively correlated with the number of coho spawners. These two correlations suggest that the apparent benefits of later fall flows on the number of spawners is overwhelmed by a relatively lower success rate of these later spawners in generating outmigrating juveniles.</w:t>
      </w:r>
    </w:p>
    <w:bookmarkEnd w:id="117"/>
    <w:bookmarkStart w:id="118" w:name="Xd53a54d38a7331c2e03bc8ce0087285fcc7489a"/>
    <w:p>
      <w:pPr>
        <w:pStyle w:val="Heading2"/>
      </w:pPr>
      <w:r>
        <w:rPr>
          <w:rStyle w:val="SectionNumber"/>
        </w:rPr>
        <w:t xml:space="preserve">5.3</w:t>
      </w:r>
      <w:r>
        <w:tab/>
      </w:r>
      <w:r>
        <w:t xml:space="preserve">Differences in model flexibility possibly driven by biology</w:t>
      </w:r>
    </w:p>
    <w:p>
      <w:pPr>
        <w:pStyle w:val="FirstParagraph"/>
      </w:pPr>
      <w:r>
        <w:t xml:space="preserve">At a given relative test error, the Chinook model explains a smaller fraction of deviation than the coho model (Figures</w:t>
      </w:r>
      <w:r>
        <w:t xml:space="preserve"> </w:t>
      </w:r>
      <w:r>
        <w:t xml:space="preserve">9</w:t>
      </w:r>
      <w:r>
        <w:t xml:space="preserve"> </w:t>
      </w:r>
      <w:r>
        <w:t xml:space="preserve">and</w:t>
      </w:r>
      <w:r>
        <w:t xml:space="preserve"> </w:t>
      </w:r>
      <w:r>
        <w:t xml:space="preserve">10</w:t>
      </w:r>
      <w:r>
        <w:t xml:space="preserve">). This could be interpreted as a meaningful finding; i.e., it may be due to Chinook being less sensitive than coho to flow conditions. Or, it could be a statistical artifact: the Chinook model, with a larger sample size, may produce higher relative test errors in general. Given the size of the difference between the species (i.e., 5 non-zero coefficients for coho at 1.0 relative test error versus one for Chinook), it is possible both effects are present.</w:t>
      </w:r>
    </w:p>
    <w:p>
      <w:pPr>
        <w:pStyle w:val="BodyText"/>
      </w:pPr>
      <w:r>
        <w:t xml:space="preserve">If we adopt the interpretation that hydrologic metrics have a greater capacity to predict relative reproduction in coho salmon than in Chinook, this difference can be attributed to any number of distinctions in the life history and reproductive strategies of the two species (see Section 2.2.4). Some possibilities include:</w:t>
      </w:r>
    </w:p>
    <w:p>
      <w:pPr>
        <w:numPr>
          <w:ilvl w:val="0"/>
          <w:numId w:val="1006"/>
        </w:numPr>
        <w:pStyle w:val="Compact"/>
      </w:pPr>
      <w:r>
        <w:t xml:space="preserve">Chinook prefer larger spawning gravels found on the mainstem of the Scott River, while coho salmon prefer smaller tributary streams, meaning that coho salmon must travel farther through the stream system to access their preferred spawning habitat. Consequently, coho salmon may be more sensitive to the amount and timing of river connectivity during their spawning window.</w:t>
      </w:r>
    </w:p>
    <w:p>
      <w:pPr>
        <w:numPr>
          <w:ilvl w:val="0"/>
          <w:numId w:val="1006"/>
        </w:numPr>
        <w:pStyle w:val="Compact"/>
      </w:pPr>
      <w:r>
        <w:t xml:space="preserve">Chinook populations tend to be larger than coho, which could mean they are more limited by internal population dynamics, while coho reproduction limits may be more determined by flow conditions.</w:t>
      </w:r>
    </w:p>
    <w:p>
      <w:pPr>
        <w:numPr>
          <w:ilvl w:val="0"/>
          <w:numId w:val="1006"/>
        </w:numPr>
        <w:pStyle w:val="Compact"/>
      </w:pPr>
      <w:r>
        <w:t xml:space="preserve">Chinook typically do not oversummer in the freshwater system, potentially making them less vulnerable than coho to dry season conditions.</w:t>
      </w:r>
    </w:p>
    <w:p>
      <w:pPr>
        <w:numPr>
          <w:ilvl w:val="0"/>
          <w:numId w:val="1006"/>
        </w:numPr>
        <w:pStyle w:val="Compact"/>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118"/>
    <w:bookmarkStart w:id="119" w:name="X6b9b119df2b070daf4d2db4af6fa3aa7d30e1d5"/>
    <w:p>
      <w:pPr>
        <w:pStyle w:val="Heading2"/>
      </w:pPr>
      <w:r>
        <w:rPr>
          <w:rStyle w:val="SectionNumber"/>
        </w:rPr>
        <w:t xml:space="preserve">5.4</w:t>
      </w:r>
      <w:r>
        <w:tab/>
      </w:r>
      <w:r>
        <w:t xml:space="preserve">Hydrologic Benefit (HB) function could be used to predict high or low years for coho spf</w:t>
      </w:r>
    </w:p>
    <w:p>
      <w:pPr>
        <w:pStyle w:val="FirstParagraph"/>
      </w:pPr>
      <w:r>
        <w:t xml:space="preserve">The threshold of a 1.0 average relative test error generated a much more flexible model for coho spf than for Chinook jpa (Tables</w:t>
      </w:r>
      <w:r>
        <w:t xml:space="preserve"> </w:t>
      </w:r>
      <w:r>
        <w:t xml:space="preserve">5</w:t>
      </w:r>
      <w:r>
        <w:t xml:space="preserve"> </w:t>
      </w:r>
      <w:r>
        <w:t xml:space="preserve">and</w:t>
      </w:r>
      <w:r>
        <w:t xml:space="preserve"> </w:t>
      </w:r>
      <w:r>
        <w:t xml:space="preserve">6</w:t>
      </w:r>
      <w:r>
        <w:t xml:space="preserve">). The Chinook model has virtually no utility for predicting salmon outcomes (Figure</w:t>
      </w:r>
      <w:r>
        <w:t xml:space="preserve"> </w:t>
      </w:r>
      <w:r>
        <w:t xml:space="preserve">11</w:t>
      </w:r>
      <w:r>
        <w:t xml:space="preserve">); therefore, only the coho model will be evaluated as a predictive tool.</w:t>
      </w:r>
    </w:p>
    <w:p>
      <w:pPr>
        <w:pStyle w:val="BodyText"/>
      </w:pPr>
      <w:r>
        <w:t xml:space="preserve">The predictive exercise for coho spf suggests that using flow alone to predict fish outcomes involves non-negligible uncertainties: HB function error terms (predicted minus observed values) are substantial (Figure</w:t>
      </w:r>
      <w:r>
        <w:t xml:space="preserve"> </w:t>
      </w:r>
      <w:r>
        <w:t xml:space="preserve">11</w:t>
      </w:r>
      <w:r>
        <w:t xml:space="preserve">). The coho spf HB function can somewhat accurately indicate a high or a low year (if we define the boundary between the two domains as 55 coho spf), though the range of predictions does not match the variability in the observations. This is partly a consequence of lasso regression imposing a penalty on model flexibility, and represents a conservative estimate of the degree of variation in ecological outcomes that can be explained with flow metrics.</w:t>
      </w:r>
    </w:p>
    <w:bookmarkEnd w:id="119"/>
    <w:bookmarkStart w:id="120" w:name="X3b700d4bb5c1382b7499258009ecac007d72a49"/>
    <w:p>
      <w:pPr>
        <w:pStyle w:val="Heading2"/>
      </w:pPr>
      <w:r>
        <w:rPr>
          <w:rStyle w:val="SectionNumber"/>
        </w:rPr>
        <w:t xml:space="preserve">5.5</w:t>
      </w:r>
      <w:r>
        <w:tab/>
      </w:r>
      <w:r>
        <w:t xml:space="preserve">Interpretation of selected flow thresholds and HB function contributions</w:t>
      </w:r>
    </w:p>
    <w:p>
      <w:pPr>
        <w:pStyle w:val="FirstParagraph"/>
      </w:pPr>
      <w:r>
        <w:t xml:space="preserve">In this watershed, flow thresholds at the Fort Jones gauge can be closely tied to physical access for spawning. Salmon passage to access the lower mainstem is possible at a Fort Jones flowrate (~20-40 cfs), while access to upper tributaries is generally associated with a Fort Jones flowrate of 100 cfs</w:t>
      </w:r>
      <w:r>
        <w:t xml:space="preserve"> </w:t>
      </w:r>
      <w:r>
        <w:t xml:space="preserve">(Sommarstrom 2020)</w:t>
      </w:r>
      <w:r>
        <w:t xml:space="preserve">. The fact that the lasso method identified multiple flow thresholds in the coho spf model may support this understanding, and suggest that the coho may experience these different degrees of river connectivity and/or flow conditions as events with different ecological consequences.</w:t>
      </w:r>
    </w:p>
    <w:p>
      <w:pPr>
        <w:pStyle w:val="BodyText"/>
      </w:pPr>
      <w:r>
        <w:t xml:space="preserve">The river reconnection dates of multiple flow thresholds are correlated with each other and, to varying degrees, with biological monitoring data (see Results). The correlations with ecological observations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w:t>
      </w:r>
      <w:r>
        <w:t xml:space="preserve">. However, the details, such as which flow threshold was identified as the most important in the minimization of the equation in Section 3.6.1, are probably somewhat artifactual and would be sensitive to the addition of new future data points.</w:t>
      </w:r>
    </w:p>
    <w:p>
      <w:pPr>
        <w:pStyle w:val="BodyText"/>
      </w:pPr>
      <w:r>
        <w:t xml:space="preserve">The metrics contributing the most to predicted coho spf values occur during the window of their parents’ spawning (</w:t>
      </w:r>
      <w:r>
        <w:rPr>
          <w:rStyle w:val="VerbatimChar"/>
        </w:rPr>
        <w:t xml:space="preserve">BY_recon_200</w:t>
      </w:r>
      <w:r>
        <w:t xml:space="preserve"> </w:t>
      </w:r>
      <w:r>
        <w:t xml:space="preserve">and</w:t>
      </w:r>
      <w:r>
        <w:t xml:space="preserve"> </w:t>
      </w:r>
      <w:r>
        <w:rPr>
          <w:rStyle w:val="VerbatimChar"/>
        </w:rPr>
        <w:t xml:space="preserve">BY_recon_100</w:t>
      </w:r>
      <w:r>
        <w:t xml:space="preserve">) and, to a lesser extent, in the spring and fall of their rearing year (</w:t>
      </w:r>
      <w:r>
        <w:rPr>
          <w:rStyle w:val="VerbatimChar"/>
        </w:rPr>
        <w:t xml:space="preserve">RY_discon_200</w:t>
      </w:r>
      <w:r>
        <w:t xml:space="preserve"> </w:t>
      </w:r>
      <w:r>
        <w:t xml:space="preserve">and</w:t>
      </w:r>
      <w:r>
        <w:t xml:space="preserve"> </w:t>
      </w:r>
      <w:r>
        <w:rPr>
          <w:rStyle w:val="VerbatimChar"/>
        </w:rPr>
        <w:t xml:space="preserve">RY_recon_8</w:t>
      </w:r>
      <w:r>
        <w:t xml:space="preserve">) (Figure</w:t>
      </w:r>
      <w:r>
        <w:t xml:space="preserve"> </w:t>
      </w:r>
      <w:r>
        <w:t xml:space="preserve">12</w:t>
      </w:r>
      <w:r>
        <w:t xml:space="preserve">). This supports an interpretation that spawning conditions may exert a significant influence on the mortality rates of the hatching juveniles. One potential mechanism is that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In wetter years, early reconnection flows and related access to more and higher-quality habitat may allow spawning salmon to select more favorable nesting sites.</w:t>
      </w:r>
    </w:p>
    <w:p>
      <w:pPr>
        <w:pStyle w:val="BodyText"/>
      </w:pPr>
      <w:r>
        <w:t xml:space="preserve">This may explain why earlier reconnection is associated with a higher number of smolts, but does not interrogate why earlier flows is associated with a lower number of spawners. An explanation for the latter may be beyond the scope of the present study: the later flow-spawner correlation is the weaker of the two, and the returning spawners may also be affected by ocean conditions. In any case, these findings suggest that earlier fall reconnection may allow the spawning population the best opportunity for reproductive success.</w:t>
      </w:r>
    </w:p>
    <w:bookmarkEnd w:id="120"/>
    <w:bookmarkStart w:id="121" w:name="Xe7b831585be370552e5eda248af1ddb6912a940"/>
    <w:p>
      <w:pPr>
        <w:pStyle w:val="Heading2"/>
      </w:pPr>
      <w:r>
        <w:rPr>
          <w:rStyle w:val="SectionNumber"/>
        </w:rPr>
        <w:t xml:space="preserve">5.6</w:t>
      </w:r>
      <w:r>
        <w:tab/>
      </w:r>
      <w:r>
        <w:t xml:space="preserve">Implications for water and fisheries management</w:t>
      </w:r>
    </w:p>
    <w:p>
      <w:pPr>
        <w:pStyle w:val="FirstParagraph"/>
      </w:pPr>
      <w:r>
        <w:t xml:space="preserve">This study contributes a novel approach and insights to the large body of work seeking to understand and conserve aquatic ecosystems in the Klamath basin, and in aquatic ecosystems in Mediterranean climates more generally. At a regional scale, this predictive tool could be used to assess simulated hydrologic outcomes of management actions in terms of the direct effect they would have on coho salmon reproduction. If used in that context, its limitations should be highlighted, including its average test error (100% of the average coho spf observation) and the fact that the hydrology explains only about 50% of the variation in the ecological data.</w:t>
      </w:r>
    </w:p>
    <w:p>
      <w:pPr>
        <w:pStyle w:val="BodyText"/>
      </w:pPr>
      <w:r>
        <w:t xml:space="preserve">We expect that the proposed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121"/>
    <w:bookmarkEnd w:id="122"/>
    <w:bookmarkStart w:id="123"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 and species-specific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and the number of Chinook juveniles produced per adult spawner (Chinook jpa) (Figure</w:t>
      </w:r>
      <w:r>
        <w:t xml:space="preserve"> </w:t>
      </w:r>
      <w:r>
        <w:t xml:space="preserve">8</w:t>
      </w:r>
      <w:r>
        <w:t xml:space="preserve">). The metrics contributing the most to predicted coho spf values occur during the window of their parents’ spawning and, to a lesser extent, in the spring and fall of their rearing year (Figure</w:t>
      </w:r>
      <w:r>
        <w:t xml:space="preserve"> </w:t>
      </w:r>
      <w:r>
        <w:t xml:space="preserve">12</w:t>
      </w:r>
      <w:r>
        <w:t xml:space="preserve">). This supports an interpretation that spawning conditions may exert a significant influence on the mortality rates of the hatching juveniles.</w:t>
      </w:r>
    </w:p>
    <w:p>
      <w:pPr>
        <w:pStyle w:val="BodyText"/>
      </w:pPr>
      <w:r>
        <w:t xml:space="preserve">Using lasso regression, we calculated a predictive model of annual normalized reproduction for each salmon species (Figures</w:t>
      </w:r>
      <w:r>
        <w:t xml:space="preserve"> </w:t>
      </w:r>
      <w:r>
        <w:t xml:space="preserve">9</w:t>
      </w:r>
      <w:r>
        <w:t xml:space="preserve"> </w:t>
      </w:r>
      <w:r>
        <w:t xml:space="preserve">and</w:t>
      </w:r>
      <w:r>
        <w:t xml:space="preserve"> </w:t>
      </w:r>
      <w:r>
        <w:t xml:space="preserve">10</w:t>
      </w:r>
      <w:r>
        <w:t xml:space="preserve">). With a relative test error threshold of 1.0, the model for Chinook was virtually useless as a predictive tool. Conversely, the model for coho could explain about 50% of the variation in the ecological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End w:id="123"/>
    <w:bookmarkStart w:id="334" w:name="references"/>
    <w:p>
      <w:pPr>
        <w:pStyle w:val="Heading1"/>
      </w:pPr>
      <w:r>
        <w:t xml:space="preserve">References</w:t>
      </w:r>
    </w:p>
    <w:bookmarkStart w:id="333" w:name="refs"/>
    <w:bookmarkStart w:id="125" w:name="ref-AceroTriana2021"/>
    <w:p>
      <w:pPr>
        <w:pStyle w:val="Bibliography"/>
      </w:pPr>
      <w:r>
        <w:t xml:space="preserve">Acero Triana, Juan S., Maria L. Chu, and Jeffrey A. Stein. 2021.</w:t>
      </w:r>
      <w:r>
        <w:t xml:space="preserve"> </w:t>
      </w:r>
      <w:r>
        <w:t xml:space="preserve">“</w:t>
      </w:r>
      <w:r>
        <w:t xml:space="preserve">Assessing the impacts of agricultural conservation practices on freshwater biodiversity under changing climate</w:t>
      </w:r>
      <w:r>
        <w:t xml:space="preserve">.”</w:t>
      </w:r>
      <w:r>
        <w:t xml:space="preserve"> </w:t>
      </w:r>
      <w:r>
        <w:rPr>
          <w:iCs/>
          <w:i/>
        </w:rPr>
        <w:t xml:space="preserve">Ecological Modelling</w:t>
      </w:r>
      <w:r>
        <w:t xml:space="preserve"> </w:t>
      </w:r>
      <w:r>
        <w:t xml:space="preserve">453 (September 2020): 109604.</w:t>
      </w:r>
      <w:r>
        <w:t xml:space="preserve"> </w:t>
      </w:r>
      <w:hyperlink r:id="rId124">
        <w:r>
          <w:rPr>
            <w:rStyle w:val="Hyperlink"/>
          </w:rPr>
          <w:t xml:space="preserve">https://doi.org/10.1016/j.ecolmodel.2021.109604</w:t>
        </w:r>
      </w:hyperlink>
      <w:r>
        <w:t xml:space="preserve">.</w:t>
      </w:r>
    </w:p>
    <w:bookmarkEnd w:id="125"/>
    <w:bookmarkStart w:id="127"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26">
        <w:r>
          <w:rPr>
            <w:rStyle w:val="Hyperlink"/>
          </w:rPr>
          <w:t xml:space="preserve">https://doi.org/10.1890/130134</w:t>
        </w:r>
      </w:hyperlink>
      <w:r>
        <w:t xml:space="preserve">.</w:t>
      </w:r>
    </w:p>
    <w:bookmarkEnd w:id="127"/>
    <w:bookmarkStart w:id="128" w:name="ref-NMFS2005"/>
    <w:p>
      <w:pPr>
        <w:pStyle w:val="Bibliography"/>
      </w:pPr>
      <w:r>
        <w:t xml:space="preserve">Agrawal, A, R S Schick, E P Bjorkstedt, R G Szerlong, M N Goslin, B C Spence, T H Williams, and K M Burnett.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June. Santa Cruz, CA: NOAA National Marine Fisheries Service (NMFS).</w:t>
      </w:r>
    </w:p>
    <w:bookmarkEnd w:id="128"/>
    <w:bookmarkStart w:id="130" w:name="ref-AlomiaHerrera2017"/>
    <w:p>
      <w:pPr>
        <w:pStyle w:val="Bibliography"/>
      </w:pPr>
      <w:r>
        <w:t xml:space="preserve">Alomía Herrera, Ilia, and Patricia Carrera Burneo. 2017.</w:t>
      </w:r>
      <w:r>
        <w:t xml:space="preserve"> </w:t>
      </w:r>
      <w:r>
        <w:t xml:space="preserve">“</w:t>
      </w:r>
      <w:r>
        <w:t xml:space="preserve">Environmental flow assessment in Andean rivers of Ecuador, case study: Chanlud and El Labrado dams in the Mach</w:t>
      </w:r>
      <w:r>
        <w:t xml:space="preserve">á</w:t>
      </w:r>
      <w:r>
        <w:t xml:space="preserve">ngara River</w:t>
      </w:r>
      <w:r>
        <w:t xml:space="preserve">.”</w:t>
      </w:r>
      <w:r>
        <w:t xml:space="preserve"> </w:t>
      </w:r>
      <w:r>
        <w:rPr>
          <w:iCs/>
          <w:i/>
        </w:rPr>
        <w:t xml:space="preserve">Ecohydrology and Hydrobiology</w:t>
      </w:r>
      <w:r>
        <w:t xml:space="preserve"> </w:t>
      </w:r>
      <w:r>
        <w:t xml:space="preserve">17 (2): 103–12.</w:t>
      </w:r>
      <w:r>
        <w:t xml:space="preserve"> </w:t>
      </w:r>
      <w:hyperlink r:id="rId129">
        <w:r>
          <w:rPr>
            <w:rStyle w:val="Hyperlink"/>
          </w:rPr>
          <w:t xml:space="preserve">https://doi.org/10.1016/j.ecohyd.2017.01.002</w:t>
        </w:r>
      </w:hyperlink>
      <w:r>
        <w:t xml:space="preserve">.</w:t>
      </w:r>
    </w:p>
    <w:bookmarkEnd w:id="130"/>
    <w:bookmarkStart w:id="132"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31">
        <w:r>
          <w:rPr>
            <w:rStyle w:val="Hyperlink"/>
          </w:rPr>
          <w:t xml:space="preserve">https://doi.org/10.1890/1540-9295(2006)4[309:IFNISA]2.0.CO;2</w:t>
        </w:r>
      </w:hyperlink>
      <w:r>
        <w:t xml:space="preserve">.</w:t>
      </w:r>
    </w:p>
    <w:bookmarkEnd w:id="132"/>
    <w:bookmarkStart w:id="134"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33">
        <w:r>
          <w:rPr>
            <w:rStyle w:val="Hyperlink"/>
          </w:rPr>
          <w:t xml:space="preserve">https://doi.org/10.1002/rra</w:t>
        </w:r>
      </w:hyperlink>
      <w:r>
        <w:t xml:space="preserve">.</w:t>
      </w:r>
    </w:p>
    <w:bookmarkEnd w:id="134"/>
    <w:bookmarkStart w:id="136" w:name="ref-Ayllon2014"/>
    <w:p>
      <w:pPr>
        <w:pStyle w:val="Bibliography"/>
      </w:pPr>
      <w:r>
        <w:t xml:space="preserve">Ayllón, Daniel, Graciela G. Nicola, Irene Parra, Benigno Elvira, and Ana Almodóvar. 2014.</w:t>
      </w:r>
      <w:r>
        <w:t xml:space="preserve"> </w:t>
      </w:r>
      <w:r>
        <w:t xml:space="preserve">“</w:t>
      </w:r>
      <w:r>
        <w:t xml:space="preserve">Spatio-temporal habitat selection shifts in brown trout populations under contrasting natural flow regimes</w:t>
      </w:r>
      <w:r>
        <w:t xml:space="preserve">.”</w:t>
      </w:r>
      <w:r>
        <w:t xml:space="preserve"> </w:t>
      </w:r>
      <w:r>
        <w:rPr>
          <w:iCs/>
          <w:i/>
        </w:rPr>
        <w:t xml:space="preserve">Ecohydrology</w:t>
      </w:r>
      <w:r>
        <w:t xml:space="preserve"> </w:t>
      </w:r>
      <w:r>
        <w:t xml:space="preserve">7: 569–79.</w:t>
      </w:r>
      <w:r>
        <w:t xml:space="preserve"> </w:t>
      </w:r>
      <w:hyperlink r:id="rId135">
        <w:r>
          <w:rPr>
            <w:rStyle w:val="Hyperlink"/>
          </w:rPr>
          <w:t xml:space="preserve">https://doi.org/10.1002/eco.1379</w:t>
        </w:r>
      </w:hyperlink>
      <w:r>
        <w:t xml:space="preserve">.</w:t>
      </w:r>
    </w:p>
    <w:bookmarkEnd w:id="136"/>
    <w:bookmarkStart w:id="138"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37">
        <w:r>
          <w:rPr>
            <w:rStyle w:val="Hyperlink"/>
          </w:rPr>
          <w:t xml:space="preserve">https://doi.org/10.2307/1446234</w:t>
        </w:r>
      </w:hyperlink>
      <w:r>
        <w:t xml:space="preserve">.</w:t>
      </w:r>
    </w:p>
    <w:bookmarkEnd w:id="138"/>
    <w:bookmarkStart w:id="140" w:name="ref-Booth2014"/>
    <w:p>
      <w:pPr>
        <w:pStyle w:val="Bibliography"/>
      </w:pPr>
      <w:r>
        <w:t xml:space="preserve">Booth, Derek B., Yantao Cui, Zooey Diggory, Dirk Pedersen, Jordan Kear, and Michael Bowen. 2014.</w:t>
      </w:r>
      <w:r>
        <w:t xml:space="preserve"> </w:t>
      </w:r>
      <w:r>
        <w:t xml:space="preserve">“</w:t>
      </w:r>
      <w:r>
        <w:t xml:space="preserve">Determining appropriate instream flows for anadromous fish passage on an intermittent mainstem river, coastal southern California, USA</w:t>
      </w:r>
      <w:r>
        <w:t xml:space="preserve">.”</w:t>
      </w:r>
      <w:r>
        <w:t xml:space="preserve"> </w:t>
      </w:r>
      <w:r>
        <w:rPr>
          <w:iCs/>
          <w:i/>
        </w:rPr>
        <w:t xml:space="preserve">Ecohydrology</w:t>
      </w:r>
      <w:r>
        <w:t xml:space="preserve"> </w:t>
      </w:r>
      <w:r>
        <w:t xml:space="preserve">7: 745–59.</w:t>
      </w:r>
      <w:r>
        <w:t xml:space="preserve"> </w:t>
      </w:r>
      <w:hyperlink r:id="rId139">
        <w:r>
          <w:rPr>
            <w:rStyle w:val="Hyperlink"/>
          </w:rPr>
          <w:t xml:space="preserve">https://doi.org/10.1002/eco.1396</w:t>
        </w:r>
      </w:hyperlink>
      <w:r>
        <w:t xml:space="preserve">.</w:t>
      </w:r>
    </w:p>
    <w:bookmarkEnd w:id="140"/>
    <w:bookmarkStart w:id="142"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41">
        <w:r>
          <w:rPr>
            <w:rStyle w:val="Hyperlink"/>
          </w:rPr>
          <w:t xml:space="preserve">https://doi.org/10.1007/s11160-016-9432-3</w:t>
        </w:r>
      </w:hyperlink>
      <w:r>
        <w:t xml:space="preserve">.</w:t>
      </w:r>
    </w:p>
    <w:bookmarkEnd w:id="142"/>
    <w:bookmarkStart w:id="144" w:name="ref-Bower2022"/>
    <w:p>
      <w:pPr>
        <w:pStyle w:val="Bibliography"/>
      </w:pPr>
      <w:r>
        <w:t xml:space="preserve">Bower, Luke M., Brandon K. Peoples, Michele C. Eddy, and Mark C. Scott. 2022.</w:t>
      </w:r>
      <w:r>
        <w:t xml:space="preserve"> </w:t>
      </w:r>
      <w:r>
        <w:t xml:space="preserve">“</w:t>
      </w:r>
      <w:r>
        <w:t xml:space="preserve">Quantifying flow–ecology relationships across flow regime class and ecoregions in South Carolina</w:t>
      </w:r>
      <w:r>
        <w:t xml:space="preserve">.”</w:t>
      </w:r>
      <w:r>
        <w:t xml:space="preserve"> </w:t>
      </w:r>
      <w:r>
        <w:rPr>
          <w:iCs/>
          <w:i/>
        </w:rPr>
        <w:t xml:space="preserve">Science of the Total Environment</w:t>
      </w:r>
      <w:r>
        <w:t xml:space="preserve"> </w:t>
      </w:r>
      <w:r>
        <w:t xml:space="preserve">802: 149721.</w:t>
      </w:r>
      <w:r>
        <w:t xml:space="preserve"> </w:t>
      </w:r>
      <w:hyperlink r:id="rId143">
        <w:r>
          <w:rPr>
            <w:rStyle w:val="Hyperlink"/>
          </w:rPr>
          <w:t xml:space="preserve">https://doi.org/10.1016/j.scitotenv.2021.149721</w:t>
        </w:r>
      </w:hyperlink>
      <w:r>
        <w:t xml:space="preserve">.</w:t>
      </w:r>
    </w:p>
    <w:bookmarkEnd w:id="144"/>
    <w:bookmarkStart w:id="146"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45">
        <w:r>
          <w:rPr>
            <w:rStyle w:val="Hyperlink"/>
          </w:rPr>
          <w:t xml:space="preserve">https://doi.org/10.1577/1548-8659(1997)126&lt;0049</w:t>
        </w:r>
      </w:hyperlink>
      <w:r>
        <w:t xml:space="preserve">.</w:t>
      </w:r>
    </w:p>
    <w:bookmarkEnd w:id="146"/>
    <w:bookmarkStart w:id="148" w:name="ref-Bradley2017"/>
    <w:p>
      <w:pPr>
        <w:pStyle w:val="Bibliography"/>
      </w:pPr>
      <w:r>
        <w:t xml:space="preserve">Bradley, D. C., M. J. Streetly, D. Cadman, M. Dunscombe, E. Farren, and A. Banham. 2017.</w:t>
      </w:r>
      <w:r>
        <w:t xml:space="preserve"> </w:t>
      </w:r>
      <w:r>
        <w:t xml:space="preserve">“</w:t>
      </w:r>
      <w:r>
        <w:t xml:space="preserve">A hydroecological model to assess the relative effects of groundwater abstraction and fine sediment pressures on riverine macro-invertebrates</w:t>
      </w:r>
      <w:r>
        <w:t xml:space="preserve">.”</w:t>
      </w:r>
      <w:r>
        <w:t xml:space="preserve"> </w:t>
      </w:r>
      <w:r>
        <w:rPr>
          <w:iCs/>
          <w:i/>
        </w:rPr>
        <w:t xml:space="preserve">River Research and Applications</w:t>
      </w:r>
      <w:r>
        <w:t xml:space="preserve"> </w:t>
      </w:r>
      <w:r>
        <w:t xml:space="preserve">33 (10): 1630–41.</w:t>
      </w:r>
      <w:r>
        <w:t xml:space="preserve"> </w:t>
      </w:r>
      <w:hyperlink r:id="rId147">
        <w:r>
          <w:rPr>
            <w:rStyle w:val="Hyperlink"/>
          </w:rPr>
          <w:t xml:space="preserve">https://doi.org/10.1002/rra.3191</w:t>
        </w:r>
      </w:hyperlink>
      <w:r>
        <w:t xml:space="preserve">.</w:t>
      </w:r>
    </w:p>
    <w:bookmarkEnd w:id="148"/>
    <w:bookmarkStart w:id="150" w:name="ref-Brand2011"/>
    <w:p>
      <w:pPr>
        <w:pStyle w:val="Bibliography"/>
      </w:pPr>
      <w:r>
        <w:t xml:space="preserve">Brand, L. Arriana, Juliet C. Stromberg, David C. Goodrich, Mark D. Dixon, Kevin Lansey, Doosun Kang, David S. Brookshire, and David J. Cerasale. 2011.</w:t>
      </w:r>
      <w:r>
        <w:t xml:space="preserve"> </w:t>
      </w:r>
      <w:r>
        <w:t xml:space="preserve">“</w:t>
      </w:r>
      <w:r>
        <w:t xml:space="preserve">Projecting avian response to linked changes in groundwater and riparian floodplain vegetation along a dryland river: a scenario analysis</w:t>
      </w:r>
      <w:r>
        <w:t xml:space="preserve">.”</w:t>
      </w:r>
      <w:r>
        <w:t xml:space="preserve"> </w:t>
      </w:r>
      <w:r>
        <w:rPr>
          <w:iCs/>
          <w:i/>
        </w:rPr>
        <w:t xml:space="preserve">Ecohydrology</w:t>
      </w:r>
      <w:r>
        <w:t xml:space="preserve"> </w:t>
      </w:r>
      <w:r>
        <w:t xml:space="preserve">4 (July): 130–42.</w:t>
      </w:r>
      <w:r>
        <w:t xml:space="preserve"> </w:t>
      </w:r>
      <w:hyperlink r:id="rId149">
        <w:r>
          <w:rPr>
            <w:rStyle w:val="Hyperlink"/>
          </w:rPr>
          <w:t xml:space="preserve">https://doi.org/10.1002/eco</w:t>
        </w:r>
      </w:hyperlink>
      <w:r>
        <w:t xml:space="preserve">.</w:t>
      </w:r>
    </w:p>
    <w:bookmarkEnd w:id="150"/>
    <w:bookmarkStart w:id="152"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51">
        <w:r>
          <w:rPr>
            <w:rStyle w:val="Hyperlink"/>
          </w:rPr>
          <w:t xml:space="preserve">https://doi.org/10.1577/1548-8675(1994)014&lt;0237:hdacso&gt;2.3.co;2</w:t>
        </w:r>
      </w:hyperlink>
      <w:r>
        <w:t xml:space="preserve">.</w:t>
      </w:r>
    </w:p>
    <w:bookmarkEnd w:id="152"/>
    <w:bookmarkStart w:id="153" w:name="ref-Brummer2016"/>
    <w:p>
      <w:pPr>
        <w:pStyle w:val="Bibliography"/>
      </w:pPr>
      <w:r>
        <w:t xml:space="preserve">Brummer, T. J., A. E. Byrom, J. J. Sullivan, and P. E. Hume. 2016.</w:t>
      </w:r>
      <w:r>
        <w:t xml:space="preserve"> </w:t>
      </w:r>
      <w:r>
        <w:t xml:space="preserve">“</w:t>
      </w:r>
      <w:r>
        <w:t xml:space="preserve">A QUANTITATIVE FRAMEWORK TO DERIVE ROBUST CHARACTERIZATION OF HYDROLOGICAL GRADIENTS</w:t>
      </w:r>
      <w:r>
        <w:t xml:space="preserve">.”</w:t>
      </w:r>
      <w:r>
        <w:t xml:space="preserve"> </w:t>
      </w:r>
      <w:r>
        <w:rPr>
          <w:iCs/>
          <w:i/>
        </w:rPr>
        <w:t xml:space="preserve">River Research and Applications</w:t>
      </w:r>
      <w:r>
        <w:t xml:space="preserve"> </w:t>
      </w:r>
      <w:r>
        <w:t xml:space="preserve">32 (February): 1517–29.</w:t>
      </w:r>
      <w:r>
        <w:t xml:space="preserve"> </w:t>
      </w:r>
      <w:hyperlink r:id="rId133">
        <w:r>
          <w:rPr>
            <w:rStyle w:val="Hyperlink"/>
          </w:rPr>
          <w:t xml:space="preserve">https://doi.org/10.1002/rra</w:t>
        </w:r>
      </w:hyperlink>
      <w:r>
        <w:t xml:space="preserve">.</w:t>
      </w:r>
    </w:p>
    <w:bookmarkEnd w:id="153"/>
    <w:bookmarkStart w:id="155" w:name="ref-Bunn2002a"/>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54">
        <w:r>
          <w:rPr>
            <w:rStyle w:val="Hyperlink"/>
          </w:rPr>
          <w:t xml:space="preserve">https://doi.org/10.1007/s00267-002-2737-0</w:t>
        </w:r>
      </w:hyperlink>
      <w:r>
        <w:t xml:space="preserve">.</w:t>
      </w:r>
    </w:p>
    <w:bookmarkEnd w:id="155"/>
    <w:bookmarkStart w:id="156"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56"/>
    <w:bookmarkStart w:id="158"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57">
        <w:r>
          <w:rPr>
            <w:rStyle w:val="Hyperlink"/>
          </w:rPr>
          <w:t xml:space="preserve">https://www.fs.usda.gov/Internet/FSE{\_}DOCUMENTS/stelprd3850544.pdf</w:t>
        </w:r>
      </w:hyperlink>
      <w:r>
        <w:t xml:space="preserve">.</w:t>
      </w:r>
    </w:p>
    <w:bookmarkEnd w:id="158"/>
    <w:bookmarkStart w:id="160"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59">
        <w:r>
          <w:rPr>
            <w:rStyle w:val="Hyperlink"/>
          </w:rPr>
          <w:t xml:space="preserve">http://www.fgc.ca.gov/meetings/2015/Aug/Exhibits/0805{\_}Item{\_}38{\_}CohoStatusReport.pdf</w:t>
        </w:r>
      </w:hyperlink>
      <w:r>
        <w:t xml:space="preserve">.</w:t>
      </w:r>
    </w:p>
    <w:bookmarkEnd w:id="160"/>
    <w:bookmarkStart w:id="161" w:name="ref-CDFW2021b"/>
    <w:p>
      <w:pPr>
        <w:pStyle w:val="Bibliography"/>
      </w:pPr>
      <w:r>
        <w:t xml:space="preserve">———. 2021.</w:t>
      </w:r>
      <w:r>
        <w:t xml:space="preserve"> </w:t>
      </w:r>
      <w:r>
        <w:t xml:space="preserve">“</w:t>
      </w:r>
      <w:r>
        <w:t xml:space="preserve">Scott River Best Available Scientific Information for Instream Flow Criteria and Potential Next Steps</w:t>
      </w:r>
      <w:r>
        <w:t xml:space="preserve">.”</w:t>
      </w:r>
    </w:p>
    <w:bookmarkEnd w:id="161"/>
    <w:bookmarkStart w:id="163" w:name="ref-Cartwright2017"/>
    <w:p>
      <w:pPr>
        <w:pStyle w:val="Bibliography"/>
      </w:pPr>
      <w:r>
        <w:t xml:space="preserve">Cartwright, Jennifer, Casey Caldwell, Steven Nebiker, and Rodney Knight. 2017.</w:t>
      </w:r>
      <w:r>
        <w:t xml:space="preserve"> </w:t>
      </w:r>
      <w:r>
        <w:t xml:space="preserve">“</w:t>
      </w:r>
      <w:r>
        <w:t xml:space="preserve">Putting flow-ecology relationships into practice: A decision-support system to assess fish community response to water-management scenarios</w:t>
      </w:r>
      <w:r>
        <w:t xml:space="preserve">.”</w:t>
      </w:r>
      <w:r>
        <w:t xml:space="preserve"> </w:t>
      </w:r>
      <w:r>
        <w:rPr>
          <w:iCs/>
          <w:i/>
        </w:rPr>
        <w:t xml:space="preserve">Water</w:t>
      </w:r>
      <w:r>
        <w:t xml:space="preserve"> </w:t>
      </w:r>
      <w:r>
        <w:t xml:space="preserve">9 (196): 18.</w:t>
      </w:r>
      <w:r>
        <w:t xml:space="preserve"> </w:t>
      </w:r>
      <w:hyperlink r:id="rId162">
        <w:r>
          <w:rPr>
            <w:rStyle w:val="Hyperlink"/>
          </w:rPr>
          <w:t xml:space="preserve">https://doi.org/10.3390/w9030196</w:t>
        </w:r>
      </w:hyperlink>
      <w:r>
        <w:t xml:space="preserve">.</w:t>
      </w:r>
    </w:p>
    <w:bookmarkEnd w:id="163"/>
    <w:bookmarkStart w:id="165" w:name="ref-Catford2014"/>
    <w:p>
      <w:pPr>
        <w:pStyle w:val="Bibliography"/>
      </w:pPr>
      <w:r>
        <w:t xml:space="preserve">Catford, Jane A., William K. Morris, Peter A. Vesk, Christopher J. Gippel, and Barbara J. Downes. 2014.</w:t>
      </w:r>
      <w:r>
        <w:t xml:space="preserve"> </w:t>
      </w:r>
      <w:r>
        <w:t xml:space="preserve">“</w:t>
      </w:r>
      <w:r>
        <w:t xml:space="preserve">Species and environmental characteristics point to flow regulation and drought as drivers of riparian plant invasion</w:t>
      </w:r>
      <w:r>
        <w:t xml:space="preserve">.”</w:t>
      </w:r>
      <w:r>
        <w:t xml:space="preserve"> </w:t>
      </w:r>
      <w:r>
        <w:rPr>
          <w:iCs/>
          <w:i/>
        </w:rPr>
        <w:t xml:space="preserve">Diversity and Distributions</w:t>
      </w:r>
      <w:r>
        <w:t xml:space="preserve"> </w:t>
      </w:r>
      <w:r>
        <w:t xml:space="preserve">20 (9): 1084–96.</w:t>
      </w:r>
      <w:r>
        <w:t xml:space="preserve"> </w:t>
      </w:r>
      <w:hyperlink r:id="rId164">
        <w:r>
          <w:rPr>
            <w:rStyle w:val="Hyperlink"/>
          </w:rPr>
          <w:t xml:space="preserve">https://doi.org/10.1111/ddi.12225</w:t>
        </w:r>
      </w:hyperlink>
      <w:r>
        <w:t xml:space="preserve">.</w:t>
      </w:r>
    </w:p>
    <w:bookmarkEnd w:id="165"/>
    <w:bookmarkStart w:id="166" w:name="ref-Chowdhury2007"/>
    <w:p>
      <w:pPr>
        <w:pStyle w:val="Bibliography"/>
      </w:pPr>
      <w:r>
        <w:t xml:space="preserve">Chowdhury, Shahadat, and Patrick Driver. 2007.</w:t>
      </w:r>
      <w:r>
        <w:t xml:space="preserve"> </w:t>
      </w:r>
      <w:r>
        <w:t xml:space="preserve">“</w:t>
      </w:r>
      <w:r>
        <w:t xml:space="preserve">An ecohydrological model of waterbird nesting events to altered floodplain hydrology</w:t>
      </w:r>
      <w:r>
        <w:t xml:space="preserve">.”</w:t>
      </w:r>
      <w:r>
        <w:t xml:space="preserve"> </w:t>
      </w:r>
      <w:r>
        <w:t xml:space="preserve">In</w:t>
      </w:r>
      <w:r>
        <w:t xml:space="preserve"> </w:t>
      </w:r>
      <w:r>
        <w:rPr>
          <w:iCs/>
          <w:i/>
        </w:rPr>
        <w:t xml:space="preserve">MODSIM07 - Land, Water and Environmental Management: Integrated Systems for Sustainability, Proceedings</w:t>
      </w:r>
      <w:r>
        <w:t xml:space="preserve">, 2896–2902. Christchurch, NZ.</w:t>
      </w:r>
    </w:p>
    <w:bookmarkEnd w:id="166"/>
    <w:bookmarkStart w:id="168" w:name="ref-Daneshvar2017"/>
    <w:p>
      <w:pPr>
        <w:pStyle w:val="Bibliography"/>
      </w:pPr>
      <w:r>
        <w:t xml:space="preserve">Daneshvar, Fariborz, Amir Pouyan Nejadhashemi, Matthew R. Herman, and Mohammad Abouali. 2017.</w:t>
      </w:r>
      <w:r>
        <w:t xml:space="preserve"> </w:t>
      </w:r>
      <w:r>
        <w:t xml:space="preserve">“</w:t>
      </w:r>
      <w:r>
        <w:t xml:space="preserve">Response of benthic macroinvertebrate communities to climate change</w:t>
      </w:r>
      <w:r>
        <w:t xml:space="preserve">.”</w:t>
      </w:r>
      <w:r>
        <w:t xml:space="preserve"> </w:t>
      </w:r>
      <w:r>
        <w:rPr>
          <w:iCs/>
          <w:i/>
        </w:rPr>
        <w:t xml:space="preserve">Ecohydrology and Hydrobiology</w:t>
      </w:r>
      <w:r>
        <w:t xml:space="preserve"> </w:t>
      </w:r>
      <w:r>
        <w:t xml:space="preserve">17 (1): 63–72.</w:t>
      </w:r>
      <w:r>
        <w:t xml:space="preserve"> </w:t>
      </w:r>
      <w:hyperlink r:id="rId167">
        <w:r>
          <w:rPr>
            <w:rStyle w:val="Hyperlink"/>
          </w:rPr>
          <w:t xml:space="preserve">https://doi.org/10.1016/j.ecohyd.2016.12.002</w:t>
        </w:r>
      </w:hyperlink>
      <w:r>
        <w:t xml:space="preserve">.</w:t>
      </w:r>
    </w:p>
    <w:bookmarkEnd w:id="168"/>
    <w:bookmarkStart w:id="170" w:name="ref-DeWeber2020"/>
    <w:p>
      <w:pPr>
        <w:pStyle w:val="Bibliography"/>
      </w:pPr>
      <w:r>
        <w:t xml:space="preserve">DeWeber, J. Tyrell, and James T. Peterson. 2020.</w:t>
      </w:r>
      <w:r>
        <w:t xml:space="preserve"> </w:t>
      </w:r>
      <w:r>
        <w:t xml:space="preserve">“</w:t>
      </w:r>
      <w:r>
        <w:t xml:space="preserve">Comparing Environmental Flow Implementation Options with Structured Decision Making: Case Study from the Willamette River, Oregon</w:t>
      </w:r>
      <w:r>
        <w:t xml:space="preserve">.”</w:t>
      </w:r>
      <w:r>
        <w:t xml:space="preserve"> </w:t>
      </w:r>
      <w:r>
        <w:rPr>
          <w:iCs/>
          <w:i/>
        </w:rPr>
        <w:t xml:space="preserve">Journal of the American Water Resources Association</w:t>
      </w:r>
      <w:r>
        <w:t xml:space="preserve"> </w:t>
      </w:r>
      <w:r>
        <w:t xml:space="preserve">56 (4): 599–614.</w:t>
      </w:r>
      <w:r>
        <w:t xml:space="preserve"> </w:t>
      </w:r>
      <w:hyperlink r:id="rId169">
        <w:r>
          <w:rPr>
            <w:rStyle w:val="Hyperlink"/>
          </w:rPr>
          <w:t xml:space="preserve">https://doi.org/10.1111/1752-1688.12845</w:t>
        </w:r>
      </w:hyperlink>
      <w:r>
        <w:t xml:space="preserve">.</w:t>
      </w:r>
    </w:p>
    <w:bookmarkEnd w:id="170"/>
    <w:bookmarkStart w:id="172"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71">
        <w:r>
          <w:rPr>
            <w:rStyle w:val="Hyperlink"/>
          </w:rPr>
          <w:t xml:space="preserve">https://doi.org/10.3733/ca.v054n06p46</w:t>
        </w:r>
      </w:hyperlink>
      <w:r>
        <w:t xml:space="preserve">.</w:t>
      </w:r>
    </w:p>
    <w:bookmarkEnd w:id="172"/>
    <w:bookmarkStart w:id="174"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73">
        <w:r>
          <w:rPr>
            <w:rStyle w:val="Hyperlink"/>
          </w:rPr>
          <w:t xml:space="preserve">https://water.ca.gov/Programs/Water-Use-And-Efficiency/Land-And-Water-Use/Agricultural-Land-And-Water-Use-Estimates</w:t>
        </w:r>
      </w:hyperlink>
      <w:r>
        <w:t xml:space="preserve">.</w:t>
      </w:r>
    </w:p>
    <w:bookmarkEnd w:id="174"/>
    <w:bookmarkStart w:id="176"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75">
        <w:r>
          <w:rPr>
            <w:rStyle w:val="Hyperlink"/>
          </w:rPr>
          <w:t xml:space="preserve">http://groundwater.ucdavis.edu/files/165395.pdf</w:t>
        </w:r>
      </w:hyperlink>
      <w:r>
        <w:t xml:space="preserve">.</w:t>
      </w:r>
    </w:p>
    <w:bookmarkEnd w:id="176"/>
    <w:bookmarkStart w:id="178" w:name="ref-Friedman2010"/>
    <w:p>
      <w:pPr>
        <w:pStyle w:val="Bibliography"/>
      </w:pPr>
      <w:r>
        <w:t xml:space="preserve">Friedman, Jerome, Trevor Hastie, and Rob Tibshirani. 2010.</w:t>
      </w:r>
      <w:r>
        <w:t xml:space="preserve"> </w:t>
      </w:r>
      <w:r>
        <w:t xml:space="preserve">“</w:t>
      </w:r>
      <w:r>
        <w:t xml:space="preserve">Regularization Paths for Generalized Linear Models via Coordinate Descent</w:t>
      </w:r>
      <w:r>
        <w:t xml:space="preserve">.”</w:t>
      </w:r>
      <w:r>
        <w:t xml:space="preserve"> </w:t>
      </w:r>
      <w:r>
        <w:rPr>
          <w:iCs/>
          <w:i/>
        </w:rPr>
        <w:t xml:space="preserve">Journal of Statistical Software</w:t>
      </w:r>
      <w:r>
        <w:t xml:space="preserve"> </w:t>
      </w:r>
      <w:r>
        <w:t xml:space="preserve">33 (1): 1–22.</w:t>
      </w:r>
      <w:r>
        <w:t xml:space="preserve"> </w:t>
      </w:r>
      <w:hyperlink r:id="rId177">
        <w:r>
          <w:rPr>
            <w:rStyle w:val="Hyperlink"/>
          </w:rPr>
          <w:t xml:space="preserve">https://arxiv.org/abs/0908.3817</w:t>
        </w:r>
      </w:hyperlink>
      <w:r>
        <w:t xml:space="preserve">.</w:t>
      </w:r>
    </w:p>
    <w:bookmarkEnd w:id="178"/>
    <w:bookmarkStart w:id="180" w:name="ref-Gao2020"/>
    <w:p>
      <w:pPr>
        <w:pStyle w:val="Bibliography"/>
      </w:pPr>
      <w:r>
        <w:t xml:space="preserve">Gao, Ye, Yong hong Xie, and Dong sheng Zou. 2020.</w:t>
      </w:r>
      <w:r>
        <w:t xml:space="preserve"> </w:t>
      </w:r>
      <w:r>
        <w:t xml:space="preserve">“</w:t>
      </w:r>
      <w:r>
        <w:t xml:space="preserve">Hydrological regime change and its ecological responses in East Dongting Lake, China</w:t>
      </w:r>
      <w:r>
        <w:t xml:space="preserve">.”</w:t>
      </w:r>
      <w:r>
        <w:t xml:space="preserve"> </w:t>
      </w:r>
      <w:r>
        <w:rPr>
          <w:iCs/>
          <w:i/>
        </w:rPr>
        <w:t xml:space="preserve">Ecohydrology and Hydrobiology</w:t>
      </w:r>
      <w:r>
        <w:t xml:space="preserve"> </w:t>
      </w:r>
      <w:r>
        <w:t xml:space="preserve">20 (1): 142–50.</w:t>
      </w:r>
      <w:r>
        <w:t xml:space="preserve"> </w:t>
      </w:r>
      <w:hyperlink r:id="rId179">
        <w:r>
          <w:rPr>
            <w:rStyle w:val="Hyperlink"/>
          </w:rPr>
          <w:t xml:space="preserve">https://doi.org/10.1016/j.ecohyd.2019.07.003</w:t>
        </w:r>
      </w:hyperlink>
      <w:r>
        <w:t xml:space="preserve">.</w:t>
      </w:r>
    </w:p>
    <w:bookmarkEnd w:id="180"/>
    <w:bookmarkStart w:id="182" w:name="ref-Graham2012"/>
    <w:p>
      <w:pPr>
        <w:pStyle w:val="Bibliography"/>
      </w:pPr>
      <w:r>
        <w:t xml:space="preserve">Graham, Rhea. 2012.</w:t>
      </w:r>
      <w:r>
        <w:t xml:space="preserve"> </w:t>
      </w:r>
      <w:r>
        <w:t xml:space="preserve">“</w:t>
      </w:r>
      <w:r>
        <w:t xml:space="preserve">Klamath River Basin Restoration Nonuse Value Survey Klamath River Basin Restoration Nonuse Value Survey Final Report Prepared by</w:t>
      </w:r>
      <w:r>
        <w:t xml:space="preserve">.”</w:t>
      </w:r>
      <w:r>
        <w:t xml:space="preserve"> </w:t>
      </w:r>
      <w:hyperlink r:id="rId181">
        <w:r>
          <w:rPr>
            <w:rStyle w:val="Hyperlink"/>
          </w:rPr>
          <w:t xml:space="preserve">https://kbifrm.psmfc.org/wp-content/uploads/2016/12/Graham{\_}2012{\_}0010{\_}Klamath-River-Basin-Restoration-Nonuse-Value-Survey-Final-Report.pdf</w:t>
        </w:r>
      </w:hyperlink>
      <w:r>
        <w:t xml:space="preserve">.</w:t>
      </w:r>
    </w:p>
    <w:bookmarkEnd w:id="182"/>
    <w:bookmarkStart w:id="184" w:name="ref-Guareschi2014"/>
    <w:p>
      <w:pPr>
        <w:pStyle w:val="Bibliography"/>
      </w:pPr>
      <w:r>
        <w:t xml:space="preserve">Guareschi, S., A. Laini, E. Racchetti, T. Bo, S. Fenoglio, and M. Bartoli. 2014.</w:t>
      </w:r>
      <w:r>
        <w:t xml:space="preserve"> </w:t>
      </w:r>
      <w:r>
        <w:t xml:space="preserve">“</w:t>
      </w:r>
      <w:r>
        <w:t xml:space="preserve">How do hydromorphological constraints and regulated flows govern macroinvertebrate communities along an entire lowland river?</w:t>
      </w:r>
      <w:r>
        <w:t xml:space="preserve">”</w:t>
      </w:r>
      <w:r>
        <w:t xml:space="preserve"> </w:t>
      </w:r>
      <w:r>
        <w:rPr>
          <w:iCs/>
          <w:i/>
        </w:rPr>
        <w:t xml:space="preserve">Ecohydrology</w:t>
      </w:r>
      <w:r>
        <w:t xml:space="preserve"> </w:t>
      </w:r>
      <w:r>
        <w:t xml:space="preserve">7 (2): 366–77.</w:t>
      </w:r>
      <w:r>
        <w:t xml:space="preserve"> </w:t>
      </w:r>
      <w:hyperlink r:id="rId183">
        <w:r>
          <w:rPr>
            <w:rStyle w:val="Hyperlink"/>
          </w:rPr>
          <w:t xml:space="preserve">https://doi.org/10.1002/eco.1354</w:t>
        </w:r>
      </w:hyperlink>
      <w:r>
        <w:t xml:space="preserve">.</w:t>
      </w:r>
    </w:p>
    <w:bookmarkEnd w:id="184"/>
    <w:bookmarkStart w:id="186" w:name="ref-Guedes2020"/>
    <w:p>
      <w:pPr>
        <w:pStyle w:val="Bibliography"/>
      </w:pPr>
      <w:r>
        <w:t xml:space="preserve">Guedes, Gustavo Henrique Soares, Tailan Moretti Mattos, Geysa da Silva Camilo, Wagner Uehara, Débora Lisandra de Paiva Ferreira, and Francisco Gerson Araújo. 2020.</w:t>
      </w:r>
      <w:r>
        <w:t xml:space="preserve"> </w:t>
      </w:r>
      <w:r>
        <w:t xml:space="preserve">“</w:t>
      </w:r>
      <w:r>
        <w:t xml:space="preserve">Artificial flow regime promotes abiotic and biotic gradients: Testing the concept of longitudinal zonation in an off-river reservoir</w:t>
      </w:r>
      <w:r>
        <w:t xml:space="preserve">.”</w:t>
      </w:r>
      <w:r>
        <w:t xml:space="preserve"> </w:t>
      </w:r>
      <w:r>
        <w:rPr>
          <w:iCs/>
          <w:i/>
        </w:rPr>
        <w:t xml:space="preserve">Ecohydrology and Hydrobiology</w:t>
      </w:r>
      <w:r>
        <w:t xml:space="preserve"> </w:t>
      </w:r>
      <w:r>
        <w:t xml:space="preserve">20 (2): 256–64.</w:t>
      </w:r>
      <w:r>
        <w:t xml:space="preserve"> </w:t>
      </w:r>
      <w:hyperlink r:id="rId185">
        <w:r>
          <w:rPr>
            <w:rStyle w:val="Hyperlink"/>
          </w:rPr>
          <w:t xml:space="preserve">https://doi.org/10.1016/j.ecohyd.2020.02.002</w:t>
        </w:r>
      </w:hyperlink>
      <w:r>
        <w:t xml:space="preserve">.</w:t>
      </w:r>
    </w:p>
    <w:bookmarkEnd w:id="186"/>
    <w:bookmarkStart w:id="188"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87">
        <w:r>
          <w:rPr>
            <w:rStyle w:val="Hyperlink"/>
          </w:rPr>
          <w:t xml:space="preserve">https://doi.org/10.1111/fwb.13048</w:t>
        </w:r>
      </w:hyperlink>
      <w:r>
        <w:t xml:space="preserve">.</w:t>
      </w:r>
    </w:p>
    <w:bookmarkEnd w:id="188"/>
    <w:bookmarkStart w:id="190" w:name="ref-Hale2023"/>
    <w:p>
      <w:pPr>
        <w:pStyle w:val="Bibliography"/>
      </w:pPr>
      <w:r>
        <w:t xml:space="preserve">Hale, Robin, Jian D. L. Yen, Charles R. Todd, Ivor G. Stuart, Henry F. Wootton, Jason D. Thiem, John D. Koehn, et al. 2023.</w:t>
      </w:r>
      <w:r>
        <w:t xml:space="preserve"> </w:t>
      </w:r>
      <w:r>
        <w:t xml:space="preserve">“</w:t>
      </w:r>
      <w:r>
        <w:t xml:space="preserve">Is my model fit for purpose? Validating a population model for predicting freshwater fish responses to flow management</w:t>
      </w:r>
      <w:r>
        <w:t xml:space="preserve">.”</w:t>
      </w:r>
      <w:r>
        <w:t xml:space="preserve"> </w:t>
      </w:r>
      <w:r>
        <w:rPr>
          <w:iCs/>
          <w:i/>
        </w:rPr>
        <w:t xml:space="preserve">Ecosphere</w:t>
      </w:r>
      <w:r>
        <w:t xml:space="preserve"> </w:t>
      </w:r>
      <w:r>
        <w:t xml:space="preserve">14 (9): 1–13.</w:t>
      </w:r>
      <w:r>
        <w:t xml:space="preserve"> </w:t>
      </w:r>
      <w:hyperlink r:id="rId189">
        <w:r>
          <w:rPr>
            <w:rStyle w:val="Hyperlink"/>
          </w:rPr>
          <w:t xml:space="preserve">https://doi.org/10.1002/ecs2.4660</w:t>
        </w:r>
      </w:hyperlink>
      <w:r>
        <w:t xml:space="preserve">.</w:t>
      </w:r>
    </w:p>
    <w:bookmarkEnd w:id="190"/>
    <w:bookmarkStart w:id="192" w:name="ref-Han2015"/>
    <w:p>
      <w:pPr>
        <w:pStyle w:val="Bibliography"/>
      </w:pPr>
      <w:r>
        <w:t xml:space="preserve">Han, Ming, Chengyi Zhao, Gary Feng, Markus Disse, Fengzhi Shi, and Juyan Li. 2015.</w:t>
      </w:r>
      <w:r>
        <w:t xml:space="preserve"> </w:t>
      </w:r>
      <w:r>
        <w:t xml:space="preserve">“</w:t>
      </w:r>
      <w:r>
        <w:t xml:space="preserve">An eco-hydrological approach to predicting regional vegetation and groundwater response to ecological water conveyance in dryland riparian ecosystems</w:t>
      </w:r>
      <w:r>
        <w:t xml:space="preserve">.”</w:t>
      </w:r>
      <w:r>
        <w:t xml:space="preserve"> </w:t>
      </w:r>
      <w:r>
        <w:rPr>
          <w:iCs/>
          <w:i/>
        </w:rPr>
        <w:t xml:space="preserve">Quaternary International</w:t>
      </w:r>
      <w:r>
        <w:t xml:space="preserve"> </w:t>
      </w:r>
      <w:r>
        <w:t xml:space="preserve">380-381: 224–36.</w:t>
      </w:r>
      <w:r>
        <w:t xml:space="preserve"> </w:t>
      </w:r>
      <w:hyperlink r:id="rId191">
        <w:r>
          <w:rPr>
            <w:rStyle w:val="Hyperlink"/>
          </w:rPr>
          <w:t xml:space="preserve">https://doi.org/10.1016/j.quaint.2015.02.032</w:t>
        </w:r>
      </w:hyperlink>
      <w:r>
        <w:t xml:space="preserve">.</w:t>
      </w:r>
    </w:p>
    <w:bookmarkEnd w:id="192"/>
    <w:bookmarkStart w:id="194"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93">
        <w:r>
          <w:rPr>
            <w:rStyle w:val="Hyperlink"/>
          </w:rPr>
          <w:t xml:space="preserve">http://groundwater.ucdavis.edu/files/136426.pdf</w:t>
        </w:r>
      </w:hyperlink>
      <w:r>
        <w:t xml:space="preserve">.</w:t>
      </w:r>
    </w:p>
    <w:bookmarkEnd w:id="194"/>
    <w:bookmarkStart w:id="195"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95"/>
    <w:bookmarkStart w:id="197" w:name="ref-Herbst2019"/>
    <w:p>
      <w:pPr>
        <w:pStyle w:val="Bibliography"/>
      </w:pPr>
      <w:r>
        <w:t xml:space="preserve">Herbst, David B., Scott D. Cooper, Robert Bruce Medhurst, Sheila W. Wiseman, and Carolyn T. Hunsaker. 2019.</w:t>
      </w:r>
      <w:r>
        <w:t xml:space="preserve"> </w:t>
      </w:r>
      <w:r>
        <w:t xml:space="preserve">“</w:t>
      </w:r>
      <w:r>
        <w:t xml:space="preserve">Drought ecohydrology alters the structure and function of benthic invertebrate communities in mountain streams</w:t>
      </w:r>
      <w:r>
        <w:t xml:space="preserve">.”</w:t>
      </w:r>
      <w:r>
        <w:t xml:space="preserve"> </w:t>
      </w:r>
      <w:r>
        <w:rPr>
          <w:iCs/>
          <w:i/>
        </w:rPr>
        <w:t xml:space="preserve">Freshwater Biology</w:t>
      </w:r>
      <w:r>
        <w:t xml:space="preserve"> </w:t>
      </w:r>
      <w:r>
        <w:t xml:space="preserve">64 (5): 886–902.</w:t>
      </w:r>
      <w:r>
        <w:t xml:space="preserve"> </w:t>
      </w:r>
      <w:hyperlink r:id="rId196">
        <w:r>
          <w:rPr>
            <w:rStyle w:val="Hyperlink"/>
          </w:rPr>
          <w:t xml:space="preserve">https://doi.org/10.1111/fwb.13270</w:t>
        </w:r>
      </w:hyperlink>
      <w:r>
        <w:t xml:space="preserve">.</w:t>
      </w:r>
    </w:p>
    <w:bookmarkEnd w:id="197"/>
    <w:bookmarkStart w:id="198"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98"/>
    <w:bookmarkStart w:id="200"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99">
        <w:r>
          <w:rPr>
            <w:rStyle w:val="Hyperlink"/>
          </w:rPr>
          <w:t xml:space="preserve">https://doi.org/10.1007/978-1-4614-7138-7</w:t>
        </w:r>
      </w:hyperlink>
      <w:r>
        <w:t xml:space="preserve">.</w:t>
      </w:r>
    </w:p>
    <w:bookmarkEnd w:id="200"/>
    <w:bookmarkStart w:id="202" w:name="ref-Kevic2018"/>
    <w:p>
      <w:pPr>
        <w:pStyle w:val="Bibliography"/>
      </w:pPr>
      <w:r>
        <w:t xml:space="preserve">Kevic, Maja, Johannes Ortlepp, Uta Mürle, and Christopher T. Robinson. 2018.</w:t>
      </w:r>
      <w:r>
        <w:t xml:space="preserve"> </w:t>
      </w:r>
      <w:r>
        <w:t xml:space="preserve">“</w:t>
      </w:r>
      <w:r>
        <w:t xml:space="preserve">Effects of experimental floods in two rivers with contrasting valley morphologies</w:t>
      </w:r>
      <w:r>
        <w:t xml:space="preserve">.”</w:t>
      </w:r>
      <w:r>
        <w:t xml:space="preserve"> </w:t>
      </w:r>
      <w:r>
        <w:rPr>
          <w:iCs/>
          <w:i/>
        </w:rPr>
        <w:t xml:space="preserve">Fundamental and Applied Limnology</w:t>
      </w:r>
      <w:r>
        <w:t xml:space="preserve"> </w:t>
      </w:r>
      <w:r>
        <w:t xml:space="preserve">192 (2): 145–60.</w:t>
      </w:r>
      <w:r>
        <w:t xml:space="preserve"> </w:t>
      </w:r>
      <w:hyperlink r:id="rId201">
        <w:r>
          <w:rPr>
            <w:rStyle w:val="Hyperlink"/>
          </w:rPr>
          <w:t xml:space="preserve">https://doi.org/10.1127/fal/2018/1177</w:t>
        </w:r>
      </w:hyperlink>
      <w:r>
        <w:t xml:space="preserve">.</w:t>
      </w:r>
    </w:p>
    <w:bookmarkEnd w:id="202"/>
    <w:bookmarkStart w:id="204"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203">
        <w:r>
          <w:rPr>
            <w:rStyle w:val="Hyperlink"/>
          </w:rPr>
          <w:t xml:space="preserve">https://nrm.dfg.ca.gov/FileHandler.ashx?DocumentID=77836</w:t>
        </w:r>
      </w:hyperlink>
      <w:r>
        <w:t xml:space="preserve">.</w:t>
      </w:r>
    </w:p>
    <w:bookmarkEnd w:id="204"/>
    <w:bookmarkStart w:id="205"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205"/>
    <w:bookmarkStart w:id="206"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206"/>
    <w:bookmarkStart w:id="207" w:name="ref-CDFW2023a"/>
    <w:p>
      <w:pPr>
        <w:pStyle w:val="Bibliography"/>
      </w:pPr>
      <w:r>
        <w:t xml:space="preserve">———. 2023.</w:t>
      </w:r>
      <w:r>
        <w:t xml:space="preserve"> </w:t>
      </w:r>
      <w:r>
        <w:t xml:space="preserve">“</w:t>
      </w:r>
      <w:r>
        <w:t xml:space="preserve">2022 SCOTT RIVER SALMON STUDIES</w:t>
      </w:r>
      <w:r>
        <w:t xml:space="preserve">.”</w:t>
      </w:r>
      <w:r>
        <w:t xml:space="preserve"> </w:t>
      </w:r>
      <w:r>
        <w:t xml:space="preserve">Yreka, CA: CDFW.</w:t>
      </w:r>
    </w:p>
    <w:bookmarkEnd w:id="207"/>
    <w:bookmarkStart w:id="209" w:name="ref-Konrad2011"/>
    <w:p>
      <w:pPr>
        <w:pStyle w:val="Bibliography"/>
      </w:pPr>
      <w:r>
        <w:t xml:space="preserve">Konrad, Christopher P., Julian D. Olden, David A. Lytle, Theodore S. Melis, John C. Schmidt, Erin N. Bray, Mary C. Freeman, et al. 2011.</w:t>
      </w:r>
      <w:r>
        <w:t xml:space="preserve"> </w:t>
      </w:r>
      <w:r>
        <w:t xml:space="preserve">“</w:t>
      </w:r>
      <w:r>
        <w:t xml:space="preserve">Large-scale flow experiments for managing river systems</w:t>
      </w:r>
      <w:r>
        <w:t xml:space="preserve">.”</w:t>
      </w:r>
      <w:r>
        <w:t xml:space="preserve"> </w:t>
      </w:r>
      <w:r>
        <w:rPr>
          <w:iCs/>
          <w:i/>
        </w:rPr>
        <w:t xml:space="preserve">BioScience</w:t>
      </w:r>
      <w:r>
        <w:t xml:space="preserve"> </w:t>
      </w:r>
      <w:r>
        <w:t xml:space="preserve">61 (12): 948–59.</w:t>
      </w:r>
      <w:r>
        <w:t xml:space="preserve"> </w:t>
      </w:r>
      <w:hyperlink r:id="rId208">
        <w:r>
          <w:rPr>
            <w:rStyle w:val="Hyperlink"/>
          </w:rPr>
          <w:t xml:space="preserve">https://doi.org/10.1525/bio.2011.61.12.5</w:t>
        </w:r>
      </w:hyperlink>
      <w:r>
        <w:t xml:space="preserve">.</w:t>
      </w:r>
    </w:p>
    <w:bookmarkEnd w:id="209"/>
    <w:bookmarkStart w:id="211" w:name="ref-Lamouroux2015"/>
    <w:p>
      <w:pPr>
        <w:pStyle w:val="Bibliography"/>
      </w:pPr>
      <w:r>
        <w:t xml:space="preserve">Lamouroux, Nicolas, and Jean Michel Olivier. 2015.</w:t>
      </w:r>
      <w:r>
        <w:t xml:space="preserve"> </w:t>
      </w:r>
      <w:r>
        <w:t xml:space="preserve">“</w:t>
      </w:r>
      <w:r>
        <w:t xml:space="preserve">Testing predictions of changes in fish abundance and community structure after flow restoration in four reaches of a large river (French Rh</w:t>
      </w:r>
      <w:r>
        <w:t xml:space="preserve">ô</w:t>
      </w:r>
      <w:r>
        <w:t xml:space="preserve">ne)</w:t>
      </w:r>
      <w:r>
        <w:t xml:space="preserve">.”</w:t>
      </w:r>
      <w:r>
        <w:t xml:space="preserve"> </w:t>
      </w:r>
      <w:r>
        <w:rPr>
          <w:iCs/>
          <w:i/>
        </w:rPr>
        <w:t xml:space="preserve">Freshwater Biology</w:t>
      </w:r>
      <w:r>
        <w:t xml:space="preserve"> </w:t>
      </w:r>
      <w:r>
        <w:t xml:space="preserve">60 (6): 1118–30.</w:t>
      </w:r>
      <w:r>
        <w:t xml:space="preserve"> </w:t>
      </w:r>
      <w:hyperlink r:id="rId210">
        <w:r>
          <w:rPr>
            <w:rStyle w:val="Hyperlink"/>
          </w:rPr>
          <w:t xml:space="preserve">https://doi.org/10.1111/fwb.12324</w:t>
        </w:r>
      </w:hyperlink>
      <w:r>
        <w:t xml:space="preserve">.</w:t>
      </w:r>
    </w:p>
    <w:bookmarkEnd w:id="211"/>
    <w:bookmarkStart w:id="212"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33">
        <w:r>
          <w:rPr>
            <w:rStyle w:val="Hyperlink"/>
          </w:rPr>
          <w:t xml:space="preserve">https://doi.org/10.1002/rra</w:t>
        </w:r>
      </w:hyperlink>
      <w:r>
        <w:t xml:space="preserve">.</w:t>
      </w:r>
    </w:p>
    <w:bookmarkEnd w:id="212"/>
    <w:bookmarkStart w:id="214"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213">
        <w:r>
          <w:rPr>
            <w:rStyle w:val="Hyperlink"/>
          </w:rPr>
          <w:t xml:space="preserve">https://doi.org/10.1029/2020WR028496</w:t>
        </w:r>
      </w:hyperlink>
      <w:r>
        <w:t xml:space="preserve">.</w:t>
      </w:r>
    </w:p>
    <w:bookmarkEnd w:id="214"/>
    <w:bookmarkStart w:id="216" w:name="ref-Lueders2023"/>
    <w:p>
      <w:pPr>
        <w:pStyle w:val="Bibliography"/>
      </w:pPr>
      <w:r>
        <w:t xml:space="preserve">Lueders, Mark B., and Ryan A. McManamay. 2023.</w:t>
      </w:r>
      <w:r>
        <w:t xml:space="preserve"> </w:t>
      </w:r>
      <w:r>
        <w:t xml:space="preserve">“</w:t>
      </w:r>
      <w:r>
        <w:t xml:space="preserve">Species depletion profiles as an alternative to streamflow alteration thresholds in a hydroecological risk assessment</w:t>
      </w:r>
      <w:r>
        <w:t xml:space="preserve">.”</w:t>
      </w:r>
      <w:r>
        <w:t xml:space="preserve"> </w:t>
      </w:r>
      <w:r>
        <w:rPr>
          <w:iCs/>
          <w:i/>
        </w:rPr>
        <w:t xml:space="preserve">Ecological Indicators</w:t>
      </w:r>
      <w:r>
        <w:t xml:space="preserve"> </w:t>
      </w:r>
      <w:r>
        <w:t xml:space="preserve">147 (December 2022): 109989.</w:t>
      </w:r>
      <w:r>
        <w:t xml:space="preserve"> </w:t>
      </w:r>
      <w:hyperlink r:id="rId215">
        <w:r>
          <w:rPr>
            <w:rStyle w:val="Hyperlink"/>
          </w:rPr>
          <w:t xml:space="preserve">https://doi.org/10.1016/j.ecolind.2023.109989</w:t>
        </w:r>
      </w:hyperlink>
      <w:r>
        <w:t xml:space="preserve">.</w:t>
      </w:r>
    </w:p>
    <w:bookmarkEnd w:id="216"/>
    <w:bookmarkStart w:id="218"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217">
        <w:r>
          <w:rPr>
            <w:rStyle w:val="Hyperlink"/>
          </w:rPr>
          <w:t xml:space="preserve">https://pubs.usgs.gov/wsp/1462/report.pdf</w:t>
        </w:r>
      </w:hyperlink>
      <w:r>
        <w:t xml:space="preserve">.</w:t>
      </w:r>
    </w:p>
    <w:bookmarkEnd w:id="218"/>
    <w:bookmarkStart w:id="219"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p>
    <w:bookmarkEnd w:id="219"/>
    <w:bookmarkStart w:id="220"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220"/>
    <w:bookmarkStart w:id="222"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221">
        <w:r>
          <w:rPr>
            <w:rStyle w:val="Hyperlink"/>
          </w:rPr>
          <w:t xml:space="preserve">https://doi.org/10.1111/fwb.13062</w:t>
        </w:r>
      </w:hyperlink>
      <w:r>
        <w:t xml:space="preserve">.</w:t>
      </w:r>
    </w:p>
    <w:bookmarkEnd w:id="222"/>
    <w:bookmarkStart w:id="223"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223"/>
    <w:bookmarkStart w:id="225" w:name="ref-McManamay2015"/>
    <w:p>
      <w:pPr>
        <w:pStyle w:val="Bibliography"/>
      </w:pPr>
      <w:r>
        <w:t xml:space="preserve">McManamay, Ryan A., and Emmanuel A. Frimpong. 2015.</w:t>
      </w:r>
      <w:r>
        <w:t xml:space="preserve"> </w:t>
      </w:r>
      <w:r>
        <w:t xml:space="preserve">“</w:t>
      </w:r>
      <w:r>
        <w:t xml:space="preserve">Hydrologic filtering of fish life history strategies across the United States: Implications for stream flow alteration</w:t>
      </w:r>
      <w:r>
        <w:t xml:space="preserve">.”</w:t>
      </w:r>
      <w:r>
        <w:t xml:space="preserve"> </w:t>
      </w:r>
      <w:r>
        <w:rPr>
          <w:iCs/>
          <w:i/>
        </w:rPr>
        <w:t xml:space="preserve">Ecological Applications</w:t>
      </w:r>
      <w:r>
        <w:t xml:space="preserve"> </w:t>
      </w:r>
      <w:r>
        <w:t xml:space="preserve">25 (1): 243–63.</w:t>
      </w:r>
      <w:r>
        <w:t xml:space="preserve"> </w:t>
      </w:r>
      <w:hyperlink r:id="rId224">
        <w:r>
          <w:rPr>
            <w:rStyle w:val="Hyperlink"/>
          </w:rPr>
          <w:t xml:space="preserve">https://doi.org/10.1890/14-0247.1</w:t>
        </w:r>
      </w:hyperlink>
      <w:r>
        <w:t xml:space="preserve">.</w:t>
      </w:r>
    </w:p>
    <w:bookmarkEnd w:id="225"/>
    <w:bookmarkStart w:id="227"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226">
        <w:r>
          <w:rPr>
            <w:rStyle w:val="Hyperlink"/>
          </w:rPr>
          <w:t xml:space="preserve">https://doi.org/10.1007/s00267-013-0055-3</w:t>
        </w:r>
      </w:hyperlink>
      <w:r>
        <w:t xml:space="preserve">.</w:t>
      </w:r>
    </w:p>
    <w:bookmarkEnd w:id="227"/>
    <w:bookmarkStart w:id="229" w:name="ref-Medallo-Diaz2019"/>
    <w:p>
      <w:pPr>
        <w:pStyle w:val="Bibliography"/>
      </w:pPr>
      <w:r>
        <w:t xml:space="preserve">Mellado-Díaz, Andrés, Jorge Rubén Sánchez-González, Simone Guareschi, Fernando Magdaleno, and Manuel Toro Velasco. 2019.</w:t>
      </w:r>
      <w:r>
        <w:t xml:space="preserve"> </w:t>
      </w:r>
      <w:r>
        <w:t xml:space="preserve">“</w:t>
      </w:r>
      <w:r>
        <w:t xml:space="preserve">Exploring longitudinal trends and recovery gradients in macroinvertebrate communities and biomonitoring tools along regulated rivers</w:t>
      </w:r>
      <w:r>
        <w:t xml:space="preserve">.”</w:t>
      </w:r>
      <w:r>
        <w:t xml:space="preserve"> </w:t>
      </w:r>
      <w:r>
        <w:rPr>
          <w:iCs/>
          <w:i/>
        </w:rPr>
        <w:t xml:space="preserve">Science of the Total Environment</w:t>
      </w:r>
      <w:r>
        <w:t xml:space="preserve"> </w:t>
      </w:r>
      <w:r>
        <w:t xml:space="preserve">695: 133774.</w:t>
      </w:r>
      <w:r>
        <w:t xml:space="preserve"> </w:t>
      </w:r>
      <w:hyperlink r:id="rId228">
        <w:r>
          <w:rPr>
            <w:rStyle w:val="Hyperlink"/>
          </w:rPr>
          <w:t xml:space="preserve">https://doi.org/10.1016/j.scitotenv.2019.133774</w:t>
        </w:r>
      </w:hyperlink>
      <w:r>
        <w:t xml:space="preserve">.</w:t>
      </w:r>
    </w:p>
    <w:bookmarkEnd w:id="229"/>
    <w:bookmarkStart w:id="231" w:name="ref-Monk2006"/>
    <w:p>
      <w:pPr>
        <w:pStyle w:val="Bibliography"/>
      </w:pPr>
      <w:r>
        <w:t xml:space="preserve">Monk, Wendy A., Paul J. Wood, David M. Hannah, Douglas A. Wilson, Chris A. Extence, and Richard P. Chadd. 2006.</w:t>
      </w:r>
      <w:r>
        <w:t xml:space="preserve"> </w:t>
      </w:r>
      <w:r>
        <w:t xml:space="preserve">“</w:t>
      </w:r>
      <w:r>
        <w:t xml:space="preserve">Flow variability and macroinvertebrate community response within riverine systems</w:t>
      </w:r>
      <w:r>
        <w:t xml:space="preserve">.”</w:t>
      </w:r>
      <w:r>
        <w:t xml:space="preserve"> </w:t>
      </w:r>
      <w:r>
        <w:rPr>
          <w:iCs/>
          <w:i/>
        </w:rPr>
        <w:t xml:space="preserve">River Research and Applications</w:t>
      </w:r>
      <w:r>
        <w:t xml:space="preserve"> </w:t>
      </w:r>
      <w:r>
        <w:t xml:space="preserve">22 (5): 595–615.</w:t>
      </w:r>
      <w:r>
        <w:t xml:space="preserve"> </w:t>
      </w:r>
      <w:hyperlink r:id="rId230">
        <w:r>
          <w:rPr>
            <w:rStyle w:val="Hyperlink"/>
          </w:rPr>
          <w:t xml:space="preserve">https://doi.org/10.1002/rra.933</w:t>
        </w:r>
      </w:hyperlink>
      <w:r>
        <w:t xml:space="preserve">.</w:t>
      </w:r>
    </w:p>
    <w:bookmarkEnd w:id="231"/>
    <w:bookmarkStart w:id="232" w:name="ref-Monk2008"/>
    <w:p>
      <w:pPr>
        <w:pStyle w:val="Bibliography"/>
      </w:pPr>
      <w:r>
        <w:t xml:space="preserve">Monk, Wendy A., Paul J. Wood, David M Hannah, and Douglas A Wilson. 2008.</w:t>
      </w:r>
      <w:r>
        <w:t xml:space="preserve"> </w:t>
      </w:r>
      <w:r>
        <w:t xml:space="preserve">“</w:t>
      </w:r>
      <w:r>
        <w:t xml:space="preserve">MACROINVERTEBRATE COMMUNITY RESPONSE TO INTER-ANNUAL AND REGIONAL RIVER FLOW REGIME DYNAMICS</w:t>
      </w:r>
      <w:r>
        <w:t xml:space="preserve">.”</w:t>
      </w:r>
      <w:r>
        <w:t xml:space="preserve"> </w:t>
      </w:r>
      <w:r>
        <w:rPr>
          <w:iCs/>
          <w:i/>
        </w:rPr>
        <w:t xml:space="preserve">River Research and Applications</w:t>
      </w:r>
      <w:r>
        <w:t xml:space="preserve"> </w:t>
      </w:r>
      <w:r>
        <w:t xml:space="preserve">24: 988–1001.</w:t>
      </w:r>
    </w:p>
    <w:bookmarkEnd w:id="232"/>
    <w:bookmarkStart w:id="233" w:name="ref-Moyle2002"/>
    <w:p>
      <w:pPr>
        <w:pStyle w:val="Bibliography"/>
      </w:pPr>
      <w:r>
        <w:t xml:space="preserve">Moyle, P. B. 2002.</w:t>
      </w:r>
      <w:r>
        <w:t xml:space="preserve"> </w:t>
      </w:r>
      <w:r>
        <w:rPr>
          <w:iCs/>
          <w:i/>
        </w:rPr>
        <w:t xml:space="preserve">Inland Fishes of California</w:t>
      </w:r>
      <w:r>
        <w:t xml:space="preserve">. University of California Press.</w:t>
      </w:r>
    </w:p>
    <w:bookmarkEnd w:id="233"/>
    <w:bookmarkStart w:id="234"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33">
        <w:r>
          <w:rPr>
            <w:rStyle w:val="Hyperlink"/>
          </w:rPr>
          <w:t xml:space="preserve">https://doi.org/10.1002/rra</w:t>
        </w:r>
      </w:hyperlink>
      <w:r>
        <w:t xml:space="preserve">.</w:t>
      </w:r>
    </w:p>
    <w:bookmarkEnd w:id="234"/>
    <w:bookmarkStart w:id="236" w:name="ref-NMFS2014"/>
    <w:p>
      <w:pPr>
        <w:pStyle w:val="Bibliography"/>
      </w:pPr>
      <w:r>
        <w:t xml:space="preserve">National Marine Fisheries Service (NMFS). 2014.</w:t>
      </w:r>
      <w:r>
        <w:t xml:space="preserve"> </w:t>
      </w:r>
      <w:r>
        <w:t xml:space="preserve">“</w:t>
      </w:r>
      <w:r>
        <w:t xml:space="preserve">Final SONCC Coho Recovery Plan - Scott River Population</w:t>
      </w:r>
      <w:r>
        <w:t xml:space="preserve">.”</w:t>
      </w:r>
      <w:r>
        <w:t xml:space="preserve"> </w:t>
      </w:r>
      <w:hyperlink r:id="rId235">
        <w:r>
          <w:rPr>
            <w:rStyle w:val="Hyperlink"/>
          </w:rPr>
          <w:t xml:space="preserve">https://www.fisheries.noaa.gov/resource/document/final-recovery-plan-southern-oregon-northern-california-coast-evolutionarily</w:t>
        </w:r>
      </w:hyperlink>
      <w:r>
        <w:t xml:space="preserve">.</w:t>
      </w:r>
    </w:p>
    <w:bookmarkEnd w:id="236"/>
    <w:bookmarkStart w:id="237"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237"/>
    <w:bookmarkStart w:id="239" w:name="ref-NCRWQCB2005"/>
    <w:p>
      <w:pPr>
        <w:pStyle w:val="Bibliography"/>
      </w:pPr>
      <w:r>
        <w:t xml:space="preserve">North Coast Regional Water Quality Control Board (NCRWQCB).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238">
        <w:r>
          <w:rPr>
            <w:rStyle w:val="Hyperlink"/>
          </w:rPr>
          <w:t xml:space="preserve">https://www.waterboards.ca.gov/water{\_}issues/programs/tmdl/records/region{\_}1/2010/ref3872.pdf</w:t>
        </w:r>
      </w:hyperlink>
      <w:r>
        <w:t xml:space="preserve">.</w:t>
      </w:r>
    </w:p>
    <w:bookmarkEnd w:id="239"/>
    <w:bookmarkStart w:id="240" w:name="ref-NCRWQCB2006b"/>
    <w:p>
      <w:pPr>
        <w:pStyle w:val="Bibliography"/>
      </w:pPr>
      <w:r>
        <w:t xml:space="preserve">———. 2006.</w:t>
      </w:r>
      <w:r>
        <w:t xml:space="preserve"> </w:t>
      </w:r>
      <w:r>
        <w:t xml:space="preserve">“</w:t>
      </w:r>
      <w:r>
        <w:t xml:space="preserve">Action Plan for the Scott River Sediment and Temperature Total Maximum Daily Loads (Basin Plan Language)</w:t>
      </w:r>
      <w:r>
        <w:t xml:space="preserve">.”</w:t>
      </w:r>
    </w:p>
    <w:bookmarkEnd w:id="240"/>
    <w:bookmarkStart w:id="242"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241">
        <w:r>
          <w:rPr>
            <w:rStyle w:val="Hyperlink"/>
          </w:rPr>
          <w:t xml:space="preserve">https://doi.org/10.1017/CBO9781107415324.004</w:t>
        </w:r>
      </w:hyperlink>
      <w:r>
        <w:t xml:space="preserve">.</w:t>
      </w:r>
    </w:p>
    <w:bookmarkEnd w:id="242"/>
    <w:bookmarkStart w:id="243"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243"/>
    <w:bookmarkStart w:id="244" w:name="ref-Pearson1895"/>
    <w:p>
      <w:pPr>
        <w:pStyle w:val="Bibliography"/>
      </w:pPr>
      <w:r>
        <w:t xml:space="preserve">Pearson, Karl. 1895.</w:t>
      </w:r>
      <w:r>
        <w:t xml:space="preserve"> </w:t>
      </w:r>
      <w:r>
        <w:t xml:space="preserve">“</w:t>
      </w:r>
      <w:r>
        <w:t xml:space="preserve">Note on Regression and Inheritance in the Case of Two Parents</w:t>
      </w:r>
      <w:r>
        <w:t xml:space="preserve">.”</w:t>
      </w:r>
      <w:r>
        <w:t xml:space="preserve"> </w:t>
      </w:r>
      <w:r>
        <w:rPr>
          <w:iCs/>
          <w:i/>
        </w:rPr>
        <w:t xml:space="preserve">Proceedings of the Royal Society of London Series I</w:t>
      </w:r>
      <w:r>
        <w:t xml:space="preserve"> </w:t>
      </w:r>
      <w:r>
        <w:t xml:space="preserve">58 (Jan): 240–42.</w:t>
      </w:r>
    </w:p>
    <w:bookmarkEnd w:id="244"/>
    <w:bookmarkStart w:id="246"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245">
        <w:r>
          <w:rPr>
            <w:rStyle w:val="Hyperlink"/>
          </w:rPr>
          <w:t xml:space="preserve">https://doi.org/10.3389/fenvs.2021.790667</w:t>
        </w:r>
      </w:hyperlink>
      <w:r>
        <w:t xml:space="preserve">.</w:t>
      </w:r>
    </w:p>
    <w:bookmarkEnd w:id="246"/>
    <w:bookmarkStart w:id="248" w:name="ref-Peterson2016"/>
    <w:p>
      <w:pPr>
        <w:pStyle w:val="Bibliography"/>
      </w:pPr>
      <w:r>
        <w:t xml:space="preserve">Peterson, James T., and Mary C. Freeman. 2016.</w:t>
      </w:r>
      <w:r>
        <w:t xml:space="preserve"> </w:t>
      </w:r>
      <w:r>
        <w:t xml:space="preserve">“</w:t>
      </w:r>
      <w:r>
        <w:t xml:space="preserve">Integrating modeling, monitoring, and management to reduce critical uncertainties in water resource decision making</w:t>
      </w:r>
      <w:r>
        <w:t xml:space="preserve">.”</w:t>
      </w:r>
      <w:r>
        <w:t xml:space="preserve"> </w:t>
      </w:r>
      <w:r>
        <w:rPr>
          <w:iCs/>
          <w:i/>
        </w:rPr>
        <w:t xml:space="preserve">Journal of Environmental Management</w:t>
      </w:r>
      <w:r>
        <w:t xml:space="preserve"> </w:t>
      </w:r>
      <w:r>
        <w:t xml:space="preserve">183: 361–70.</w:t>
      </w:r>
      <w:r>
        <w:t xml:space="preserve"> </w:t>
      </w:r>
      <w:hyperlink r:id="rId247">
        <w:r>
          <w:rPr>
            <w:rStyle w:val="Hyperlink"/>
          </w:rPr>
          <w:t xml:space="preserve">https://doi.org/10.1016/j.jenvman.2016.03.015</w:t>
        </w:r>
      </w:hyperlink>
      <w:r>
        <w:t xml:space="preserve">.</w:t>
      </w:r>
    </w:p>
    <w:bookmarkEnd w:id="248"/>
    <w:bookmarkStart w:id="250"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249">
        <w:r>
          <w:rPr>
            <w:rStyle w:val="Hyperlink"/>
          </w:rPr>
          <w:t xml:space="preserve">https://doi.org/10.2307/1313099</w:t>
        </w:r>
      </w:hyperlink>
      <w:r>
        <w:t xml:space="preserve">.</w:t>
      </w:r>
    </w:p>
    <w:bookmarkEnd w:id="250"/>
    <w:bookmarkStart w:id="252"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51">
        <w:r>
          <w:rPr>
            <w:rStyle w:val="Hyperlink"/>
          </w:rPr>
          <w:t xml:space="preserve">https://doi.org/10.1111/j.1365-2427.2009.02204.x</w:t>
        </w:r>
      </w:hyperlink>
      <w:r>
        <w:t xml:space="preserve">.</w:t>
      </w:r>
    </w:p>
    <w:bookmarkEnd w:id="252"/>
    <w:bookmarkStart w:id="254"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253">
        <w:r>
          <w:rPr>
            <w:rStyle w:val="Hyperlink"/>
          </w:rPr>
          <w:t xml:space="preserve">https://doi.org/10.1111/j.1365-2427.2009.02272.x</w:t>
        </w:r>
      </w:hyperlink>
      <w:r>
        <w:t xml:space="preserve">.</w:t>
      </w:r>
    </w:p>
    <w:bookmarkEnd w:id="254"/>
    <w:bookmarkStart w:id="256" w:name="ref-Qian2016"/>
    <w:p>
      <w:pPr>
        <w:pStyle w:val="Bibliography"/>
      </w:pPr>
      <w:r>
        <w:t xml:space="preserve">Qian, Kuimei, Xia Liu, and Yuwei Chen. 2016.</w:t>
      </w:r>
      <w:r>
        <w:t xml:space="preserve"> </w:t>
      </w:r>
      <w:r>
        <w:t xml:space="preserve">“</w:t>
      </w:r>
      <w:r>
        <w:t xml:space="preserve">Effects of water level fluctuation on phytoplankton succession in Poyang Lake, China – A five year study</w:t>
      </w:r>
      <w:r>
        <w:t xml:space="preserve">.”</w:t>
      </w:r>
      <w:r>
        <w:t xml:space="preserve"> </w:t>
      </w:r>
      <w:r>
        <w:rPr>
          <w:iCs/>
          <w:i/>
        </w:rPr>
        <w:t xml:space="preserve">Ecohydrology and Hydrobiology</w:t>
      </w:r>
      <w:r>
        <w:t xml:space="preserve"> </w:t>
      </w:r>
      <w:r>
        <w:t xml:space="preserve">16 (3): 175–84.</w:t>
      </w:r>
      <w:r>
        <w:t xml:space="preserve"> </w:t>
      </w:r>
      <w:hyperlink r:id="rId255">
        <w:r>
          <w:rPr>
            <w:rStyle w:val="Hyperlink"/>
          </w:rPr>
          <w:t xml:space="preserve">https://doi.org/10.1016/j.ecohyd.2016.08.001</w:t>
        </w:r>
      </w:hyperlink>
      <w:r>
        <w:t xml:space="preserve">.</w:t>
      </w:r>
    </w:p>
    <w:bookmarkEnd w:id="256"/>
    <w:bookmarkStart w:id="258"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257">
        <w:r>
          <w:rPr>
            <w:rStyle w:val="Hyperlink"/>
          </w:rPr>
          <w:t xml:space="preserve">https://www.siskiyourcd.com/resources</w:t>
        </w:r>
      </w:hyperlink>
      <w:r>
        <w:t xml:space="preserve">.</w:t>
      </w:r>
    </w:p>
    <w:bookmarkEnd w:id="258"/>
    <w:bookmarkStart w:id="260"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259">
        <w:r>
          <w:rPr>
            <w:rStyle w:val="Hyperlink"/>
          </w:rPr>
          <w:t xml:space="preserve">https://doi.org/10.1371/journal.pone.0098392</w:t>
        </w:r>
      </w:hyperlink>
      <w:r>
        <w:t xml:space="preserve">.</w:t>
      </w:r>
    </w:p>
    <w:bookmarkEnd w:id="260"/>
    <w:bookmarkStart w:id="262" w:name="ref-RManual"/>
    <w:p>
      <w:pPr>
        <w:pStyle w:val="Bibliography"/>
      </w:pPr>
      <w:r>
        <w:t xml:space="preserve">R Core Team. 2020.</w:t>
      </w:r>
      <w:r>
        <w:t xml:space="preserve"> </w:t>
      </w:r>
      <w:r>
        <w:t xml:space="preserve">“</w:t>
      </w:r>
      <w:r>
        <w:t xml:space="preserve">R: A Language and Environment for Statistical Computing</w:t>
      </w:r>
      <w:r>
        <w:t xml:space="preserve">.”</w:t>
      </w:r>
      <w:r>
        <w:t xml:space="preserve"> </w:t>
      </w:r>
      <w:r>
        <w:t xml:space="preserve">Vienna, Austria: R Foundation for Statistical Computing.</w:t>
      </w:r>
      <w:r>
        <w:t xml:space="preserve"> </w:t>
      </w:r>
      <w:hyperlink r:id="rId261">
        <w:r>
          <w:rPr>
            <w:rStyle w:val="Hyperlink"/>
          </w:rPr>
          <w:t xml:space="preserve">https://www.r-project.org/</w:t>
        </w:r>
      </w:hyperlink>
      <w:r>
        <w:t xml:space="preserve">.</w:t>
      </w:r>
    </w:p>
    <w:bookmarkEnd w:id="262"/>
    <w:bookmarkStart w:id="264" w:name="ref-Ranstam2018"/>
    <w:p>
      <w:pPr>
        <w:pStyle w:val="Bibliography"/>
      </w:pPr>
      <w:r>
        <w:t xml:space="preserve">Ranstam, J., and J. A. Cook. 2018.</w:t>
      </w:r>
      <w:r>
        <w:t xml:space="preserve"> </w:t>
      </w:r>
      <w:r>
        <w:t xml:space="preserve">“</w:t>
      </w:r>
      <w:r>
        <w:t xml:space="preserve">LASSO regression</w:t>
      </w:r>
      <w:r>
        <w:t xml:space="preserve">.”</w:t>
      </w:r>
      <w:r>
        <w:t xml:space="preserve"> </w:t>
      </w:r>
      <w:r>
        <w:rPr>
          <w:iCs/>
          <w:i/>
        </w:rPr>
        <w:t xml:space="preserve">British Journal of Surgery</w:t>
      </w:r>
      <w:r>
        <w:t xml:space="preserve"> </w:t>
      </w:r>
      <w:r>
        <w:t xml:space="preserve">105 (10): 1348.</w:t>
      </w:r>
      <w:r>
        <w:t xml:space="preserve"> </w:t>
      </w:r>
      <w:hyperlink r:id="rId263">
        <w:r>
          <w:rPr>
            <w:rStyle w:val="Hyperlink"/>
          </w:rPr>
          <w:t xml:space="preserve">https://doi.org/10.1002/bjs.10895</w:t>
        </w:r>
      </w:hyperlink>
      <w:r>
        <w:t xml:space="preserve">.</w:t>
      </w:r>
    </w:p>
    <w:bookmarkEnd w:id="264"/>
    <w:bookmarkStart w:id="266" w:name="ref-Richter2006"/>
    <w:p>
      <w:pPr>
        <w:pStyle w:val="Bibliography"/>
      </w:pPr>
      <w:r>
        <w:t xml:space="preserve">Richter, Brian D., Andrew T. Warner, Judy L. Meyer, and Kim Lutz. 2006.</w:t>
      </w:r>
      <w:r>
        <w:t xml:space="preserve"> </w:t>
      </w:r>
      <w:r>
        <w:t xml:space="preserve">“</w:t>
      </w:r>
      <w:r>
        <w:t xml:space="preserve">A collaborative and adaptive process for developing environmental flow recommendations</w:t>
      </w:r>
      <w:r>
        <w:t xml:space="preserve">.”</w:t>
      </w:r>
      <w:r>
        <w:t xml:space="preserve"> </w:t>
      </w:r>
      <w:r>
        <w:rPr>
          <w:iCs/>
          <w:i/>
        </w:rPr>
        <w:t xml:space="preserve">River Research and Applications</w:t>
      </w:r>
      <w:r>
        <w:t xml:space="preserve"> </w:t>
      </w:r>
      <w:r>
        <w:t xml:space="preserve">22 (3): 297–318.</w:t>
      </w:r>
      <w:r>
        <w:t xml:space="preserve"> </w:t>
      </w:r>
      <w:hyperlink r:id="rId265">
        <w:r>
          <w:rPr>
            <w:rStyle w:val="Hyperlink"/>
          </w:rPr>
          <w:t xml:space="preserve">https://doi.org/10.1002/rra.892</w:t>
        </w:r>
      </w:hyperlink>
      <w:r>
        <w:t xml:space="preserve">.</w:t>
      </w:r>
    </w:p>
    <w:bookmarkEnd w:id="266"/>
    <w:bookmarkStart w:id="268" w:name="ref-Riis2008"/>
    <w:p>
      <w:pPr>
        <w:pStyle w:val="Bibliography"/>
      </w:pPr>
      <w:r>
        <w:t xml:space="preserve">Riis, Tenna, Alastair M. Suren, Bente Clausen, and Kaj Sand-Jensen. 2008.</w:t>
      </w:r>
      <w:r>
        <w:t xml:space="preserve"> </w:t>
      </w:r>
      <w:r>
        <w:t xml:space="preserve">“</w:t>
      </w:r>
      <w:r>
        <w:t xml:space="preserve">Vegetation and flow regime in lowland streams</w:t>
      </w:r>
      <w:r>
        <w:t xml:space="preserve">.”</w:t>
      </w:r>
      <w:r>
        <w:t xml:space="preserve"> </w:t>
      </w:r>
      <w:r>
        <w:rPr>
          <w:iCs/>
          <w:i/>
        </w:rPr>
        <w:t xml:space="preserve">Freshwater Biology</w:t>
      </w:r>
      <w:r>
        <w:t xml:space="preserve"> </w:t>
      </w:r>
      <w:r>
        <w:t xml:space="preserve">53 (8): 1531–43.</w:t>
      </w:r>
      <w:r>
        <w:t xml:space="preserve"> </w:t>
      </w:r>
      <w:hyperlink r:id="rId267">
        <w:r>
          <w:rPr>
            <w:rStyle w:val="Hyperlink"/>
          </w:rPr>
          <w:t xml:space="preserve">https://doi.org/10.1111/j.1365-2427.2008.01987.x</w:t>
        </w:r>
      </w:hyperlink>
      <w:r>
        <w:t xml:space="preserve">.</w:t>
      </w:r>
    </w:p>
    <w:bookmarkEnd w:id="268"/>
    <w:bookmarkStart w:id="270"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269">
        <w:r>
          <w:rPr>
            <w:rStyle w:val="Hyperlink"/>
          </w:rPr>
          <w:t xml:space="preserve">https://doi.org/10.2307/3868443</w:t>
        </w:r>
      </w:hyperlink>
      <w:r>
        <w:t xml:space="preserve">.</w:t>
      </w:r>
    </w:p>
    <w:bookmarkEnd w:id="270"/>
    <w:bookmarkStart w:id="272"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271">
        <w:r>
          <w:rPr>
            <w:rStyle w:val="Hyperlink"/>
          </w:rPr>
          <w:t xml:space="preserve">https://doi.org/10.1577/t01-126</w:t>
        </w:r>
      </w:hyperlink>
      <w:r>
        <w:t xml:space="preserve">.</w:t>
      </w:r>
    </w:p>
    <w:bookmarkEnd w:id="272"/>
    <w:bookmarkStart w:id="274" w:name="ref-Rosenfeld2017"/>
    <w:p>
      <w:pPr>
        <w:pStyle w:val="Bibliography"/>
      </w:pPr>
      <w:r>
        <w:t xml:space="preserve">Rosenfeld, Jordan S. 2017.</w:t>
      </w:r>
      <w:r>
        <w:t xml:space="preserve"> </w:t>
      </w:r>
      <w:r>
        <w:t xml:space="preserve">“</w:t>
      </w:r>
      <w:r>
        <w:t xml:space="preserve">Developing flow–ecology relationships: Implications of nonlinear biological responses for water management</w:t>
      </w:r>
      <w:r>
        <w:t xml:space="preserve">.”</w:t>
      </w:r>
      <w:r>
        <w:t xml:space="preserve"> </w:t>
      </w:r>
      <w:r>
        <w:rPr>
          <w:iCs/>
          <w:i/>
        </w:rPr>
        <w:t xml:space="preserve">Freshwater Biology</w:t>
      </w:r>
      <w:r>
        <w:t xml:space="preserve"> </w:t>
      </w:r>
      <w:r>
        <w:t xml:space="preserve">62 (8): 1305–24.</w:t>
      </w:r>
      <w:r>
        <w:t xml:space="preserve"> </w:t>
      </w:r>
      <w:hyperlink r:id="rId273">
        <w:r>
          <w:rPr>
            <w:rStyle w:val="Hyperlink"/>
          </w:rPr>
          <w:t xml:space="preserve">https://doi.org/10.1111/fwb.12948</w:t>
        </w:r>
      </w:hyperlink>
      <w:r>
        <w:t xml:space="preserve">.</w:t>
      </w:r>
    </w:p>
    <w:bookmarkEnd w:id="274"/>
    <w:bookmarkStart w:id="276" w:name="ref-Saby2022"/>
    <w:p>
      <w:pPr>
        <w:pStyle w:val="Bibliography"/>
      </w:pPr>
      <w:r>
        <w:t xml:space="preserve">Saby, Linnea, Kevin L. McKee, Prakrut Kansara, Jonathan L. Goodall, Lawrence E. Band, and Venkataraman Lakshmi. 2022.</w:t>
      </w:r>
      <w:r>
        <w:t xml:space="preserve"> </w:t>
      </w:r>
      <w:r>
        <w:t xml:space="preserve">“</w:t>
      </w:r>
      <w:r>
        <w:t xml:space="preserve">Sensitivity of Remotely Sensed Vegetation to Hydrologic Predictors across the Colorado River Basin, 2001–2019</w:t>
      </w:r>
      <w:r>
        <w:t xml:space="preserve">.”</w:t>
      </w:r>
      <w:r>
        <w:t xml:space="preserve"> </w:t>
      </w:r>
      <w:r>
        <w:rPr>
          <w:iCs/>
          <w:i/>
        </w:rPr>
        <w:t xml:space="preserve">Journal of the American Water Resources Association</w:t>
      </w:r>
      <w:r>
        <w:t xml:space="preserve"> </w:t>
      </w:r>
      <w:r>
        <w:t xml:space="preserve">58 (6): 1017–29.</w:t>
      </w:r>
      <w:r>
        <w:t xml:space="preserve"> </w:t>
      </w:r>
      <w:hyperlink r:id="rId275">
        <w:r>
          <w:rPr>
            <w:rStyle w:val="Hyperlink"/>
          </w:rPr>
          <w:t xml:space="preserve">https://doi.org/10.1111/1752-1688.12965</w:t>
        </w:r>
      </w:hyperlink>
      <w:r>
        <w:t xml:space="preserve">.</w:t>
      </w:r>
    </w:p>
    <w:bookmarkEnd w:id="276"/>
    <w:bookmarkStart w:id="277" w:name="ref-CRMP2000"/>
    <w:p>
      <w:pPr>
        <w:pStyle w:val="Bibliography"/>
      </w:pPr>
      <w:r>
        <w:t xml:space="preserve">Scott River Coordinated Resource Management Planning Comittee, and Scott River Watershed Council (SRWC). 2000.</w:t>
      </w:r>
      <w:r>
        <w:t xml:space="preserve"> </w:t>
      </w:r>
      <w:r>
        <w:t xml:space="preserve">“</w:t>
      </w:r>
      <w:r>
        <w:t xml:space="preserve">Final Report</w:t>
      </w:r>
      <w:r>
        <w:t xml:space="preserve">.”</w:t>
      </w:r>
    </w:p>
    <w:bookmarkEnd w:id="277"/>
    <w:bookmarkStart w:id="279"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278">
        <w:r>
          <w:rPr>
            <w:rStyle w:val="Hyperlink"/>
          </w:rPr>
          <w:t xml:space="preserve">https://www.scottwatertrust.org/blank</w:t>
        </w:r>
      </w:hyperlink>
      <w:r>
        <w:t xml:space="preserve">.</w:t>
      </w:r>
    </w:p>
    <w:bookmarkEnd w:id="279"/>
    <w:bookmarkStart w:id="281" w:name="ref-SRWC2018"/>
    <w:p>
      <w:pPr>
        <w:pStyle w:val="Bibliography"/>
      </w:pPr>
      <w:r>
        <w:t xml:space="preserve">Scott River Watershed Council (SRWC).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280">
        <w:r>
          <w:rPr>
            <w:rStyle w:val="Hyperlink"/>
          </w:rPr>
          <w:t xml:space="preserve">https://www.scottriverwatershedcouncil.com/scott-river-westside-planning-proje</w:t>
        </w:r>
      </w:hyperlink>
      <w:r>
        <w:t xml:space="preserve">.</w:t>
      </w:r>
    </w:p>
    <w:bookmarkEnd w:id="281"/>
    <w:bookmarkStart w:id="282" w:name="ref-SRWC2005"/>
    <w:p>
      <w:pPr>
        <w:pStyle w:val="Bibliography"/>
      </w:pPr>
      <w:r>
        <w:t xml:space="preserve">Scott River Watershed Council (SRWC), and Siskiyou Resource Conservation District (RCD). 2005.</w:t>
      </w:r>
      <w:r>
        <w:t xml:space="preserve"> </w:t>
      </w:r>
      <w:r>
        <w:t xml:space="preserve">“</w:t>
      </w:r>
      <w:r>
        <w:t xml:space="preserve">Initial Phase of the Scott River Watershed Council Strategic Action Plan</w:t>
      </w:r>
      <w:r>
        <w:t xml:space="preserve">.”</w:t>
      </w:r>
      <w:r>
        <w:t xml:space="preserve"> </w:t>
      </w:r>
      <w:r>
        <w:t xml:space="preserve">October. Etna, CA.</w:t>
      </w:r>
      <w:r>
        <w:t xml:space="preserve"> </w:t>
      </w:r>
      <w:hyperlink r:id="rId257">
        <w:r>
          <w:rPr>
            <w:rStyle w:val="Hyperlink"/>
          </w:rPr>
          <w:t xml:space="preserve">https://www.siskiyourcd.com/resources</w:t>
        </w:r>
      </w:hyperlink>
      <w:r>
        <w:t xml:space="preserve">.</w:t>
      </w:r>
    </w:p>
    <w:bookmarkEnd w:id="282"/>
    <w:bookmarkStart w:id="283"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283"/>
    <w:bookmarkStart w:id="285"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284">
        <w:r>
          <w:rPr>
            <w:rStyle w:val="Hyperlink"/>
          </w:rPr>
          <w:t xml:space="preserve">https://doi.org/10.1007/s00267-012-9864-z</w:t>
        </w:r>
      </w:hyperlink>
      <w:r>
        <w:t xml:space="preserve">.</w:t>
      </w:r>
    </w:p>
    <w:bookmarkEnd w:id="285"/>
    <w:bookmarkStart w:id="287" w:name="ref-Sinnathamby2018"/>
    <w:p>
      <w:pPr>
        <w:pStyle w:val="Bibliography"/>
      </w:pPr>
      <w:r>
        <w:t xml:space="preserve">Sinnathamby, Sumathy, Kyle R. Douglas-Mankin, Muluken E. Muche, Stacy L. Hutchinson, and Aavudai Anandhi. 2018.</w:t>
      </w:r>
      <w:r>
        <w:t xml:space="preserve"> </w:t>
      </w:r>
      <w:r>
        <w:t xml:space="preserve">“</w:t>
      </w:r>
      <w:r>
        <w:t xml:space="preserve">Ecohydrological index, native fish, and climate trends and relationships in the Kansas River basin</w:t>
      </w:r>
      <w:r>
        <w:t xml:space="preserve">.”</w:t>
      </w:r>
      <w:r>
        <w:t xml:space="preserve"> </w:t>
      </w:r>
      <w:r>
        <w:rPr>
          <w:iCs/>
          <w:i/>
        </w:rPr>
        <w:t xml:space="preserve">Ecohydrology</w:t>
      </w:r>
      <w:r>
        <w:t xml:space="preserve"> </w:t>
      </w:r>
      <w:r>
        <w:t xml:space="preserve">11 (1): 1–18.</w:t>
      </w:r>
      <w:r>
        <w:t xml:space="preserve"> </w:t>
      </w:r>
      <w:hyperlink r:id="rId286">
        <w:r>
          <w:rPr>
            <w:rStyle w:val="Hyperlink"/>
          </w:rPr>
          <w:t xml:space="preserve">https://doi.org/10.1002/eco.1909</w:t>
        </w:r>
      </w:hyperlink>
      <w:r>
        <w:t xml:space="preserve">.</w:t>
      </w:r>
    </w:p>
    <w:bookmarkEnd w:id="287"/>
    <w:bookmarkStart w:id="289"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288">
        <w:r>
          <w:rPr>
            <w:rStyle w:val="Hyperlink"/>
          </w:rPr>
          <w:t xml:space="preserve">https://www.co.siskiyou.ca.us/naturalresources/page/scott-valley-gsp-chapters</w:t>
        </w:r>
      </w:hyperlink>
      <w:r>
        <w:t xml:space="preserve">.</w:t>
      </w:r>
    </w:p>
    <w:bookmarkEnd w:id="289"/>
    <w:bookmarkStart w:id="290" w:name="ref-SiskiyouRCD1994"/>
    <w:p>
      <w:pPr>
        <w:pStyle w:val="Bibliography"/>
      </w:pPr>
      <w:r>
        <w:t xml:space="preserve">Siskiyou RCD. 1994.</w:t>
      </w:r>
      <w:r>
        <w:t xml:space="preserve"> </w:t>
      </w:r>
      <w:r>
        <w:t xml:space="preserve">“</w:t>
      </w:r>
      <w:r>
        <w:t xml:space="preserve">Scott Valley Irrigation District Study</w:t>
      </w:r>
      <w:r>
        <w:t xml:space="preserve">.”</w:t>
      </w:r>
    </w:p>
    <w:bookmarkEnd w:id="290"/>
    <w:bookmarkStart w:id="291"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257">
        <w:r>
          <w:rPr>
            <w:rStyle w:val="Hyperlink"/>
          </w:rPr>
          <w:t xml:space="preserve">https://www.siskiyourcd.com/resources</w:t>
        </w:r>
      </w:hyperlink>
      <w:r>
        <w:t xml:space="preserve">.</w:t>
      </w:r>
    </w:p>
    <w:bookmarkEnd w:id="291"/>
    <w:bookmarkStart w:id="292"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257">
        <w:r>
          <w:rPr>
            <w:rStyle w:val="Hyperlink"/>
          </w:rPr>
          <w:t xml:space="preserve">https://www.siskiyourcd.com/resources</w:t>
        </w:r>
      </w:hyperlink>
      <w:r>
        <w:t xml:space="preserve">.</w:t>
      </w:r>
    </w:p>
    <w:bookmarkEnd w:id="292"/>
    <w:bookmarkStart w:id="293"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257">
        <w:r>
          <w:rPr>
            <w:rStyle w:val="Hyperlink"/>
          </w:rPr>
          <w:t xml:space="preserve">https://www.siskiyourcd.com/resources</w:t>
        </w:r>
      </w:hyperlink>
      <w:r>
        <w:t xml:space="preserve">.</w:t>
      </w:r>
    </w:p>
    <w:bookmarkEnd w:id="293"/>
    <w:bookmarkStart w:id="294"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257">
        <w:r>
          <w:rPr>
            <w:rStyle w:val="Hyperlink"/>
          </w:rPr>
          <w:t xml:space="preserve">https://www.siskiyourcd.com/resources</w:t>
        </w:r>
      </w:hyperlink>
      <w:r>
        <w:t xml:space="preserve">.</w:t>
      </w:r>
    </w:p>
    <w:bookmarkEnd w:id="294"/>
    <w:bookmarkStart w:id="295"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257">
        <w:r>
          <w:rPr>
            <w:rStyle w:val="Hyperlink"/>
          </w:rPr>
          <w:t xml:space="preserve">https://www.siskiyourcd.com/resources</w:t>
        </w:r>
      </w:hyperlink>
      <w:r>
        <w:t xml:space="preserve">.</w:t>
      </w:r>
    </w:p>
    <w:bookmarkEnd w:id="295"/>
    <w:bookmarkStart w:id="296"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257">
        <w:r>
          <w:rPr>
            <w:rStyle w:val="Hyperlink"/>
          </w:rPr>
          <w:t xml:space="preserve">https://www.siskiyourcd.com/resources</w:t>
        </w:r>
      </w:hyperlink>
      <w:r>
        <w:t xml:space="preserve">.</w:t>
      </w:r>
    </w:p>
    <w:bookmarkEnd w:id="296"/>
    <w:bookmarkStart w:id="297"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257">
        <w:r>
          <w:rPr>
            <w:rStyle w:val="Hyperlink"/>
          </w:rPr>
          <w:t xml:space="preserve">https://www.siskiyourcd.com/resources</w:t>
        </w:r>
      </w:hyperlink>
      <w:r>
        <w:t xml:space="preserve">.</w:t>
      </w:r>
    </w:p>
    <w:bookmarkEnd w:id="297"/>
    <w:bookmarkStart w:id="298"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257">
        <w:r>
          <w:rPr>
            <w:rStyle w:val="Hyperlink"/>
          </w:rPr>
          <w:t xml:space="preserve">https://www.siskiyourcd.com/resources</w:t>
        </w:r>
      </w:hyperlink>
      <w:r>
        <w:t xml:space="preserve">.</w:t>
      </w:r>
    </w:p>
    <w:bookmarkEnd w:id="298"/>
    <w:bookmarkStart w:id="299"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257">
        <w:r>
          <w:rPr>
            <w:rStyle w:val="Hyperlink"/>
          </w:rPr>
          <w:t xml:space="preserve">https://www.siskiyourcd.com/resources</w:t>
        </w:r>
      </w:hyperlink>
      <w:r>
        <w:t xml:space="preserve">.</w:t>
      </w:r>
    </w:p>
    <w:bookmarkEnd w:id="299"/>
    <w:bookmarkStart w:id="300"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257">
        <w:r>
          <w:rPr>
            <w:rStyle w:val="Hyperlink"/>
          </w:rPr>
          <w:t xml:space="preserve">https://www.siskiyourcd.com/resources</w:t>
        </w:r>
      </w:hyperlink>
      <w:r>
        <w:t xml:space="preserve">.</w:t>
      </w:r>
    </w:p>
    <w:bookmarkEnd w:id="300"/>
    <w:bookmarkStart w:id="301"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257">
        <w:r>
          <w:rPr>
            <w:rStyle w:val="Hyperlink"/>
          </w:rPr>
          <w:t xml:space="preserve">https://www.siskiyourcd.com/resources</w:t>
        </w:r>
      </w:hyperlink>
      <w:r>
        <w:t xml:space="preserve">.</w:t>
      </w:r>
    </w:p>
    <w:bookmarkEnd w:id="301"/>
    <w:bookmarkStart w:id="302"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257">
        <w:r>
          <w:rPr>
            <w:rStyle w:val="Hyperlink"/>
          </w:rPr>
          <w:t xml:space="preserve">https://www.siskiyourcd.com/resources</w:t>
        </w:r>
      </w:hyperlink>
      <w:r>
        <w:t xml:space="preserve">.</w:t>
      </w:r>
    </w:p>
    <w:bookmarkEnd w:id="302"/>
    <w:bookmarkStart w:id="303"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257">
        <w:r>
          <w:rPr>
            <w:rStyle w:val="Hyperlink"/>
          </w:rPr>
          <w:t xml:space="preserve">https://www.siskiyourcd.com/resources</w:t>
        </w:r>
      </w:hyperlink>
      <w:r>
        <w:t xml:space="preserve">.</w:t>
      </w:r>
    </w:p>
    <w:bookmarkEnd w:id="303"/>
    <w:bookmarkStart w:id="305"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304">
        <w:r>
          <w:rPr>
            <w:rStyle w:val="Hyperlink"/>
          </w:rPr>
          <w:t xml:space="preserve">https://doi.org/10.1002/eco.1745</w:t>
        </w:r>
      </w:hyperlink>
      <w:r>
        <w:t xml:space="preserve">.</w:t>
      </w:r>
    </w:p>
    <w:bookmarkEnd w:id="305"/>
    <w:bookmarkStart w:id="306"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306"/>
    <w:bookmarkStart w:id="307"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307"/>
    <w:bookmarkStart w:id="309" w:name="ref-Stewart-Koster2011"/>
    <w:p>
      <w:pPr>
        <w:pStyle w:val="Bibliography"/>
      </w:pPr>
      <w:r>
        <w:t xml:space="preserve">Stewart-Koster, B., J. D. Olden, M. J. Kennard, B. J. Pusey, E. L. Boone, M. Douglas, and S. Jackson. 2011.</w:t>
      </w:r>
      <w:r>
        <w:t xml:space="preserve"> </w:t>
      </w:r>
      <w:r>
        <w:t xml:space="preserve">“</w:t>
      </w:r>
      <w:r>
        <w:t xml:space="preserve">Fish response to the temporal hierarchy of the natural flow regime in the Daly River, northern Australia</w:t>
      </w:r>
      <w:r>
        <w:t xml:space="preserve">.”</w:t>
      </w:r>
      <w:r>
        <w:t xml:space="preserve"> </w:t>
      </w:r>
      <w:r>
        <w:rPr>
          <w:iCs/>
          <w:i/>
        </w:rPr>
        <w:t xml:space="preserve">Journal of Fish Biology</w:t>
      </w:r>
      <w:r>
        <w:t xml:space="preserve"> </w:t>
      </w:r>
      <w:r>
        <w:t xml:space="preserve">79 (6): 1525–44.</w:t>
      </w:r>
      <w:r>
        <w:t xml:space="preserve"> </w:t>
      </w:r>
      <w:hyperlink r:id="rId308">
        <w:r>
          <w:rPr>
            <w:rStyle w:val="Hyperlink"/>
          </w:rPr>
          <w:t xml:space="preserve">https://doi.org/10.1111/j.1095-8649.2011.03072.x</w:t>
        </w:r>
      </w:hyperlink>
      <w:r>
        <w:t xml:space="preserve">.</w:t>
      </w:r>
    </w:p>
    <w:bookmarkEnd w:id="309"/>
    <w:bookmarkStart w:id="310"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310"/>
    <w:bookmarkStart w:id="312" w:name="ref-Tesfaye2017"/>
    <w:p>
      <w:pPr>
        <w:pStyle w:val="Bibliography"/>
      </w:pPr>
      <w:r>
        <w:t xml:space="preserve">Tesfaye, Samuale, Emiru Birhane, Toon Leijnse, and S. E. A. T. M. van der Zee. 2017.</w:t>
      </w:r>
      <w:r>
        <w:t xml:space="preserve"> </w:t>
      </w:r>
      <w:r>
        <w:t xml:space="preserve">“</w:t>
      </w:r>
      <w:r>
        <w:t xml:space="preserve">Climatic controls of ecohydrological responses in the highlands of northern Ethiopia</w:t>
      </w:r>
      <w:r>
        <w:t xml:space="preserve">.”</w:t>
      </w:r>
      <w:r>
        <w:t xml:space="preserve"> </w:t>
      </w:r>
      <w:r>
        <w:rPr>
          <w:iCs/>
          <w:i/>
        </w:rPr>
        <w:t xml:space="preserve">Science of the Total Environment</w:t>
      </w:r>
      <w:r>
        <w:t xml:space="preserve"> </w:t>
      </w:r>
      <w:r>
        <w:t xml:space="preserve">609: 77–91.</w:t>
      </w:r>
      <w:r>
        <w:t xml:space="preserve"> </w:t>
      </w:r>
      <w:hyperlink r:id="rId311">
        <w:r>
          <w:rPr>
            <w:rStyle w:val="Hyperlink"/>
          </w:rPr>
          <w:t xml:space="preserve">https://doi.org/10.1016/j.scitotenv.2017.07.138</w:t>
        </w:r>
      </w:hyperlink>
      <w:r>
        <w:t xml:space="preserve">.</w:t>
      </w:r>
    </w:p>
    <w:bookmarkEnd w:id="312"/>
    <w:bookmarkStart w:id="314"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313">
        <w:r>
          <w:rPr>
            <w:rStyle w:val="Hyperlink"/>
          </w:rPr>
          <w:t xml:space="preserve">https://doi.org/10.1029/2018WR024209</w:t>
        </w:r>
      </w:hyperlink>
      <w:r>
        <w:t xml:space="preserve">.</w:t>
      </w:r>
    </w:p>
    <w:bookmarkEnd w:id="314"/>
    <w:bookmarkStart w:id="316"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315">
        <w:r>
          <w:rPr>
            <w:rStyle w:val="Hyperlink"/>
          </w:rPr>
          <w:t xml:space="preserve">https://doi.org/10.1111/j.1752-1688.2008.00212.x</w:t>
        </w:r>
      </w:hyperlink>
      <w:r>
        <w:t xml:space="preserve">.</w:t>
      </w:r>
    </w:p>
    <w:bookmarkEnd w:id="316"/>
    <w:bookmarkStart w:id="318"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317">
        <w:r>
          <w:rPr>
            <w:rStyle w:val="Hyperlink"/>
          </w:rPr>
          <w:t xml:space="preserve">https://swfsc-publications.fisheries.noaa.gov/publications/CR/2013/2013Wainwright.pdf</w:t>
        </w:r>
      </w:hyperlink>
      <w:r>
        <w:t xml:space="preserve">.</w:t>
      </w:r>
    </w:p>
    <w:bookmarkEnd w:id="318"/>
    <w:bookmarkStart w:id="320" w:name="ref-Webb2018"/>
    <w:p>
      <w:pPr>
        <w:pStyle w:val="Bibliography"/>
      </w:pPr>
      <w:r>
        <w:t xml:space="preserve">Webb, J. Angus, Robyn J. Watts, Catherine Allan, and John C. Conallin. 2018.</w:t>
      </w:r>
      <w:r>
        <w:t xml:space="preserve"> </w:t>
      </w:r>
      <w:r>
        <w:t xml:space="preserve">“</w:t>
      </w:r>
      <w:r>
        <w:t xml:space="preserve">Adaptive Management of Environmental Flows</w:t>
      </w:r>
      <w:r>
        <w:t xml:space="preserve">.”</w:t>
      </w:r>
      <w:r>
        <w:t xml:space="preserve"> </w:t>
      </w:r>
      <w:r>
        <w:rPr>
          <w:iCs/>
          <w:i/>
        </w:rPr>
        <w:t xml:space="preserve">Environmental Management</w:t>
      </w:r>
      <w:r>
        <w:t xml:space="preserve"> </w:t>
      </w:r>
      <w:r>
        <w:t xml:space="preserve">61 (3): 339–46.</w:t>
      </w:r>
      <w:r>
        <w:t xml:space="preserve"> </w:t>
      </w:r>
      <w:hyperlink r:id="rId319">
        <w:r>
          <w:rPr>
            <w:rStyle w:val="Hyperlink"/>
          </w:rPr>
          <w:t xml:space="preserve">https://doi.org/10.1007/s00267-017-0981-6</w:t>
        </w:r>
      </w:hyperlink>
      <w:r>
        <w:t xml:space="preserve">.</w:t>
      </w:r>
    </w:p>
    <w:bookmarkEnd w:id="320"/>
    <w:bookmarkStart w:id="322"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321">
        <w:r>
          <w:rPr>
            <w:rStyle w:val="Hyperlink"/>
          </w:rPr>
          <w:t xml:space="preserve">https://doi.org/10.1111/faf.12514</w:t>
        </w:r>
      </w:hyperlink>
      <w:r>
        <w:t xml:space="preserve">.</w:t>
      </w:r>
    </w:p>
    <w:bookmarkEnd w:id="322"/>
    <w:bookmarkStart w:id="324"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323">
        <w:r>
          <w:rPr>
            <w:rStyle w:val="Hyperlink"/>
          </w:rPr>
          <w:t xml:space="preserve">https://doi.org/10.1111/fwb.13001</w:t>
        </w:r>
      </w:hyperlink>
      <w:r>
        <w:t xml:space="preserve">.</w:t>
      </w:r>
    </w:p>
    <w:bookmarkEnd w:id="324"/>
    <w:bookmarkStart w:id="326"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325">
        <w:r>
          <w:rPr>
            <w:rStyle w:val="Hyperlink"/>
          </w:rPr>
          <w:t xml:space="preserve">https://doi.org/10.1016/j.scitotenv.2017.06.081</w:t>
        </w:r>
      </w:hyperlink>
      <w:r>
        <w:t xml:space="preserve">.</w:t>
      </w:r>
    </w:p>
    <w:bookmarkEnd w:id="326"/>
    <w:bookmarkStart w:id="328" w:name="ref-Yao2021"/>
    <w:p>
      <w:pPr>
        <w:pStyle w:val="Bibliography"/>
      </w:pPr>
      <w:r>
        <w:t xml:space="preserve">Yao, Weiwei, Ruidong An, Guoan Yu, Jia Li, and Xiaoyi Ma. 2021.</w:t>
      </w:r>
      <w:r>
        <w:t xml:space="preserve"> </w:t>
      </w:r>
      <w:r>
        <w:t xml:space="preserve">“</w:t>
      </w:r>
      <w:r>
        <w:t xml:space="preserve">Identifying fish ecological risk patterns based on the effects of long-term dam operation schemes</w:t>
      </w:r>
      <w:r>
        <w:t xml:space="preserve">.”</w:t>
      </w:r>
      <w:r>
        <w:t xml:space="preserve"> </w:t>
      </w:r>
      <w:r>
        <w:rPr>
          <w:iCs/>
          <w:i/>
        </w:rPr>
        <w:t xml:space="preserve">Ecological Engineering</w:t>
      </w:r>
      <w:r>
        <w:t xml:space="preserve"> </w:t>
      </w:r>
      <w:r>
        <w:t xml:space="preserve">159 (March 2020): 106102.</w:t>
      </w:r>
      <w:r>
        <w:t xml:space="preserve"> </w:t>
      </w:r>
      <w:hyperlink r:id="rId327">
        <w:r>
          <w:rPr>
            <w:rStyle w:val="Hyperlink"/>
          </w:rPr>
          <w:t xml:space="preserve">https://doi.org/10.1016/j.ecoleng.2020.106102</w:t>
        </w:r>
      </w:hyperlink>
      <w:r>
        <w:t xml:space="preserve">.</w:t>
      </w:r>
    </w:p>
    <w:bookmarkEnd w:id="328"/>
    <w:bookmarkStart w:id="330"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329">
        <w:r>
          <w:rPr>
            <w:rStyle w:val="Hyperlink"/>
          </w:rPr>
          <w:t xml:space="preserve">https://doi.org/10.1002/rra.3575</w:t>
        </w:r>
      </w:hyperlink>
      <w:r>
        <w:t xml:space="preserve">.</w:t>
      </w:r>
    </w:p>
    <w:bookmarkEnd w:id="330"/>
    <w:bookmarkStart w:id="332"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331">
        <w:r>
          <w:rPr>
            <w:rStyle w:val="Hyperlink"/>
          </w:rPr>
          <w:t xml:space="preserve">https://www.scottriverwatershedcouncil.com/scott-river-beaver-dam-analogue-coh</w:t>
        </w:r>
      </w:hyperlink>
      <w:r>
        <w:t xml:space="preserve">.</w:t>
      </w:r>
    </w:p>
    <w:bookmarkEnd w:id="332"/>
    <w:bookmarkEnd w:id="333"/>
    <w:bookmarkEnd w:id="3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4" Target="media/rId104.png" /><Relationship Type="http://schemas.openxmlformats.org/officeDocument/2006/relationships/image" Id="rId109" Target="media/rId109.png" /><Relationship Type="http://schemas.openxmlformats.org/officeDocument/2006/relationships/image" Id="rId28" Target="media/rId28.png" /><Relationship Type="http://schemas.openxmlformats.org/officeDocument/2006/relationships/image" Id="rId50" Target="media/rId50.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46" Target="media/rId46.png" /><Relationship Type="http://schemas.openxmlformats.org/officeDocument/2006/relationships/image" Id="rId36" Target="media/rId36.jpg" /><Relationship Type="http://schemas.openxmlformats.org/officeDocument/2006/relationships/image" Id="rId24" Target="media/rId24.png" /><Relationship Type="http://schemas.openxmlformats.org/officeDocument/2006/relationships/hyperlink" Id="rId193" Target="http://groundwater.ucdavis.edu/files/136426.pdf" TargetMode="External" /><Relationship Type="http://schemas.openxmlformats.org/officeDocument/2006/relationships/hyperlink" Id="rId175" Target="http://groundwater.ucdavis.edu/files/165395.pdf" TargetMode="External" /><Relationship Type="http://schemas.openxmlformats.org/officeDocument/2006/relationships/hyperlink" Id="rId159" Target="http://www.fgc.ca.gov/meetings/2015/Aug/Exhibits/0805{\_}Item{\_}38{\_}CohoStatusReport.pdf" TargetMode="External" /><Relationship Type="http://schemas.openxmlformats.org/officeDocument/2006/relationships/hyperlink" Id="rId177" Target="https://arxiv.org/abs/0908.3817" TargetMode="External" /><Relationship Type="http://schemas.openxmlformats.org/officeDocument/2006/relationships/hyperlink" Id="rId263" Target="https://doi.org/10.1002/bjs.10895" TargetMode="External" /><Relationship Type="http://schemas.openxmlformats.org/officeDocument/2006/relationships/hyperlink" Id="rId149" Target="https://doi.org/10.1002/eco" TargetMode="External" /><Relationship Type="http://schemas.openxmlformats.org/officeDocument/2006/relationships/hyperlink" Id="rId183" Target="https://doi.org/10.1002/eco.1354" TargetMode="External" /><Relationship Type="http://schemas.openxmlformats.org/officeDocument/2006/relationships/hyperlink" Id="rId135" Target="https://doi.org/10.1002/eco.1379" TargetMode="External" /><Relationship Type="http://schemas.openxmlformats.org/officeDocument/2006/relationships/hyperlink" Id="rId139" Target="https://doi.org/10.1002/eco.1396" TargetMode="External" /><Relationship Type="http://schemas.openxmlformats.org/officeDocument/2006/relationships/hyperlink" Id="rId304" Target="https://doi.org/10.1002/eco.1745" TargetMode="External" /><Relationship Type="http://schemas.openxmlformats.org/officeDocument/2006/relationships/hyperlink" Id="rId286" Target="https://doi.org/10.1002/eco.1909" TargetMode="External" /><Relationship Type="http://schemas.openxmlformats.org/officeDocument/2006/relationships/hyperlink" Id="rId189" Target="https://doi.org/10.1002/ecs2.4660" TargetMode="External" /><Relationship Type="http://schemas.openxmlformats.org/officeDocument/2006/relationships/hyperlink" Id="rId133" Target="https://doi.org/10.1002/rra" TargetMode="External" /><Relationship Type="http://schemas.openxmlformats.org/officeDocument/2006/relationships/hyperlink" Id="rId147" Target="https://doi.org/10.1002/rra.3191" TargetMode="External" /><Relationship Type="http://schemas.openxmlformats.org/officeDocument/2006/relationships/hyperlink" Id="rId329" Target="https://doi.org/10.1002/rra.3575" TargetMode="External" /><Relationship Type="http://schemas.openxmlformats.org/officeDocument/2006/relationships/hyperlink" Id="rId265" Target="https://doi.org/10.1002/rra.892" TargetMode="External" /><Relationship Type="http://schemas.openxmlformats.org/officeDocument/2006/relationships/hyperlink" Id="rId230" Target="https://doi.org/10.1002/rra.933" TargetMode="External" /><Relationship Type="http://schemas.openxmlformats.org/officeDocument/2006/relationships/hyperlink" Id="rId199" Target="https://doi.org/10.1007/978-1-4614-7138-7" TargetMode="External" /><Relationship Type="http://schemas.openxmlformats.org/officeDocument/2006/relationships/hyperlink" Id="rId154" Target="https://doi.org/10.1007/s00267-002-2737-0" TargetMode="External" /><Relationship Type="http://schemas.openxmlformats.org/officeDocument/2006/relationships/hyperlink" Id="rId284" Target="https://doi.org/10.1007/s00267-012-9864-z" TargetMode="External" /><Relationship Type="http://schemas.openxmlformats.org/officeDocument/2006/relationships/hyperlink" Id="rId226" Target="https://doi.org/10.1007/s00267-013-0055-3" TargetMode="External" /><Relationship Type="http://schemas.openxmlformats.org/officeDocument/2006/relationships/hyperlink" Id="rId319" Target="https://doi.org/10.1007/s00267-017-0981-6" TargetMode="External" /><Relationship Type="http://schemas.openxmlformats.org/officeDocument/2006/relationships/hyperlink" Id="rId141" Target="https://doi.org/10.1007/s11160-016-9432-3" TargetMode="External" /><Relationship Type="http://schemas.openxmlformats.org/officeDocument/2006/relationships/hyperlink" Id="rId255" Target="https://doi.org/10.1016/j.ecohyd.2016.08.001" TargetMode="External" /><Relationship Type="http://schemas.openxmlformats.org/officeDocument/2006/relationships/hyperlink" Id="rId167" Target="https://doi.org/10.1016/j.ecohyd.2016.12.002" TargetMode="External" /><Relationship Type="http://schemas.openxmlformats.org/officeDocument/2006/relationships/hyperlink" Id="rId129" Target="https://doi.org/10.1016/j.ecohyd.2017.01.002" TargetMode="External" /><Relationship Type="http://schemas.openxmlformats.org/officeDocument/2006/relationships/hyperlink" Id="rId179" Target="https://doi.org/10.1016/j.ecohyd.2019.07.003" TargetMode="External" /><Relationship Type="http://schemas.openxmlformats.org/officeDocument/2006/relationships/hyperlink" Id="rId185" Target="https://doi.org/10.1016/j.ecohyd.2020.02.002" TargetMode="External" /><Relationship Type="http://schemas.openxmlformats.org/officeDocument/2006/relationships/hyperlink" Id="rId327" Target="https://doi.org/10.1016/j.ecoleng.2020.106102" TargetMode="External" /><Relationship Type="http://schemas.openxmlformats.org/officeDocument/2006/relationships/hyperlink" Id="rId215" Target="https://doi.org/10.1016/j.ecolind.2023.109989" TargetMode="External" /><Relationship Type="http://schemas.openxmlformats.org/officeDocument/2006/relationships/hyperlink" Id="rId124" Target="https://doi.org/10.1016/j.ecolmodel.2021.109604" TargetMode="External" /><Relationship Type="http://schemas.openxmlformats.org/officeDocument/2006/relationships/hyperlink" Id="rId247" Target="https://doi.org/10.1016/j.jenvman.2016.03.015" TargetMode="External" /><Relationship Type="http://schemas.openxmlformats.org/officeDocument/2006/relationships/hyperlink" Id="rId191" Target="https://doi.org/10.1016/j.quaint.2015.02.032" TargetMode="External" /><Relationship Type="http://schemas.openxmlformats.org/officeDocument/2006/relationships/hyperlink" Id="rId325" Target="https://doi.org/10.1016/j.scitotenv.2017.06.081" TargetMode="External" /><Relationship Type="http://schemas.openxmlformats.org/officeDocument/2006/relationships/hyperlink" Id="rId311" Target="https://doi.org/10.1016/j.scitotenv.2017.07.138" TargetMode="External" /><Relationship Type="http://schemas.openxmlformats.org/officeDocument/2006/relationships/hyperlink" Id="rId228" Target="https://doi.org/10.1016/j.scitotenv.2019.133774" TargetMode="External" /><Relationship Type="http://schemas.openxmlformats.org/officeDocument/2006/relationships/hyperlink" Id="rId143" Target="https://doi.org/10.1016/j.scitotenv.2021.149721" TargetMode="External" /><Relationship Type="http://schemas.openxmlformats.org/officeDocument/2006/relationships/hyperlink" Id="rId241" Target="https://doi.org/10.1017/CBO9781107415324.004" TargetMode="External" /><Relationship Type="http://schemas.openxmlformats.org/officeDocument/2006/relationships/hyperlink" Id="rId313" Target="https://doi.org/10.1029/2018WR024209" TargetMode="External" /><Relationship Type="http://schemas.openxmlformats.org/officeDocument/2006/relationships/hyperlink" Id="rId213" Target="https://doi.org/10.1029/2020WR028496" TargetMode="External" /><Relationship Type="http://schemas.openxmlformats.org/officeDocument/2006/relationships/hyperlink" Id="rId169" Target="https://doi.org/10.1111/1752-1688.12845" TargetMode="External" /><Relationship Type="http://schemas.openxmlformats.org/officeDocument/2006/relationships/hyperlink" Id="rId275" Target="https://doi.org/10.1111/1752-1688.12965" TargetMode="External" /><Relationship Type="http://schemas.openxmlformats.org/officeDocument/2006/relationships/hyperlink" Id="rId164" Target="https://doi.org/10.1111/ddi.12225" TargetMode="External" /><Relationship Type="http://schemas.openxmlformats.org/officeDocument/2006/relationships/hyperlink" Id="rId321" Target="https://doi.org/10.1111/faf.12514" TargetMode="External" /><Relationship Type="http://schemas.openxmlformats.org/officeDocument/2006/relationships/hyperlink" Id="rId210" Target="https://doi.org/10.1111/fwb.12324" TargetMode="External" /><Relationship Type="http://schemas.openxmlformats.org/officeDocument/2006/relationships/hyperlink" Id="rId273" Target="https://doi.org/10.1111/fwb.12948" TargetMode="External" /><Relationship Type="http://schemas.openxmlformats.org/officeDocument/2006/relationships/hyperlink" Id="rId323" Target="https://doi.org/10.1111/fwb.13001" TargetMode="External" /><Relationship Type="http://schemas.openxmlformats.org/officeDocument/2006/relationships/hyperlink" Id="rId187" Target="https://doi.org/10.1111/fwb.13048" TargetMode="External" /><Relationship Type="http://schemas.openxmlformats.org/officeDocument/2006/relationships/hyperlink" Id="rId221" Target="https://doi.org/10.1111/fwb.13062" TargetMode="External" /><Relationship Type="http://schemas.openxmlformats.org/officeDocument/2006/relationships/hyperlink" Id="rId196" Target="https://doi.org/10.1111/fwb.13270" TargetMode="External" /><Relationship Type="http://schemas.openxmlformats.org/officeDocument/2006/relationships/hyperlink" Id="rId308" Target="https://doi.org/10.1111/j.1095-8649.2011.03072.x" TargetMode="External" /><Relationship Type="http://schemas.openxmlformats.org/officeDocument/2006/relationships/hyperlink" Id="rId267" Target="https://doi.org/10.1111/j.1365-2427.2008.01987.x" TargetMode="External" /><Relationship Type="http://schemas.openxmlformats.org/officeDocument/2006/relationships/hyperlink" Id="rId251" Target="https://doi.org/10.1111/j.1365-2427.2009.02204.x" TargetMode="External" /><Relationship Type="http://schemas.openxmlformats.org/officeDocument/2006/relationships/hyperlink" Id="rId253" Target="https://doi.org/10.1111/j.1365-2427.2009.02272.x" TargetMode="External" /><Relationship Type="http://schemas.openxmlformats.org/officeDocument/2006/relationships/hyperlink" Id="rId315" Target="https://doi.org/10.1111/j.1752-1688.2008.00212.x" TargetMode="External" /><Relationship Type="http://schemas.openxmlformats.org/officeDocument/2006/relationships/hyperlink" Id="rId201" Target="https://doi.org/10.1127/fal/2018/1177" TargetMode="External" /><Relationship Type="http://schemas.openxmlformats.org/officeDocument/2006/relationships/hyperlink" Id="rId259" Target="https://doi.org/10.1371/journal.pone.0098392" TargetMode="External" /><Relationship Type="http://schemas.openxmlformats.org/officeDocument/2006/relationships/hyperlink" Id="rId208" Target="https://doi.org/10.1525/bio.2011.61.12.5" TargetMode="External" /><Relationship Type="http://schemas.openxmlformats.org/officeDocument/2006/relationships/hyperlink" Id="rId145" Target="https://doi.org/10.1577/1548-8659(1997)126&lt;0049" TargetMode="External" /><Relationship Type="http://schemas.openxmlformats.org/officeDocument/2006/relationships/hyperlink" Id="rId151" Target="https://doi.org/10.1577/1548-8675(1994)014&lt;0237:hdacso&gt;2.3.co;2" TargetMode="External" /><Relationship Type="http://schemas.openxmlformats.org/officeDocument/2006/relationships/hyperlink" Id="rId271" Target="https://doi.org/10.1577/t01-126" TargetMode="External" /><Relationship Type="http://schemas.openxmlformats.org/officeDocument/2006/relationships/hyperlink" Id="rId126" Target="https://doi.org/10.1890/130134" TargetMode="External" /><Relationship Type="http://schemas.openxmlformats.org/officeDocument/2006/relationships/hyperlink" Id="rId224" Target="https://doi.org/10.1890/14-0247.1" TargetMode="External" /><Relationship Type="http://schemas.openxmlformats.org/officeDocument/2006/relationships/hyperlink" Id="rId131" Target="https://doi.org/10.1890/1540-9295(2006)4[309:IFNISA]2.0.CO;2" TargetMode="External" /><Relationship Type="http://schemas.openxmlformats.org/officeDocument/2006/relationships/hyperlink" Id="rId249" Target="https://doi.org/10.2307/1313099" TargetMode="External" /><Relationship Type="http://schemas.openxmlformats.org/officeDocument/2006/relationships/hyperlink" Id="rId137" Target="https://doi.org/10.2307/1446234" TargetMode="External" /><Relationship Type="http://schemas.openxmlformats.org/officeDocument/2006/relationships/hyperlink" Id="rId269" Target="https://doi.org/10.2307/3868443" TargetMode="External" /><Relationship Type="http://schemas.openxmlformats.org/officeDocument/2006/relationships/hyperlink" Id="rId245" Target="https://doi.org/10.3389/fenvs.2021.790667" TargetMode="External" /><Relationship Type="http://schemas.openxmlformats.org/officeDocument/2006/relationships/hyperlink" Id="rId162" Target="https://doi.org/10.3390/w9030196" TargetMode="External" /><Relationship Type="http://schemas.openxmlformats.org/officeDocument/2006/relationships/hyperlink" Id="rId171" Target="https://doi.org/10.3733/ca.v054n06p46" TargetMode="External" /><Relationship Type="http://schemas.openxmlformats.org/officeDocument/2006/relationships/hyperlink" Id="rId181" Target="https://kbifrm.psmfc.org/wp-content/uploads/2016/12/Graham{\_}2012{\_}0010{\_}Klamath-River-Basin-Restoration-Nonuse-Value-Survey-Final-Report.pdf" TargetMode="External" /><Relationship Type="http://schemas.openxmlformats.org/officeDocument/2006/relationships/hyperlink" Id="rId203" Target="https://nrm.dfg.ca.gov/FileHandler.ashx?DocumentID=77836" TargetMode="External" /><Relationship Type="http://schemas.openxmlformats.org/officeDocument/2006/relationships/hyperlink" Id="rId217" Target="https://pubs.usgs.gov/wsp/1462/report.pdf" TargetMode="External" /><Relationship Type="http://schemas.openxmlformats.org/officeDocument/2006/relationships/hyperlink" Id="rId317" Target="https://swfsc-publications.fisheries.noaa.gov/publications/CR/2013/2013Wainwright.pdf" TargetMode="External" /><Relationship Type="http://schemas.openxmlformats.org/officeDocument/2006/relationships/hyperlink" Id="rId173" Target="https://water.ca.gov/Programs/Water-Use-And-Efficiency/Land-And-Water-Use/Agricultural-Land-And-Water-Use-Estimates" TargetMode="External" /><Relationship Type="http://schemas.openxmlformats.org/officeDocument/2006/relationships/hyperlink" Id="rId288" Target="https://www.co.siskiyou.ca.us/naturalresources/page/scott-valley-gsp-chapters" TargetMode="External" /><Relationship Type="http://schemas.openxmlformats.org/officeDocument/2006/relationships/hyperlink" Id="rId235" Target="https://www.fisheries.noaa.gov/resource/document/final-recovery-plan-southern-oregon-northern-california-coast-evolutionarily" TargetMode="External" /><Relationship Type="http://schemas.openxmlformats.org/officeDocument/2006/relationships/hyperlink" Id="rId157" Target="https://www.fs.usda.gov/Internet/FSE{\_}DOCUMENTS/stelprd3850544.pdf" TargetMode="External" /><Relationship Type="http://schemas.openxmlformats.org/officeDocument/2006/relationships/hyperlink" Id="rId261" Target="https://www.r-project.org/" TargetMode="External" /><Relationship Type="http://schemas.openxmlformats.org/officeDocument/2006/relationships/hyperlink" Id="rId331" Target="https://www.scottriverwatershedcouncil.com/scott-river-beaver-dam-analogue-coh" TargetMode="External" /><Relationship Type="http://schemas.openxmlformats.org/officeDocument/2006/relationships/hyperlink" Id="rId280" Target="https://www.scottriverwatershedcouncil.com/scott-river-westside-planning-proje" TargetMode="External" /><Relationship Type="http://schemas.openxmlformats.org/officeDocument/2006/relationships/hyperlink" Id="rId278" Target="https://www.scottwatertrust.org/blank" TargetMode="External" /><Relationship Type="http://schemas.openxmlformats.org/officeDocument/2006/relationships/hyperlink" Id="rId257" Target="https://www.siskiyourcd.com/resources" TargetMode="External" /><Relationship Type="http://schemas.openxmlformats.org/officeDocument/2006/relationships/hyperlink" Id="rId238"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93" Target="http://groundwater.ucdavis.edu/files/136426.pdf" TargetMode="External" /><Relationship Type="http://schemas.openxmlformats.org/officeDocument/2006/relationships/hyperlink" Id="rId175" Target="http://groundwater.ucdavis.edu/files/165395.pdf" TargetMode="External" /><Relationship Type="http://schemas.openxmlformats.org/officeDocument/2006/relationships/hyperlink" Id="rId159" Target="http://www.fgc.ca.gov/meetings/2015/Aug/Exhibits/0805{\_}Item{\_}38{\_}CohoStatusReport.pdf" TargetMode="External" /><Relationship Type="http://schemas.openxmlformats.org/officeDocument/2006/relationships/hyperlink" Id="rId177" Target="https://arxiv.org/abs/0908.3817" TargetMode="External" /><Relationship Type="http://schemas.openxmlformats.org/officeDocument/2006/relationships/hyperlink" Id="rId263" Target="https://doi.org/10.1002/bjs.10895" TargetMode="External" /><Relationship Type="http://schemas.openxmlformats.org/officeDocument/2006/relationships/hyperlink" Id="rId149" Target="https://doi.org/10.1002/eco" TargetMode="External" /><Relationship Type="http://schemas.openxmlformats.org/officeDocument/2006/relationships/hyperlink" Id="rId183" Target="https://doi.org/10.1002/eco.1354" TargetMode="External" /><Relationship Type="http://schemas.openxmlformats.org/officeDocument/2006/relationships/hyperlink" Id="rId135" Target="https://doi.org/10.1002/eco.1379" TargetMode="External" /><Relationship Type="http://schemas.openxmlformats.org/officeDocument/2006/relationships/hyperlink" Id="rId139" Target="https://doi.org/10.1002/eco.1396" TargetMode="External" /><Relationship Type="http://schemas.openxmlformats.org/officeDocument/2006/relationships/hyperlink" Id="rId304" Target="https://doi.org/10.1002/eco.1745" TargetMode="External" /><Relationship Type="http://schemas.openxmlformats.org/officeDocument/2006/relationships/hyperlink" Id="rId286" Target="https://doi.org/10.1002/eco.1909" TargetMode="External" /><Relationship Type="http://schemas.openxmlformats.org/officeDocument/2006/relationships/hyperlink" Id="rId189" Target="https://doi.org/10.1002/ecs2.4660" TargetMode="External" /><Relationship Type="http://schemas.openxmlformats.org/officeDocument/2006/relationships/hyperlink" Id="rId133" Target="https://doi.org/10.1002/rra" TargetMode="External" /><Relationship Type="http://schemas.openxmlformats.org/officeDocument/2006/relationships/hyperlink" Id="rId147" Target="https://doi.org/10.1002/rra.3191" TargetMode="External" /><Relationship Type="http://schemas.openxmlformats.org/officeDocument/2006/relationships/hyperlink" Id="rId329" Target="https://doi.org/10.1002/rra.3575" TargetMode="External" /><Relationship Type="http://schemas.openxmlformats.org/officeDocument/2006/relationships/hyperlink" Id="rId265" Target="https://doi.org/10.1002/rra.892" TargetMode="External" /><Relationship Type="http://schemas.openxmlformats.org/officeDocument/2006/relationships/hyperlink" Id="rId230" Target="https://doi.org/10.1002/rra.933" TargetMode="External" /><Relationship Type="http://schemas.openxmlformats.org/officeDocument/2006/relationships/hyperlink" Id="rId199" Target="https://doi.org/10.1007/978-1-4614-7138-7" TargetMode="External" /><Relationship Type="http://schemas.openxmlformats.org/officeDocument/2006/relationships/hyperlink" Id="rId154" Target="https://doi.org/10.1007/s00267-002-2737-0" TargetMode="External" /><Relationship Type="http://schemas.openxmlformats.org/officeDocument/2006/relationships/hyperlink" Id="rId284" Target="https://doi.org/10.1007/s00267-012-9864-z" TargetMode="External" /><Relationship Type="http://schemas.openxmlformats.org/officeDocument/2006/relationships/hyperlink" Id="rId226" Target="https://doi.org/10.1007/s00267-013-0055-3" TargetMode="External" /><Relationship Type="http://schemas.openxmlformats.org/officeDocument/2006/relationships/hyperlink" Id="rId319" Target="https://doi.org/10.1007/s00267-017-0981-6" TargetMode="External" /><Relationship Type="http://schemas.openxmlformats.org/officeDocument/2006/relationships/hyperlink" Id="rId141" Target="https://doi.org/10.1007/s11160-016-9432-3" TargetMode="External" /><Relationship Type="http://schemas.openxmlformats.org/officeDocument/2006/relationships/hyperlink" Id="rId255" Target="https://doi.org/10.1016/j.ecohyd.2016.08.001" TargetMode="External" /><Relationship Type="http://schemas.openxmlformats.org/officeDocument/2006/relationships/hyperlink" Id="rId167" Target="https://doi.org/10.1016/j.ecohyd.2016.12.002" TargetMode="External" /><Relationship Type="http://schemas.openxmlformats.org/officeDocument/2006/relationships/hyperlink" Id="rId129" Target="https://doi.org/10.1016/j.ecohyd.2017.01.002" TargetMode="External" /><Relationship Type="http://schemas.openxmlformats.org/officeDocument/2006/relationships/hyperlink" Id="rId179" Target="https://doi.org/10.1016/j.ecohyd.2019.07.003" TargetMode="External" /><Relationship Type="http://schemas.openxmlformats.org/officeDocument/2006/relationships/hyperlink" Id="rId185" Target="https://doi.org/10.1016/j.ecohyd.2020.02.002" TargetMode="External" /><Relationship Type="http://schemas.openxmlformats.org/officeDocument/2006/relationships/hyperlink" Id="rId327" Target="https://doi.org/10.1016/j.ecoleng.2020.106102" TargetMode="External" /><Relationship Type="http://schemas.openxmlformats.org/officeDocument/2006/relationships/hyperlink" Id="rId215" Target="https://doi.org/10.1016/j.ecolind.2023.109989" TargetMode="External" /><Relationship Type="http://schemas.openxmlformats.org/officeDocument/2006/relationships/hyperlink" Id="rId124" Target="https://doi.org/10.1016/j.ecolmodel.2021.109604" TargetMode="External" /><Relationship Type="http://schemas.openxmlformats.org/officeDocument/2006/relationships/hyperlink" Id="rId247" Target="https://doi.org/10.1016/j.jenvman.2016.03.015" TargetMode="External" /><Relationship Type="http://schemas.openxmlformats.org/officeDocument/2006/relationships/hyperlink" Id="rId191" Target="https://doi.org/10.1016/j.quaint.2015.02.032" TargetMode="External" /><Relationship Type="http://schemas.openxmlformats.org/officeDocument/2006/relationships/hyperlink" Id="rId325" Target="https://doi.org/10.1016/j.scitotenv.2017.06.081" TargetMode="External" /><Relationship Type="http://schemas.openxmlformats.org/officeDocument/2006/relationships/hyperlink" Id="rId311" Target="https://doi.org/10.1016/j.scitotenv.2017.07.138" TargetMode="External" /><Relationship Type="http://schemas.openxmlformats.org/officeDocument/2006/relationships/hyperlink" Id="rId228" Target="https://doi.org/10.1016/j.scitotenv.2019.133774" TargetMode="External" /><Relationship Type="http://schemas.openxmlformats.org/officeDocument/2006/relationships/hyperlink" Id="rId143" Target="https://doi.org/10.1016/j.scitotenv.2021.149721" TargetMode="External" /><Relationship Type="http://schemas.openxmlformats.org/officeDocument/2006/relationships/hyperlink" Id="rId241" Target="https://doi.org/10.1017/CBO9781107415324.004" TargetMode="External" /><Relationship Type="http://schemas.openxmlformats.org/officeDocument/2006/relationships/hyperlink" Id="rId313" Target="https://doi.org/10.1029/2018WR024209" TargetMode="External" /><Relationship Type="http://schemas.openxmlformats.org/officeDocument/2006/relationships/hyperlink" Id="rId213" Target="https://doi.org/10.1029/2020WR028496" TargetMode="External" /><Relationship Type="http://schemas.openxmlformats.org/officeDocument/2006/relationships/hyperlink" Id="rId169" Target="https://doi.org/10.1111/1752-1688.12845" TargetMode="External" /><Relationship Type="http://schemas.openxmlformats.org/officeDocument/2006/relationships/hyperlink" Id="rId275" Target="https://doi.org/10.1111/1752-1688.12965" TargetMode="External" /><Relationship Type="http://schemas.openxmlformats.org/officeDocument/2006/relationships/hyperlink" Id="rId164" Target="https://doi.org/10.1111/ddi.12225" TargetMode="External" /><Relationship Type="http://schemas.openxmlformats.org/officeDocument/2006/relationships/hyperlink" Id="rId321" Target="https://doi.org/10.1111/faf.12514" TargetMode="External" /><Relationship Type="http://schemas.openxmlformats.org/officeDocument/2006/relationships/hyperlink" Id="rId210" Target="https://doi.org/10.1111/fwb.12324" TargetMode="External" /><Relationship Type="http://schemas.openxmlformats.org/officeDocument/2006/relationships/hyperlink" Id="rId273" Target="https://doi.org/10.1111/fwb.12948" TargetMode="External" /><Relationship Type="http://schemas.openxmlformats.org/officeDocument/2006/relationships/hyperlink" Id="rId323" Target="https://doi.org/10.1111/fwb.13001" TargetMode="External" /><Relationship Type="http://schemas.openxmlformats.org/officeDocument/2006/relationships/hyperlink" Id="rId187" Target="https://doi.org/10.1111/fwb.13048" TargetMode="External" /><Relationship Type="http://schemas.openxmlformats.org/officeDocument/2006/relationships/hyperlink" Id="rId221" Target="https://doi.org/10.1111/fwb.13062" TargetMode="External" /><Relationship Type="http://schemas.openxmlformats.org/officeDocument/2006/relationships/hyperlink" Id="rId196" Target="https://doi.org/10.1111/fwb.13270" TargetMode="External" /><Relationship Type="http://schemas.openxmlformats.org/officeDocument/2006/relationships/hyperlink" Id="rId308" Target="https://doi.org/10.1111/j.1095-8649.2011.03072.x" TargetMode="External" /><Relationship Type="http://schemas.openxmlformats.org/officeDocument/2006/relationships/hyperlink" Id="rId267" Target="https://doi.org/10.1111/j.1365-2427.2008.01987.x" TargetMode="External" /><Relationship Type="http://schemas.openxmlformats.org/officeDocument/2006/relationships/hyperlink" Id="rId251" Target="https://doi.org/10.1111/j.1365-2427.2009.02204.x" TargetMode="External" /><Relationship Type="http://schemas.openxmlformats.org/officeDocument/2006/relationships/hyperlink" Id="rId253" Target="https://doi.org/10.1111/j.1365-2427.2009.02272.x" TargetMode="External" /><Relationship Type="http://schemas.openxmlformats.org/officeDocument/2006/relationships/hyperlink" Id="rId315" Target="https://doi.org/10.1111/j.1752-1688.2008.00212.x" TargetMode="External" /><Relationship Type="http://schemas.openxmlformats.org/officeDocument/2006/relationships/hyperlink" Id="rId201" Target="https://doi.org/10.1127/fal/2018/1177" TargetMode="External" /><Relationship Type="http://schemas.openxmlformats.org/officeDocument/2006/relationships/hyperlink" Id="rId259" Target="https://doi.org/10.1371/journal.pone.0098392" TargetMode="External" /><Relationship Type="http://schemas.openxmlformats.org/officeDocument/2006/relationships/hyperlink" Id="rId208" Target="https://doi.org/10.1525/bio.2011.61.12.5" TargetMode="External" /><Relationship Type="http://schemas.openxmlformats.org/officeDocument/2006/relationships/hyperlink" Id="rId145" Target="https://doi.org/10.1577/1548-8659(1997)126&lt;0049" TargetMode="External" /><Relationship Type="http://schemas.openxmlformats.org/officeDocument/2006/relationships/hyperlink" Id="rId151" Target="https://doi.org/10.1577/1548-8675(1994)014&lt;0237:hdacso&gt;2.3.co;2" TargetMode="External" /><Relationship Type="http://schemas.openxmlformats.org/officeDocument/2006/relationships/hyperlink" Id="rId271" Target="https://doi.org/10.1577/t01-126" TargetMode="External" /><Relationship Type="http://schemas.openxmlformats.org/officeDocument/2006/relationships/hyperlink" Id="rId126" Target="https://doi.org/10.1890/130134" TargetMode="External" /><Relationship Type="http://schemas.openxmlformats.org/officeDocument/2006/relationships/hyperlink" Id="rId224" Target="https://doi.org/10.1890/14-0247.1" TargetMode="External" /><Relationship Type="http://schemas.openxmlformats.org/officeDocument/2006/relationships/hyperlink" Id="rId131" Target="https://doi.org/10.1890/1540-9295(2006)4[309:IFNISA]2.0.CO;2" TargetMode="External" /><Relationship Type="http://schemas.openxmlformats.org/officeDocument/2006/relationships/hyperlink" Id="rId249" Target="https://doi.org/10.2307/1313099" TargetMode="External" /><Relationship Type="http://schemas.openxmlformats.org/officeDocument/2006/relationships/hyperlink" Id="rId137" Target="https://doi.org/10.2307/1446234" TargetMode="External" /><Relationship Type="http://schemas.openxmlformats.org/officeDocument/2006/relationships/hyperlink" Id="rId269" Target="https://doi.org/10.2307/3868443" TargetMode="External" /><Relationship Type="http://schemas.openxmlformats.org/officeDocument/2006/relationships/hyperlink" Id="rId245" Target="https://doi.org/10.3389/fenvs.2021.790667" TargetMode="External" /><Relationship Type="http://schemas.openxmlformats.org/officeDocument/2006/relationships/hyperlink" Id="rId162" Target="https://doi.org/10.3390/w9030196" TargetMode="External" /><Relationship Type="http://schemas.openxmlformats.org/officeDocument/2006/relationships/hyperlink" Id="rId171" Target="https://doi.org/10.3733/ca.v054n06p46" TargetMode="External" /><Relationship Type="http://schemas.openxmlformats.org/officeDocument/2006/relationships/hyperlink" Id="rId181" Target="https://kbifrm.psmfc.org/wp-content/uploads/2016/12/Graham{\_}2012{\_}0010{\_}Klamath-River-Basin-Restoration-Nonuse-Value-Survey-Final-Report.pdf" TargetMode="External" /><Relationship Type="http://schemas.openxmlformats.org/officeDocument/2006/relationships/hyperlink" Id="rId203" Target="https://nrm.dfg.ca.gov/FileHandler.ashx?DocumentID=77836" TargetMode="External" /><Relationship Type="http://schemas.openxmlformats.org/officeDocument/2006/relationships/hyperlink" Id="rId217" Target="https://pubs.usgs.gov/wsp/1462/report.pdf" TargetMode="External" /><Relationship Type="http://schemas.openxmlformats.org/officeDocument/2006/relationships/hyperlink" Id="rId317" Target="https://swfsc-publications.fisheries.noaa.gov/publications/CR/2013/2013Wainwright.pdf" TargetMode="External" /><Relationship Type="http://schemas.openxmlformats.org/officeDocument/2006/relationships/hyperlink" Id="rId173" Target="https://water.ca.gov/Programs/Water-Use-And-Efficiency/Land-And-Water-Use/Agricultural-Land-And-Water-Use-Estimates" TargetMode="External" /><Relationship Type="http://schemas.openxmlformats.org/officeDocument/2006/relationships/hyperlink" Id="rId288" Target="https://www.co.siskiyou.ca.us/naturalresources/page/scott-valley-gsp-chapters" TargetMode="External" /><Relationship Type="http://schemas.openxmlformats.org/officeDocument/2006/relationships/hyperlink" Id="rId235" Target="https://www.fisheries.noaa.gov/resource/document/final-recovery-plan-southern-oregon-northern-california-coast-evolutionarily" TargetMode="External" /><Relationship Type="http://schemas.openxmlformats.org/officeDocument/2006/relationships/hyperlink" Id="rId157" Target="https://www.fs.usda.gov/Internet/FSE{\_}DOCUMENTS/stelprd3850544.pdf" TargetMode="External" /><Relationship Type="http://schemas.openxmlformats.org/officeDocument/2006/relationships/hyperlink" Id="rId261" Target="https://www.r-project.org/" TargetMode="External" /><Relationship Type="http://schemas.openxmlformats.org/officeDocument/2006/relationships/hyperlink" Id="rId331" Target="https://www.scottriverwatershedcouncil.com/scott-river-beaver-dam-analogue-coh" TargetMode="External" /><Relationship Type="http://schemas.openxmlformats.org/officeDocument/2006/relationships/hyperlink" Id="rId280" Target="https://www.scottriverwatershedcouncil.com/scott-river-westside-planning-proje" TargetMode="External" /><Relationship Type="http://schemas.openxmlformats.org/officeDocument/2006/relationships/hyperlink" Id="rId278" Target="https://www.scottwatertrust.org/blank" TargetMode="External" /><Relationship Type="http://schemas.openxmlformats.org/officeDocument/2006/relationships/hyperlink" Id="rId257" Target="https://www.siskiyourcd.com/resources" TargetMode="External" /><Relationship Type="http://schemas.openxmlformats.org/officeDocument/2006/relationships/hyperlink" Id="rId238"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Wiener and Thomas Harter</dc:creator>
  <cp:keywords/>
  <dcterms:created xsi:type="dcterms:W3CDTF">2024-09-25T18:53:57Z</dcterms:created>
  <dcterms:modified xsi:type="dcterms:W3CDTF">2024-09-25T18:53:57Z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Sept. 2024</vt:lpwstr>
  </property>
  <property fmtid="{D5CDD505-2E9C-101B-9397-08002B2CF9AE}" pid="4" name="output">
    <vt:lpwstr/>
  </property>
</Properties>
</file>