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5.png" ContentType="image/png"/>
  <Override PartName="/word/media/rId88.png" ContentType="image/png"/>
  <Override PartName="/word/media/rId27.png" ContentType="image/png"/>
  <Override PartName="/word/media/rId45.png" ContentType="image/png"/>
  <Override PartName="/word/media/rId59.png" ContentType="image/png"/>
  <Override PartName="/word/media/rId62.png" ContentType="image/png"/>
  <Override PartName="/word/media/rId66.png" ContentType="image/png"/>
  <Override PartName="/word/media/rId70.png" ContentType="image/png"/>
  <Override PartName="/word/media/rId75.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w:t>
      </w:r>
      <w:r>
        <w:t xml:space="preserve"> </w:t>
      </w:r>
      <w:r>
        <w:rPr>
          <w:bCs/>
          <w:b/>
        </w:rPr>
        <w:t xml:space="preserve">Guareschi2014?</w:t>
      </w:r>
      <w:r>
        <w:t xml:space="preserve">;</w:t>
      </w:r>
      <w:r>
        <w:t xml:space="preserve"> </w:t>
      </w:r>
      <w:r>
        <w:rPr>
          <w:bCs/>
          <w:b/>
        </w:rPr>
        <w:t xml:space="preserve">Kevic2018?</w:t>
      </w:r>
      <w:r>
        <w:t xml:space="preserve">; Mazor et al. 2018; Larsen et al. 2021; Peek et al. 2022;</w:t>
      </w:r>
      <w:r>
        <w:t xml:space="preserve"> </w:t>
      </w:r>
      <w:r>
        <w:rPr>
          <w:bCs/>
          <w:b/>
        </w:rPr>
        <w:t xml:space="preserve">Chessman2022?</w:t>
      </w:r>
      <w:r>
        <w:t xml:space="preserve">)</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w:t>
      </w:r>
      <w:r>
        <w:rPr>
          <w:bCs/>
          <w:b/>
        </w:rPr>
        <w:t xml:space="preserve">Cartwright2017?</w:t>
      </w:r>
      <w:r>
        <w:t xml:space="preserve">)</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w:t>
      </w:r>
      <w:r>
        <w:rPr>
          <w:bCs/>
          <w:b/>
        </w:rPr>
        <w:t xml:space="preserve">Guedes2020?</w:t>
      </w:r>
      <w:r>
        <w:t xml:space="preserve">)</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w:t>
      </w:r>
      <w:r>
        <w:t xml:space="preserve"> </w:t>
      </w:r>
      <w:r>
        <w:rPr>
          <w:bCs/>
          <w:b/>
        </w:rPr>
        <w:t xml:space="preserve">Booth2014?</w:t>
      </w:r>
      <w:r>
        <w:t xml:space="preserve">;</w:t>
      </w:r>
      <w:r>
        <w:t xml:space="preserve"> </w:t>
      </w:r>
      <w:r>
        <w:rPr>
          <w:bCs/>
          <w:b/>
        </w:rPr>
        <w:t xml:space="preserve">DeWeberPeterson2020?</w:t>
      </w:r>
      <w:r>
        <w:t xml:space="preserve">;</w:t>
      </w:r>
      <w:r>
        <w:t xml:space="preserve"> </w:t>
      </w:r>
      <w:r>
        <w:rPr>
          <w:bCs/>
          <w:b/>
        </w:rPr>
        <w:t xml:space="preserve">Hale2023?</w:t>
      </w:r>
      <w:r>
        <w:t xml:space="preserve">)</w:t>
      </w:r>
      <w:r>
        <w:t xml:space="preserve">, as well as the extent of habitat types</w:t>
      </w:r>
      <w:r>
        <w:t xml:space="preserve"> </w:t>
      </w:r>
      <w:r>
        <w:t xml:space="preserve">(</w:t>
      </w:r>
      <w:r>
        <w:rPr>
          <w:bCs/>
          <w:b/>
        </w:rPr>
        <w:t xml:space="preserve">Chowdhury2007?</w:t>
      </w:r>
      <w:r>
        <w:t xml:space="preserve">;</w:t>
      </w:r>
      <w:r>
        <w:t xml:space="preserve"> </w:t>
      </w:r>
      <w:r>
        <w:rPr>
          <w:bCs/>
          <w:b/>
        </w:rPr>
        <w:t xml:space="preserve">Chen2011?</w:t>
      </w:r>
      <w:r>
        <w:t xml:space="preserve">;</w:t>
      </w:r>
      <w:r>
        <w:t xml:space="preserve"> </w:t>
      </w:r>
      <w:r>
        <w:rPr>
          <w:bCs/>
          <w:b/>
        </w:rPr>
        <w:t xml:space="preserve">Brand2011?</w:t>
      </w:r>
      <w:r>
        <w:t xml:space="preserve">)</w:t>
      </w:r>
      <w:r>
        <w:t xml:space="preserve"> </w:t>
      </w:r>
      <w:r>
        <w:t xml:space="preserve">and the presence of organisms including vegetation and plankton</w:t>
      </w:r>
      <w:r>
        <w:t xml:space="preserve"> </w:t>
      </w:r>
      <w:r>
        <w:t xml:space="preserve">(</w:t>
      </w:r>
      <w:r>
        <w:rPr>
          <w:bCs/>
          <w:b/>
        </w:rPr>
        <w:t xml:space="preserve">Riis2008?</w:t>
      </w:r>
      <w:r>
        <w:t xml:space="preserve">;</w:t>
      </w:r>
      <w:r>
        <w:t xml:space="preserve"> </w:t>
      </w:r>
      <w:r>
        <w:rPr>
          <w:bCs/>
          <w:b/>
        </w:rPr>
        <w:t xml:space="preserve">Catford2014?</w:t>
      </w:r>
      <w:r>
        <w:t xml:space="preserve">;</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w:t>
      </w:r>
      <w:r>
        <w:t xml:space="preserve"> </w:t>
      </w:r>
      <w:r>
        <w:rPr>
          <w:bCs/>
          <w:b/>
        </w:rPr>
        <w:t xml:space="preserve">Ayllon2014?</w:t>
      </w:r>
      <w:r>
        <w:t xml:space="preserve">;</w:t>
      </w:r>
      <w:r>
        <w:t xml:space="preserve"> </w:t>
      </w:r>
      <w:r>
        <w:rPr>
          <w:bCs/>
          <w:b/>
        </w:rPr>
        <w:t xml:space="preserve">Lamouroux2015?</w:t>
      </w:r>
      <w:r>
        <w:t xml:space="preserve">;</w:t>
      </w:r>
      <w:r>
        <w:t xml:space="preserve"> </w:t>
      </w:r>
      <w:r>
        <w:rPr>
          <w:bCs/>
          <w:b/>
        </w:rPr>
        <w:t xml:space="preserve">McManamay2015?</w:t>
      </w:r>
      <w:r>
        <w:t xml:space="preserve">;</w:t>
      </w:r>
      <w:r>
        <w:t xml:space="preserve"> </w:t>
      </w:r>
      <w:r>
        <w:rPr>
          <w:bCs/>
          <w:b/>
        </w:rPr>
        <w:t xml:space="preserve">Bower2022?</w:t>
      </w:r>
      <w:r>
        <w:t xml:space="preserve">)</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w:t>
      </w:r>
      <w:r>
        <w:t xml:space="preserve"> </w:t>
      </w:r>
      <w:r>
        <w:rPr>
          <w:bCs/>
          <w:b/>
        </w:rPr>
        <w:t xml:space="preserve">Gao2020?</w:t>
      </w:r>
      <w:r>
        <w:t xml:space="preserve">; White et al. 2018;</w:t>
      </w:r>
      <w:r>
        <w:t xml:space="preserve"> </w:t>
      </w:r>
      <w:r>
        <w:rPr>
          <w:bCs/>
          <w:b/>
        </w:rPr>
        <w:t xml:space="preserve">Daneshvar2017?</w:t>
      </w:r>
      <w:r>
        <w:t xml:space="preserve">;</w:t>
      </w:r>
      <w:r>
        <w:t xml:space="preserve"> </w:t>
      </w:r>
      <w:r>
        <w:rPr>
          <w:bCs/>
          <w:b/>
        </w:rPr>
        <w:t xml:space="preserve">Herbst2019?</w:t>
      </w:r>
      <w:r>
        <w:t xml:space="preserve">)</w:t>
      </w:r>
      <w:r>
        <w:t xml:space="preserve">.</w:t>
      </w:r>
    </w:p>
    <w:p>
      <w:pPr>
        <w:pStyle w:val="BodyText"/>
      </w:pPr>
      <w:r>
        <w:t xml:space="preserve">Investigations of flow-ecology relationships can also be grouped by approach</w:t>
      </w:r>
      <w:r>
        <w:t xml:space="preserve"> </w:t>
      </w:r>
      <w:r>
        <w:t xml:space="preserve">(as in</w:t>
      </w:r>
      <w:r>
        <w:t xml:space="preserve"> </w:t>
      </w:r>
      <w:r>
        <w:rPr>
          <w:bCs/>
          <w:b/>
        </w:rPr>
        <w:t xml:space="preserve">Brummer2016?</w:t>
      </w:r>
      <w:r>
        <w:t xml:space="preserve">)</w:t>
      </w:r>
      <w:r>
        <w:t xml:space="preserve">. In experimental flow studies the flow is directly manipulated with dam releases and biological responses are monitored</w:t>
      </w:r>
      <w:r>
        <w:t xml:space="preserve"> </w:t>
      </w:r>
      <w:r>
        <w:t xml:space="preserve">(e.g.,</w:t>
      </w:r>
      <w:r>
        <w:t xml:space="preserve"> </w:t>
      </w:r>
      <w:r>
        <w:rPr>
          <w:bCs/>
          <w:b/>
        </w:rPr>
        <w:t xml:space="preserve">Konrad2011?</w:t>
      </w:r>
      <w:r>
        <w:t xml:space="preserve">)</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w:t>
      </w:r>
      <w:r>
        <w:t xml:space="preserve"> </w:t>
      </w:r>
      <w:r>
        <w:rPr>
          <w:bCs/>
          <w:b/>
        </w:rPr>
        <w:t xml:space="preserve">Catford2014?</w:t>
      </w:r>
      <w:r>
        <w:t xml:space="preserve">;</w:t>
      </w:r>
      <w:r>
        <w:t xml:space="preserve"> </w:t>
      </w:r>
      <w:r>
        <w:rPr>
          <w:bCs/>
          <w:b/>
        </w:rPr>
        <w:t xml:space="preserve">Bower2022?</w:t>
      </w:r>
      <w:r>
        <w:t xml:space="preserve">)</w:t>
      </w:r>
      <w:r>
        <w:t xml:space="preserve">. Space-for-time analyses require considerably fewer resources than experimental flows and longitudinal studies, and thus are more numerous</w:t>
      </w:r>
      <w:r>
        <w:t xml:space="preserve"> </w:t>
      </w:r>
      <w:r>
        <w:t xml:space="preserve">(</w:t>
      </w:r>
      <w:r>
        <w:rPr>
          <w:bCs/>
          <w:b/>
        </w:rPr>
        <w:t xml:space="preserve">Brummer2016?</w:t>
      </w:r>
      <w:r>
        <w:t xml:space="preserve">)</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w:t>
      </w:r>
      <w:r>
        <w:t xml:space="preserve"> </w:t>
      </w:r>
      <w:r>
        <w:rPr>
          <w:bCs/>
          <w:b/>
        </w:rPr>
        <w:t xml:space="preserve">Knight2014?</w:t>
      </w:r>
      <w:r>
        <w:t xml:space="preserve">;</w:t>
      </w:r>
      <w:r>
        <w:t xml:space="preserve"> </w:t>
      </w:r>
      <w:r>
        <w:rPr>
          <w:bCs/>
          <w:b/>
        </w:rPr>
        <w:t xml:space="preserve">Brummer2016?</w:t>
      </w:r>
      <w:r>
        <w:t xml:space="preserve">;</w:t>
      </w:r>
      <w:r>
        <w:t xml:space="preserve"> </w:t>
      </w:r>
      <w:r>
        <w:rPr>
          <w:bCs/>
          <w:b/>
        </w:rPr>
        <w:t xml:space="preserve">Bower2022?</w:t>
      </w:r>
      <w:r>
        <w:t xml:space="preserve">)</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w:t>
      </w:r>
      <w:r>
        <w:t xml:space="preserve"> </w:t>
      </w:r>
      <w:r>
        <w:rPr>
          <w:bCs/>
          <w:b/>
        </w:rPr>
        <w:t xml:space="preserve">Han2015?</w:t>
      </w:r>
      <w:r>
        <w:t xml:space="preserve">;</w:t>
      </w:r>
      <w:r>
        <w:t xml:space="preserve"> </w:t>
      </w:r>
      <w:r>
        <w:rPr>
          <w:bCs/>
          <w:b/>
        </w:rPr>
        <w:t xml:space="preserve">Sinnathamby2018?</w:t>
      </w:r>
      <w:r>
        <w:t xml:space="preserve">;</w:t>
      </w:r>
      <w:r>
        <w:t xml:space="preserve"> </w:t>
      </w:r>
      <w:r>
        <w:rPr>
          <w:bCs/>
          <w:b/>
        </w:rPr>
        <w:t xml:space="preserve">Bradley2017?</w:t>
      </w:r>
      <w:r>
        <w:t xml:space="preserve">;</w:t>
      </w:r>
      <w:r>
        <w:t xml:space="preserve"> </w:t>
      </w:r>
      <w:r>
        <w:rPr>
          <w:bCs/>
          <w:b/>
        </w:rPr>
        <w:t xml:space="preserve">Brummer2016?</w:t>
      </w:r>
      <w:r>
        <w:t xml:space="preserve">)</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w:t>
      </w:r>
      <w:r>
        <w:rPr>
          <w:bCs/>
          <w:b/>
        </w:rPr>
        <w:t xml:space="preserve">Cartwright2017?</w:t>
      </w:r>
      <w:r>
        <w:t xml:space="preserve">)</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w:t>
      </w:r>
      <w:r>
        <w:t xml:space="preserve"> </w:t>
      </w:r>
      <w:r>
        <w:rPr>
          <w:bCs/>
          <w:b/>
        </w:rPr>
        <w:t xml:space="preserve">Knight2014?</w:t>
      </w:r>
      <w:r>
        <w:t xml:space="preserve">;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w:t>
      </w:r>
      <w:r>
        <w:t xml:space="preserve"> </w:t>
      </w:r>
      <w:r>
        <w:rPr>
          <w:bCs/>
          <w:b/>
        </w:rPr>
        <w:t xml:space="preserve">Bower2022?</w:t>
      </w:r>
      <w:r>
        <w:t xml:space="preserve">)</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58" w:name="methods-quantitative-analysis"/>
    <w:p>
      <w:pPr>
        <w:pStyle w:val="Heading1"/>
      </w:pPr>
      <w:r>
        <w:rPr>
          <w:rStyle w:val="SectionNumber"/>
        </w:rPr>
        <w:t xml:space="preserve">3</w:t>
      </w:r>
      <w:r>
        <w:tab/>
      </w:r>
      <w:r>
        <w:t xml:space="preserve">Methods: Quantitative analysis</w:t>
      </w:r>
    </w:p>
    <w:p>
      <w:pPr>
        <w:pStyle w:val="FirstParagraph"/>
      </w:pPr>
      <w:r>
        <w:t xml:space="preserve">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bookmarkStart w:id="48" w:name="X683b5a2513641716d20ad75df019bbd0735a62b"/>
    <w:p>
      <w:pPr>
        <w:pStyle w:val="Heading2"/>
      </w:pPr>
      <w:r>
        <w:rPr>
          <w:rStyle w:val="SectionNumber"/>
        </w:rPr>
        <w:t xml:space="preserve">3.1</w:t>
      </w:r>
      <w:r>
        <w:tab/>
      </w:r>
      <w:r>
        <w:t xml:space="preserve">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relationships between reconnection dates and biological monitoring data.</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response-ecological-monitoring-data"/>
    <w:p>
      <w:pPr>
        <w:pStyle w:val="Heading2"/>
      </w:pPr>
      <w:r>
        <w:rPr>
          <w:rStyle w:val="SectionNumber"/>
        </w:rPr>
        <w:t xml:space="preserve">3.2</w:t>
      </w:r>
      <w:r>
        <w:tab/>
      </w:r>
      <w:r>
        <w:t xml:space="preserve">Response: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bookmarkEnd w:id="49"/>
    <w:bookmarkStart w:id="52" w:name="X7bceb6d9d75dfe114a24988a03df0874afc2ced"/>
    <w:p>
      <w:pPr>
        <w:pStyle w:val="Heading2"/>
      </w:pPr>
      <w:r>
        <w:rPr>
          <w:rStyle w:val="SectionNumber"/>
        </w:rPr>
        <w:t xml:space="preserve">3.3</w:t>
      </w:r>
      <w:r>
        <w:tab/>
      </w:r>
      <w:r>
        <w:t xml:space="preserve">Data alignment and correlation coefficients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0"/>
    <w:bookmarkStart w:id="51" w:name="data-alignment---chinook"/>
    <w:p>
      <w:pPr>
        <w:pStyle w:val="Heading3"/>
      </w:pPr>
      <w:r>
        <w:rPr>
          <w:rStyle w:val="SectionNumber"/>
        </w:rPr>
        <w:t xml:space="preserve">3.3.2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1"/>
    <w:bookmarkEnd w:id="52"/>
    <w:bookmarkStart w:id="57" w:name="X6c73e4a71126986798a01a6ae13882f2fae07f4"/>
    <w:p>
      <w:pPr>
        <w:pStyle w:val="Heading2"/>
      </w:pPr>
      <w:r>
        <w:rPr>
          <w:rStyle w:val="SectionNumber"/>
        </w:rPr>
        <w:t xml:space="preserve">3.4</w:t>
      </w:r>
      <w:r>
        <w:tab/>
      </w:r>
      <w:r>
        <w:t xml:space="preserve">Predicting ecological outcomes for the species of concern</w:t>
      </w:r>
    </w:p>
    <w:bookmarkStart w:id="53" w:name="X234d0d99ae233015caa57fe5f7acb6a51cf36cb"/>
    <w:p>
      <w:pPr>
        <w:pStyle w:val="Heading3"/>
      </w:pPr>
      <w:r>
        <w:rPr>
          <w:rStyle w:val="SectionNumber"/>
        </w:rPr>
        <w:t xml:space="preserve">3.4.1</w:t>
      </w:r>
      <w:r>
        <w:tab/>
      </w:r>
      <w:r>
        <w:t xml:space="preserve">Correlation analysis - ecological metric selection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calculating Pearson correlation coefficients</w:t>
      </w:r>
      <w:r>
        <w:t xml:space="preserve"> </w:t>
      </w:r>
      <w:r>
        <w:t xml:space="preserve">(</w:t>
      </w:r>
      <w:r>
        <w:rPr>
          <w:bCs/>
          <w:b/>
        </w:rPr>
        <w:t xml:space="preserve">Pearson1895?</w:t>
      </w:r>
      <w:r>
        <w:t xml:space="preserve">)</w:t>
      </w:r>
      <w:r>
        <w:t xml:space="preserve"> </w:t>
      </w:r>
      <w:r>
        <w:t xml:space="preserve">between 49 hydrologic predictors and 7 ecological metrics (4 four for coho and three for Chinook) (</w:t>
      </w:r>
      <w:r>
        <w:rPr>
          <w:iCs/>
          <w:i/>
        </w:rPr>
        <w:t xml:space="preserve">Supplemental Figure 1</w:t>
      </w:r>
      <w:r>
        <w:t xml:space="preserve">). The ecological variable most correlated hydrologic metrics was selected for further statistical model development.</w:t>
      </w:r>
    </w:p>
    <w:bookmarkEnd w:id="53"/>
    <w:bookmarkStart w:id="54" w:name="X2686f6547a000b25656cbf47cc6e63b33fb5ecd"/>
    <w:p>
      <w:pPr>
        <w:pStyle w:val="Heading3"/>
      </w:pPr>
      <w:r>
        <w:rPr>
          <w:rStyle w:val="SectionNumber"/>
        </w:rPr>
        <w:t xml:space="preserve">3.4.2</w:t>
      </w:r>
      <w:r>
        <w:tab/>
      </w:r>
      <w:r>
        <w:t xml:space="preserve">Linear modeling and model performance assessment</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lm()</w:t>
      </w:r>
      <w:r>
        <w:t xml:space="preserve"> </w:t>
      </w:r>
      <w:r>
        <w:t xml:space="preserve">(</w:t>
      </w:r>
      <w:r>
        <w:rPr>
          <w:bCs/>
          <w:b/>
        </w:rPr>
        <w:t xml:space="preserve">Chambers1992?</w:t>
      </w:r>
      <w:r>
        <w:t xml:space="preserve">)</w:t>
      </w:r>
      <w:r>
        <w:t xml:space="preserve"> </w:t>
      </w:r>
      <w:r>
        <w:t xml:space="preserve">to build a complete set of two-predictor linear regression models of the selected ecological response variable, using the set of hydrologic predictor variables described above:</w:t>
      </w:r>
    </w:p>
    <w:p>
      <w:pPr>
        <w:pStyle w:val="BodyText"/>
      </w:pPr>
      <m:oMathPara>
        <m:oMathParaPr>
          <m:jc m:val="center"/>
        </m:oMathParaPr>
        <m:oMath>
          <m:sSub>
            <m:e>
              <m:r>
                <m:t>y</m:t>
              </m:r>
            </m:e>
            <m:sub>
              <m:r>
                <m:t>B</m:t>
              </m:r>
              <m:r>
                <m:t>Y</m:t>
              </m:r>
            </m:sub>
          </m:sSub>
          <m:r>
            <m:rPr>
              <m:sty m:val="p"/>
            </m:rPr>
            <m:t>=</m:t>
          </m:r>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oMath>
      </m:oMathPara>
    </w:p>
    <w:p>
      <w:pPr>
        <w:pStyle w:val="FirstParagraph"/>
      </w:pPr>
      <w:r>
        <w:t xml:space="preserve">A complete set of one-predictor models (</w:t>
      </w:r>
      <m:oMath>
        <m:sSub>
          <m:e>
            <m:r>
              <m:t>b</m:t>
            </m:r>
          </m:e>
          <m:sub>
            <m:r>
              <m:t>2</m:t>
            </m:r>
          </m:sub>
        </m:sSub>
        <m:r>
          <m:rPr>
            <m:sty m:val="p"/>
          </m:rPr>
          <m:t>=</m:t>
        </m:r>
        <m:r>
          <m:t>0</m:t>
        </m:r>
      </m:oMath>
      <w:r>
        <w:t xml:space="preserve">) was also produced for comparative purposes. Linear models with more than two predictors were not evaluated; with a dataset this small, the risk of overfitting such higher order linear models would be relatively high</w:t>
      </w:r>
      <w:r>
        <w:t xml:space="preserve"> </w:t>
      </w:r>
      <w:r>
        <w:t xml:space="preserve">(James et al. 2013)</w:t>
      </w:r>
      <w:r>
        <w:t xml:space="preserve">.</w:t>
      </w:r>
    </w:p>
    <w:p>
      <w:pPr>
        <w:pStyle w:val="BodyText"/>
      </w:pPr>
      <w:r>
        <w:t xml:space="preserve">Criteria used to evaluate model performance included degree of variability explained by the predictors (</w:t>
      </w:r>
      <m:oMath>
        <m:sSup>
          <m:e>
            <m:r>
              <m:t>R</m:t>
            </m:r>
          </m:e>
          <m:sup>
            <m:r>
              <m:t>2</m:t>
            </m:r>
          </m:sup>
        </m:sSup>
      </m:oMath>
      <w:r>
        <w:t xml:space="preserve"> </w:t>
      </w:r>
      <w:r>
        <w:t xml:space="preserve">and adjusted</w:t>
      </w:r>
      <w:r>
        <w:t xml:space="preserve"> </w:t>
      </w:r>
      <m:oMath>
        <m:sSup>
          <m:e>
            <m:r>
              <m:t>R</m:t>
            </m:r>
          </m:e>
          <m:sup>
            <m:r>
              <m:t>2</m:t>
            </m:r>
          </m:sup>
        </m:sSup>
      </m:oMath>
      <w:r>
        <w:t xml:space="preserve">), statistical significance (p-value and F-statistic), and the amount of total non-correlated information contained in the set of predictors (corrected AIC, or AIC</w:t>
      </w:r>
      <w:r>
        <w:rPr>
          <w:vertAlign w:val="subscript"/>
        </w:rPr>
        <w:t xml:space="preserve">c</w:t>
      </w:r>
      <w:r>
        <w:t xml:space="preserve">, a statistic used for small sample sizes).</w:t>
      </w:r>
    </w:p>
    <w:p>
      <w:pPr>
        <w:pStyle w:val="BodyText"/>
      </w:pPr>
      <w:r>
        <w:t xml:space="preserve">For each of the one-and two-predictor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(discussed further in Results).</w:t>
      </w:r>
    </w:p>
    <w:bookmarkEnd w:id="54"/>
    <w:bookmarkStart w:id="55" w:name="hydrologic-benefit-formulation"/>
    <w:p>
      <w:pPr>
        <w:pStyle w:val="Heading3"/>
      </w:pPr>
      <w:r>
        <w:rPr>
          <w:rStyle w:val="SectionNumber"/>
        </w:rPr>
        <w:t xml:space="preserve">3.4.3</w:t>
      </w:r>
      <w:r>
        <w:tab/>
      </w:r>
      <w:r>
        <w:t xml:space="preserve">Hydrologic Benefit formulation</w:t>
      </w:r>
    </w:p>
    <w:p>
      <w:pPr>
        <w:pStyle w:val="FirstParagraph"/>
      </w:pPr>
      <w:r>
        <w:t xml:space="preserve">The best</w:t>
      </w:r>
      <w:r>
        <w:t xml:space="preserve"> </w:t>
      </w:r>
      <m:oMath>
        <m:r>
          <m:t>n</m:t>
        </m:r>
      </m:oMath>
      <w:r>
        <w:t xml:space="preserve"> </w:t>
      </w:r>
      <w:r>
        <w:t xml:space="preserve">performing linear models were selected (see below) and combined into an average ensemble model that comprises the</w:t>
      </w:r>
      <w:r>
        <w:t xml:space="preserve"> </w:t>
      </w:r>
      <w:r>
        <w:t xml:space="preserve">“</w:t>
      </w:r>
      <w:r>
        <w:t xml:space="preserve">hydrologic benefit (HB) function</w:t>
      </w:r>
      <w:r>
        <w:t xml:space="preserve">”</w:t>
      </w:r>
      <w:r>
        <w:t xml:space="preserve">, in units of the ecological response variable:</w:t>
      </w:r>
    </w:p>
    <w:p>
      <w:pPr>
        <w:pStyle w:val="BodyText"/>
      </w:pPr>
      <m:oMathPara>
        <m:oMathParaPr>
          <m:jc m:val="center"/>
        </m:oMathParaPr>
        <m:oMath>
          <m:r>
            <m:t>H</m:t>
          </m:r>
          <m:sSub>
            <m:e>
              <m:r>
                <m:t>B</m:t>
              </m:r>
            </m:e>
            <m:sub>
              <m:r>
                <m:t>B</m:t>
              </m:r>
              <m:r>
                <m:t>Y</m:t>
              </m:r>
            </m:sub>
          </m:sSub>
          <m:r>
            <m:rPr>
              <m:sty m:val="p"/>
            </m:rPr>
            <m:t>=</m:t>
          </m:r>
          <m:f>
            <m:fPr>
              <m:type m:val="bar"/>
            </m:fPr>
            <m:num>
              <m:nary>
                <m:naryPr>
                  <m:chr m:val="∑"/>
                  <m:limLoc m:val="undOvr"/>
                  <m:subHide m:val="0"/>
                  <m:supHide m:val="0"/>
                </m:naryPr>
                <m:sub>
                  <m:r>
                    <m:t>i</m:t>
                  </m:r>
                  <m:r>
                    <m:rPr>
                      <m:sty m:val="p"/>
                    </m:rPr>
                    <m:t>=</m:t>
                  </m:r>
                  <m:r>
                    <m:t>1</m:t>
                  </m:r>
                </m:sub>
                <m:sup>
                  <m:r>
                    <m:t>n</m:t>
                  </m:r>
                </m:sup>
                <m:e>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e>
              </m:nary>
            </m:num>
            <m:den>
              <m:r>
                <m:t>n</m:t>
              </m:r>
            </m:den>
          </m:f>
        </m:oMath>
      </m:oMathPara>
    </w:p>
    <w:p>
      <w:pPr>
        <w:pStyle w:val="FirstParagraph"/>
      </w:pPr>
      <w:r>
        <w:t xml:space="preserve">We note that ecological outcome in water year</w:t>
      </w:r>
      <w:r>
        <w:t xml:space="preserve"> </w:t>
      </w:r>
      <m:oMath>
        <m:r>
          <m:t>w</m:t>
        </m:r>
        <m:r>
          <m:t>y</m:t>
        </m:r>
      </m:oMath>
      <w:r>
        <w:t xml:space="preserve"> </w:t>
      </w:r>
      <w:r>
        <w:t xml:space="preserve">is obtained for BY = wy - 1 for both salmon species.</w:t>
      </w:r>
    </w:p>
    <w:p>
      <w:pPr>
        <w:pStyle w:val="BodyText"/>
      </w:pPr>
      <w:r>
        <w:t xml:space="preserve">An ensemble average model approach is necessary for the HB function to dampen the possible sensitivity of any individual linear model to a single water-year outcome. This approach avoids over-interpretation of results given the small ecological dataset.</w:t>
      </w:r>
    </w:p>
    <w:bookmarkEnd w:id="55"/>
    <w:bookmarkStart w:id="56" w:name="hydrologic-benefit-function-sensitivity"/>
    <w:p>
      <w:pPr>
        <w:pStyle w:val="Heading3"/>
      </w:pPr>
      <w:r>
        <w:rPr>
          <w:rStyle w:val="SectionNumber"/>
        </w:rPr>
        <w:t xml:space="preserve">3.4.4</w:t>
      </w:r>
      <w:r>
        <w:tab/>
      </w:r>
      <w:r>
        <w:t xml:space="preserve">Hydrologic Benefit Function sensitivity</w:t>
      </w:r>
    </w:p>
    <w:p>
      <w:pPr>
        <w:pStyle w:val="FirstParagraph"/>
      </w:pPr>
      <w:r>
        <w:t xml:space="preserve">To further explore the uncertainty associated with such a small dataset, the sensitivity of the predictive model was estimated by adding an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bookmarkEnd w:id="56"/>
    <w:bookmarkEnd w:id="57"/>
    <w:bookmarkEnd w:id="58"/>
    <w:bookmarkStart w:id="94"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As a result, the wet season has notably narrowed over time with (approximate) fall onset trending later and the spring flow recession trending to begin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0" name="Picture"/>
            <a:graphic>
              <a:graphicData uri="http://schemas.openxmlformats.org/drawingml/2006/picture">
                <pic:pic>
                  <pic:nvPicPr>
                    <pic:cNvPr descr="Graphics%20and%20Supplements/Figure%205.png" id="61" name="Picture"/>
                    <pic:cNvPicPr>
                      <a:picLocks noChangeArrowheads="1" noChangeAspect="1"/>
                    </pic:cNvPicPr>
                  </pic:nvPicPr>
                  <pic:blipFill>
                    <a:blip r:embed="rId5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6.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4" w:name="metric-selection-and-utility"/>
    <w:p>
      <w:pPr>
        <w:pStyle w:val="Heading2"/>
      </w:pPr>
      <w:r>
        <w:rPr>
          <w:rStyle w:val="SectionNumber"/>
        </w:rPr>
        <w:t xml:space="preserve">4.2</w:t>
      </w:r>
      <w:r>
        <w:tab/>
      </w:r>
      <w:r>
        <w:t xml:space="preserve">Metric selection and utility</w:t>
      </w:r>
    </w:p>
    <w:bookmarkStart w:id="69" w:name="Xe0045489063e8ee0e0ac9500240eb2c8deabf2c"/>
    <w:p>
      <w:pPr>
        <w:pStyle w:val="Heading3"/>
      </w:pPr>
      <w:r>
        <w:rPr>
          <w:rStyle w:val="SectionNumber"/>
        </w:rPr>
        <w:t xml:space="preserve">4.2.1</w:t>
      </w:r>
      <w:r>
        <w:tab/>
      </w:r>
      <w:r>
        <w:t xml:space="preserve">Selection of ecological response variable: coho and Chinook outcome metrics</w:t>
      </w:r>
    </w:p>
    <w:p>
      <w:pPr>
        <w:pStyle w:val="FirstParagraph"/>
      </w:pPr>
      <w:r>
        <w:t xml:space="preserve">Correlation coefficients were used to select the ecological response variable for each species: coho smolts per female spawner (coho spf) and Chinook juveniles per adult (jpa).</w:t>
      </w:r>
    </w:p>
    <w:p>
      <w:pPr>
        <w:pStyle w:val="BodyText"/>
      </w:pPr>
      <w:r>
        <w:t xml:space="preserve">In the correlation analysis we assessed relatedness of ecological outcome metrics with both types of hydrologic metric (reconnection/disconnection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 was selected to identify the best candidates among those available, even if it does not denote particularly strong predictive power on its own.</w:t>
      </w:r>
    </w:p>
    <w:p>
      <w:pPr>
        <w:pStyle w:val="BodyText"/>
      </w:pPr>
      <w:r>
        <w:t xml:space="preserve">For coho salmon, the smolt per female spawner (coho spf) metric is negatively correlated with BY_recon at all thresholds. To a lesser degree, it is positively correlated with RY_discon at all thresholds, and negatively correlated with RY_recon at all thresholds but one. Among functional flow metrics, coho spf was positively correlated (with</w:t>
      </w:r>
      <w:r>
        <w:t xml:space="preserve">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but these were excluded from the linear modeling exercise due to insufficient sample size. These correlations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amonge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uses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7" name="Picture"/>
            <a:graphic>
              <a:graphicData uri="http://schemas.openxmlformats.org/drawingml/2006/picture">
                <pic:pic>
                  <pic:nvPicPr>
                    <pic:cNvPr descr="Graphics%20and%20Supplements/Figure%207.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End w:id="69"/>
    <w:bookmarkStart w:id="73" w:name="Xd8bced2a8d219ec93c5448648f1751e5fa73d5a"/>
    <w:p>
      <w:pPr>
        <w:pStyle w:val="Heading3"/>
      </w:pPr>
      <w:r>
        <w:rPr>
          <w:rStyle w:val="SectionNumber"/>
        </w:rPr>
        <w:t xml:space="preserve">4.2.2</w:t>
      </w:r>
      <w:r>
        <w:tab/>
      </w:r>
      <w:r>
        <w:t xml:space="preserve">Selection of thresholds for fall reconnection dates</w:t>
      </w:r>
    </w:p>
    <w:p>
      <w:pPr>
        <w:pStyle w:val="FirstParagraph"/>
      </w:pPr>
      <w:r>
        <w:t xml:space="preserve">As mentioned in Methods, we examined relationships between reconnection dates and biological monitoring data in order to identify the flow threshold(s) with the highest predictive power and potentially the lowest redundancy. Relationships between the Brood Year reconnection dates for six flow thresholds and coho spf are shown in Figure</w:t>
      </w:r>
      <w:r>
        <w:t xml:space="preserve"> </w:t>
      </w:r>
      <w:r>
        <w:t xml:space="preserve">9</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like 8 and 10 cfs, a data censoring problem emerges, as the flow never drops below the threshold in some years.</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Using only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9</w:t>
      </w:r>
      <w:r>
        <w:t xml:space="preserve">). This decision could be revisited if additional years of data become available.</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1" name="Picture"/>
            <a:graphic>
              <a:graphicData uri="http://schemas.openxmlformats.org/drawingml/2006/picture">
                <pic:pic>
                  <pic:nvPicPr>
                    <pic:cNvPr descr="Graphics%20and%20Supplements/Figure%208.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bookmarkEnd w:id="73"/>
    <w:bookmarkEnd w:id="74"/>
    <w:bookmarkStart w:id="83" w:name="linear-modeling"/>
    <w:p>
      <w:pPr>
        <w:pStyle w:val="Heading2"/>
      </w:pPr>
      <w:r>
        <w:rPr>
          <w:rStyle w:val="SectionNumber"/>
        </w:rPr>
        <w:t xml:space="preserve">4.3</w:t>
      </w:r>
      <w:r>
        <w:tab/>
      </w:r>
      <w:r>
        <w:t xml:space="preserve">Linear modeling</w:t>
      </w:r>
    </w:p>
    <w:p>
      <w:pPr>
        <w:pStyle w:val="FirstParagraph"/>
      </w:pPr>
      <w:r>
        <w:t xml:space="preserve">We used all hydrologic predictors to generate the set of all possible 1- and 2-predictor linear models of the relative reproduction for Chinook (Chinook jpa) and coho (coho spf) salmon. Coho reproduction rates appear to be correlated with some hydrologic metrics, based on the hydrologic conditions and coho observations in brood years 2004 - 2019, corresponding to water years 2007-2020. Relative reproduction in Chinook was less predictable than in coho, using the same set of hydrologic predictors: for Chinook, maximum</w:t>
      </w:r>
      <w:r>
        <w:t xml:space="preserve"> </w:t>
      </w:r>
      <m:oMath>
        <m:sSup>
          <m:e>
            <m:r>
              <m:t>R</m:t>
            </m:r>
          </m:e>
          <m:sup>
            <m:r>
              <m:t>2</m:t>
            </m:r>
          </m:sup>
        </m:sSup>
      </m:oMath>
      <w:r>
        <w:t xml:space="preserve"> </w:t>
      </w:r>
      <w:r>
        <w:t xml:space="preserve">values were 0.2 and 0.5 for single- and two-predictor models, respectively, while for coho they were 0.5 and 0.9 (Figure</w:t>
      </w:r>
      <w:r>
        <w:t xml:space="preserve"> </w:t>
      </w:r>
      <w:r>
        <w:t xml:space="preserve">10</w:t>
      </w:r>
      <w:r>
        <w:t xml:space="preserve">). Given the limited strength of the Chinook data, the development of the HB function was conducted only for coho salmon.</w:t>
      </w:r>
    </w:p>
    <w:p>
      <w:pPr>
        <w:pStyle w:val="CaptionedFigure"/>
      </w:pPr>
      <w:r>
        <w:drawing>
          <wp:inline>
            <wp:extent cx="5334000" cy="4572000"/>
            <wp:effectExtent b="0" l="0" r="0" t="0"/>
            <wp:docPr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title="" id="76" name="Picture"/>
            <a:graphic>
              <a:graphicData uri="http://schemas.openxmlformats.org/drawingml/2006/picture">
                <pic:pic>
                  <pic:nvPicPr>
                    <pic:cNvPr descr="Graphics%20and%20Supplements/Figure%209.png" id="77" name="Picture"/>
                    <pic:cNvPicPr>
                      <a:picLocks noChangeArrowheads="1" noChangeAspect="1"/>
                    </pic:cNvPicPr>
                  </pic:nvPicPr>
                  <pic:blipFill>
                    <a:blip r:embed="rId7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w:t>
      </w:r>
    </w:p>
    <w:bookmarkStart w:id="78" w:name="X7f0c115bd79c0d96caf6a52e90595ecd1d24cca"/>
    <w:p>
      <w:pPr>
        <w:pStyle w:val="Heading3"/>
      </w:pPr>
      <w:r>
        <w:rPr>
          <w:rStyle w:val="SectionNumber"/>
        </w:rPr>
        <w:t xml:space="preserve">4.3.1</w:t>
      </w:r>
      <w:r>
        <w:tab/>
      </w:r>
      <w:r>
        <w:t xml:space="preserve">Hydrologic predictors and model structure</w:t>
      </w:r>
    </w:p>
    <w:p>
      <w:pPr>
        <w:pStyle w:val="FirstParagraph"/>
      </w:pPr>
      <w:r>
        <w:t xml:space="preserve">For coho, the best single-predictor models (Brood Year fall reconnection dates for 10 and 100 cfs, or BY_recon_10 and BY_recon_100) are both related to the timing of rising fall flows in the Brood Year of each salmon cohort (Table</w:t>
      </w:r>
      <w:r>
        <w:t xml:space="preserve"> </w:t>
      </w:r>
      <w:r>
        <w:t xml:space="preserve">2</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This is evident in the greater abundance of 2-predictor models with higher</w:t>
      </w:r>
      <w:r>
        <w:t xml:space="preserve"> </w:t>
      </w:r>
      <m:oMath>
        <m:sSup>
          <m:e>
            <m:r>
              <m:t>R</m:t>
            </m:r>
          </m:e>
          <m:sup>
            <m:r>
              <m:t>2</m:t>
            </m:r>
          </m:sup>
        </m:sSup>
      </m:oMath>
      <w:r>
        <w:t xml:space="preserve"> </w:t>
      </w:r>
      <w:r>
        <w:t xml:space="preserve">and lower p-values (Figure</w:t>
      </w:r>
      <w:r>
        <w:t xml:space="preserve"> </w:t>
      </w:r>
      <w:r>
        <w:t xml:space="preserve">10</w:t>
      </w:r>
      <w:r>
        <w:t xml:space="preserve">;</w:t>
      </w:r>
      <w:r>
        <w:t xml:space="preserve"> </w:t>
      </w:r>
      <w:r>
        <w:rPr>
          <w:iCs/>
          <w:i/>
        </w:rPr>
        <w:t xml:space="preserve">Supplemental Tables 3</w:t>
      </w:r>
      <w:r>
        <w:t xml:space="preserve"> </w:t>
      </w:r>
      <w:r>
        <w:t xml:space="preserve">through</w:t>
      </w:r>
      <w:r>
        <w:t xml:space="preserve"> </w:t>
      </w:r>
      <w:r>
        <w:rPr>
          <w:iCs/>
          <w:i/>
        </w:rPr>
        <w:t xml:space="preserve">6</w:t>
      </w:r>
      <w:r>
        <w:t xml:space="preserve">), as well as in the increased</w:t>
      </w:r>
      <w:r>
        <w:t xml:space="preserve"> </w:t>
      </w:r>
      <m:oMath>
        <m:sSup>
          <m:e>
            <m:r>
              <m:t>R</m:t>
            </m:r>
          </m:e>
          <m:sup>
            <m:r>
              <m:t>2</m:t>
            </m:r>
          </m:sup>
        </m:sSup>
      </m:oMath>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(Tables</w:t>
      </w:r>
      <w:r>
        <w:t xml:space="preserve"> </w:t>
      </w:r>
      <w:r>
        <w:t xml:space="preserve">2</w:t>
      </w:r>
      <w:r>
        <w:t xml:space="preserve"> </w:t>
      </w:r>
      <w:r>
        <w:t xml:space="preserve">and</w:t>
      </w:r>
      <w:r>
        <w:t xml:space="preserve"> </w:t>
      </w:r>
      <w:r>
        <w:t xml:space="preserve">3</w:t>
      </w:r>
      <w:r>
        <w:t xml:space="preserve">; Figure</w:t>
      </w:r>
      <w:r>
        <w:t xml:space="preserve"> </w:t>
      </w:r>
      <w:r>
        <w:t xml:space="preserve">11</w:t>
      </w:r>
      <w:r>
        <w:t xml:space="preserve">).</w:t>
      </w:r>
    </w:p>
    <w:bookmarkEnd w:id="78"/>
    <w:bookmarkStart w:id="82" w:name="model-selection-criteria"/>
    <w:p>
      <w:pPr>
        <w:pStyle w:val="Heading3"/>
      </w:pPr>
      <w:r>
        <w:rPr>
          <w:rStyle w:val="SectionNumber"/>
        </w:rPr>
        <w:t xml:space="preserve">4.3.2</w:t>
      </w:r>
      <w:r>
        <w:tab/>
      </w:r>
      <w:r>
        <w:t xml:space="preserve">Model selection criteria</w:t>
      </w:r>
    </w:p>
    <w:p>
      <w:pPr>
        <w:pStyle w:val="FirstParagraph"/>
      </w:pPr>
      <w:r>
        <w:t xml:space="preserve">The minimum performance criteria were established to select the final set of best model were: adjusted</w:t>
      </w:r>
      <w:r>
        <w:t xml:space="preserve"> </w:t>
      </w:r>
      <m:oMath>
        <m:sSup>
          <m:e>
            <m:r>
              <m:t>R</m:t>
            </m:r>
          </m:e>
          <m:sup>
            <m:r>
              <m:t>2</m:t>
            </m:r>
          </m:sup>
        </m:sSup>
      </m:oMath>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is best evaluated using information from multiple seasons.</w:t>
      </w:r>
    </w:p>
    <w:p>
      <w:pPr>
        <w:pStyle w:val="BodyText"/>
      </w:pPr>
      <w:r>
        <w:t xml:space="preserve">For coho, because the predictor BY_recon_10 (Brood Year reconnection date, 10 cfs) performed so much better than all other metrics in the one-predictor model set, all two-predictor models evaluated included that predictor (Table 2). Specifically, each of the three two-predictor models which met the selection criterio included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80" name="Picture"/>
            <a:graphic>
              <a:graphicData uri="http://schemas.openxmlformats.org/drawingml/2006/picture">
                <pic:pic>
                  <pic:nvPicPr>
                    <pic:cNvPr descr="Graphics%20and%20Supplements/Figure%2010.png" id="81" name="Picture"/>
                    <pic:cNvPicPr>
                      <a:picLocks noChangeArrowheads="1" noChangeAspect="1"/>
                    </pic:cNvPicPr>
                  </pic:nvPicPr>
                  <pic:blipFill>
                    <a:blip r:embed="rId7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2"/>
    <w:bookmarkEnd w:id="83"/>
    <w:bookmarkStart w:id="93" w:name="hydrologic-benefit-function"/>
    <w:p>
      <w:pPr>
        <w:pStyle w:val="Heading2"/>
      </w:pPr>
      <w:r>
        <w:rPr>
          <w:rStyle w:val="SectionNumber"/>
        </w:rPr>
        <w:t xml:space="preserve">4.4</w:t>
      </w:r>
      <w:r>
        <w:tab/>
      </w:r>
      <w:r>
        <w:t xml:space="preserve">Hydrologic Benefit Function</w:t>
      </w:r>
    </w:p>
    <w:bookmarkStart w:id="84"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90"/>
        <w:gridCol w:w="1267"/>
        <w:gridCol w:w="1866"/>
        <w:gridCol w:w="1719"/>
        <w:gridCol w:w="2232"/>
        <w:gridCol w:w="1744"/>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-1.119810</w:t>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-1.240451</w:t>
            </w:r>
          </w:p>
        </w:tc>
      </w:tr>
      <w:tr>
        <w:trPr>
          <w:trHeight w:val="572"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-1.102907</w:t>
            </w:r>
          </w:p>
        </w:tc>
      </w:tr>
      <w:tr>
        <w:trPr>
          <w:trHeight w:val="614" w:hRule="auto"/>
        </w:trPr>
        body4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Ensemble Avg.</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93.39</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-1.154389</w:t>
            </w:r>
          </w:p>
        </w:tc>
      </w:tr>
    </w:tbl>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13</w:t>
      </w:r>
      <w:r>
        <w:t xml:space="preserve">; the intercept term is excluded for ease of visualization).</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Start w:id="92"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12</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2"/>
    <w:bookmarkEnd w:id="93"/>
    <w:bookmarkEnd w:id="94"/>
    <w:bookmarkStart w:id="101" w:name="discussion"/>
    <w:p>
      <w:pPr>
        <w:pStyle w:val="Heading1"/>
      </w:pPr>
      <w:r>
        <w:rPr>
          <w:rStyle w:val="SectionNumber"/>
        </w:rPr>
        <w:t xml:space="preserve">5</w:t>
      </w:r>
      <w:r>
        <w:tab/>
      </w:r>
      <w:r>
        <w:t xml:space="preserve">Discussion</w:t>
      </w:r>
    </w:p>
    <w:bookmarkStart w:id="9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6"/>
    <w:bookmarkStart w:id="97"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4"/>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4"/>
        </w:numPr>
        <w:pStyle w:val="Compact"/>
      </w:pPr>
      <w:r>
        <w:t xml:space="preserve">Chinook typically do not oversummer in the freshwater system, potentially making them less vulnerable than coho to dry season conditions.</w:t>
      </w:r>
    </w:p>
    <w:p>
      <w:pPr>
        <w:numPr>
          <w:ilvl w:val="0"/>
          <w:numId w:val="1004"/>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7"/>
    <w:bookmarkStart w:id="98"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8"/>
    <w:bookmarkStart w:id="99"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13</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9"/>
    <w:bookmarkStart w:id="100"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5"/>
        </w:numPr>
        <w:pStyle w:val="Compact"/>
      </w:pPr>
      <w:r>
        <w:t xml:space="preserve">Effective population size</w:t>
      </w:r>
    </w:p>
    <w:p>
      <w:pPr>
        <w:numPr>
          <w:ilvl w:val="0"/>
          <w:numId w:val="1005"/>
        </w:numPr>
        <w:pStyle w:val="Compact"/>
      </w:pPr>
      <w:r>
        <w:t xml:space="preserve">Population size per generation</w:t>
      </w:r>
    </w:p>
    <w:p>
      <w:pPr>
        <w:numPr>
          <w:ilvl w:val="0"/>
          <w:numId w:val="1005"/>
        </w:numPr>
        <w:pStyle w:val="Compact"/>
      </w:pPr>
      <w:r>
        <w:t xml:space="preserve">Population decline (rate of decline)</w:t>
      </w:r>
    </w:p>
    <w:p>
      <w:pPr>
        <w:numPr>
          <w:ilvl w:val="0"/>
          <w:numId w:val="1005"/>
        </w:numPr>
        <w:pStyle w:val="Compact"/>
      </w:pPr>
      <w:r>
        <w:t xml:space="preserve">Catastrophic decline (order of magnitude decline within 1 generation)</w:t>
      </w:r>
    </w:p>
    <w:p>
      <w:pPr>
        <w:numPr>
          <w:ilvl w:val="0"/>
          <w:numId w:val="1005"/>
        </w:numPr>
        <w:pStyle w:val="Compact"/>
      </w:pPr>
      <w:r>
        <w:t xml:space="preserve">Spawner density</w:t>
      </w:r>
    </w:p>
    <w:p>
      <w:pPr>
        <w:numPr>
          <w:ilvl w:val="0"/>
          <w:numId w:val="1005"/>
        </w:numPr>
        <w:pStyle w:val="Compact"/>
      </w:pPr>
      <w:r>
        <w:t xml:space="preserve">Potential spatial habitat capacity, in units of Intrinsic Potential (IP)</w:t>
      </w:r>
    </w:p>
    <w:p>
      <w:pPr>
        <w:numPr>
          <w:ilvl w:val="0"/>
          <w:numId w:val="1005"/>
        </w:numPr>
        <w:pStyle w:val="Compact"/>
      </w:pPr>
      <w:r>
        <w:t xml:space="preserve">Hatchery influence</w:t>
      </w:r>
    </w:p>
    <w:p>
      <w:pPr>
        <w:numPr>
          <w:ilvl w:val="0"/>
          <w:numId w:val="1005"/>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25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50" w:name="refs"/>
    <w:bookmarkStart w:id="10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2">
        <w:r>
          <w:rPr>
            <w:rStyle w:val="Hyperlink"/>
          </w:rPr>
          <w:t xml:space="preserve">https://doi.org/10.1890/130134</w:t>
        </w:r>
      </w:hyperlink>
      <w:r>
        <w:t xml:space="preserve">.</w:t>
      </w:r>
    </w:p>
    <w:bookmarkEnd w:id="103"/>
    <w:bookmarkStart w:id="104"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4"/>
    <w:bookmarkStart w:id="10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05">
        <w:r>
          <w:rPr>
            <w:rStyle w:val="Hyperlink"/>
          </w:rPr>
          <w:t xml:space="preserve">https://doi.org/10.1890/1540-9295(2006)4[309:IFNISA]2.0.CO;2</w:t>
        </w:r>
      </w:hyperlink>
      <w:r>
        <w:t xml:space="preserve">.</w:t>
      </w:r>
    </w:p>
    <w:bookmarkEnd w:id="106"/>
    <w:bookmarkStart w:id="10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07">
        <w:r>
          <w:rPr>
            <w:rStyle w:val="Hyperlink"/>
          </w:rPr>
          <w:t xml:space="preserve">https://doi.org/10.1002/rra</w:t>
        </w:r>
      </w:hyperlink>
      <w:r>
        <w:t xml:space="preserve">.</w:t>
      </w:r>
    </w:p>
    <w:bookmarkEnd w:id="108"/>
    <w:bookmarkStart w:id="11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09">
        <w:r>
          <w:rPr>
            <w:rStyle w:val="Hyperlink"/>
          </w:rPr>
          <w:t xml:space="preserve">https://doi.org/10.2307/1446234</w:t>
        </w:r>
      </w:hyperlink>
      <w:r>
        <w:t xml:space="preserve">.</w:t>
      </w:r>
    </w:p>
    <w:bookmarkEnd w:id="110"/>
    <w:bookmarkStart w:id="11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11">
        <w:r>
          <w:rPr>
            <w:rStyle w:val="Hyperlink"/>
          </w:rPr>
          <w:t xml:space="preserve">https://doi.org/10.1007/s11160-016-9432-3</w:t>
        </w:r>
      </w:hyperlink>
      <w:r>
        <w:t xml:space="preserve">.</w:t>
      </w:r>
    </w:p>
    <w:bookmarkEnd w:id="112"/>
    <w:bookmarkStart w:id="11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3">
        <w:r>
          <w:rPr>
            <w:rStyle w:val="Hyperlink"/>
          </w:rPr>
          <w:t xml:space="preserve">https://doi.org/10.1577/1548-8659(1997)126&lt;0049</w:t>
        </w:r>
      </w:hyperlink>
      <w:r>
        <w:t xml:space="preserve">.</w:t>
      </w:r>
    </w:p>
    <w:bookmarkEnd w:id="114"/>
    <w:bookmarkStart w:id="11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15">
        <w:r>
          <w:rPr>
            <w:rStyle w:val="Hyperlink"/>
          </w:rPr>
          <w:t xml:space="preserve">https://doi.org/10.1577/1548-8675(1994)014&lt;0237:hdacso&gt;2.3.co;2</w:t>
        </w:r>
      </w:hyperlink>
      <w:r>
        <w:t xml:space="preserve">.</w:t>
      </w:r>
    </w:p>
    <w:bookmarkEnd w:id="116"/>
    <w:bookmarkStart w:id="118"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17">
        <w:r>
          <w:rPr>
            <w:rStyle w:val="Hyperlink"/>
          </w:rPr>
          <w:t xml:space="preserve">https://doi.org/10.1007/s00267-002-2737-0</w:t>
        </w:r>
      </w:hyperlink>
      <w:r>
        <w:t xml:space="preserve">.</w:t>
      </w:r>
    </w:p>
    <w:bookmarkEnd w:id="118"/>
    <w:bookmarkStart w:id="11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19"/>
    <w:bookmarkStart w:id="12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20">
        <w:r>
          <w:rPr>
            <w:rStyle w:val="Hyperlink"/>
          </w:rPr>
          <w:t xml:space="preserve">https://www.fs.usda.gov/Internet/FSE{\_}DOCUMENTS/stelprd3850544.pdf</w:t>
        </w:r>
      </w:hyperlink>
      <w:r>
        <w:t xml:space="preserve">.</w:t>
      </w:r>
    </w:p>
    <w:bookmarkEnd w:id="121"/>
    <w:bookmarkStart w:id="12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2">
        <w:r>
          <w:rPr>
            <w:rStyle w:val="Hyperlink"/>
          </w:rPr>
          <w:t xml:space="preserve">http://www.fgc.ca.gov/meetings/2015/Aug/Exhibits/0805{\_}Item{\_}38{\_}CohoStatusReport.pdf</w:t>
        </w:r>
      </w:hyperlink>
      <w:r>
        <w:t xml:space="preserve">.</w:t>
      </w:r>
    </w:p>
    <w:bookmarkEnd w:id="123"/>
    <w:bookmarkStart w:id="12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4">
        <w:r>
          <w:rPr>
            <w:rStyle w:val="Hyperlink"/>
          </w:rPr>
          <w:t xml:space="preserve">https://wildlife.ca.gov/Conservation/Watersheds/Instream-Flow/Studies/Scott-Shasta-Study</w:t>
        </w:r>
      </w:hyperlink>
      <w:r>
        <w:t xml:space="preserve">.</w:t>
      </w:r>
    </w:p>
    <w:bookmarkEnd w:id="125"/>
    <w:bookmarkStart w:id="12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26"/>
    <w:bookmarkStart w:id="128"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27">
        <w:r>
          <w:rPr>
            <w:rStyle w:val="Hyperlink"/>
          </w:rPr>
          <w:t xml:space="preserve">https://www.waterboards.ca.gov/drought/scott{\_}shasta{\_}rivers/docs/2022/klamath-reg-oal-approval-2022.pdf</w:t>
        </w:r>
      </w:hyperlink>
      <w:r>
        <w:t xml:space="preserve">.</w:t>
      </w:r>
    </w:p>
    <w:bookmarkEnd w:id="128"/>
    <w:bookmarkStart w:id="129"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29"/>
    <w:bookmarkStart w:id="131"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30">
        <w:r>
          <w:rPr>
            <w:rStyle w:val="Hyperlink"/>
          </w:rPr>
          <w:t xml:space="preserve">https://doi.org/10.1111/j.0022-1112.2004.00486.x</w:t>
        </w:r>
      </w:hyperlink>
      <w:r>
        <w:t xml:space="preserve">.</w:t>
      </w:r>
    </w:p>
    <w:bookmarkEnd w:id="131"/>
    <w:bookmarkStart w:id="133"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2">
        <w:r>
          <w:rPr>
            <w:rStyle w:val="Hyperlink"/>
          </w:rPr>
          <w:t xml:space="preserve">https://doi.org/10.3733/ca.v054n06p46</w:t>
        </w:r>
      </w:hyperlink>
      <w:r>
        <w:t xml:space="preserve">.</w:t>
      </w:r>
    </w:p>
    <w:bookmarkEnd w:id="133"/>
    <w:bookmarkStart w:id="135"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4">
        <w:r>
          <w:rPr>
            <w:rStyle w:val="Hyperlink"/>
          </w:rPr>
          <w:t xml:space="preserve">https://water.ca.gov/Programs/Water-Use-And-Efficiency/Land-And-Water-Use/Agricultural-Land-And-Water-Use-Estimates</w:t>
        </w:r>
      </w:hyperlink>
      <w:r>
        <w:t xml:space="preserve">.</w:t>
      </w:r>
    </w:p>
    <w:bookmarkEnd w:id="135"/>
    <w:bookmarkStart w:id="137"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36">
        <w:r>
          <w:rPr>
            <w:rStyle w:val="Hyperlink"/>
          </w:rPr>
          <w:t xml:space="preserve">http://groundwater.ucdavis.edu/files/165395.pdf</w:t>
        </w:r>
      </w:hyperlink>
      <w:r>
        <w:t xml:space="preserve">.</w:t>
      </w:r>
    </w:p>
    <w:bookmarkEnd w:id="137"/>
    <w:bookmarkStart w:id="13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38">
        <w:r>
          <w:rPr>
            <w:rStyle w:val="Hyperlink"/>
          </w:rPr>
          <w:t xml:space="preserve">https://kbifrm.psmfc.org/wp-content/uploads/2016/12/Graham{\_}2012{\_}0010{\_}Klamath-River-Basin-Restoration-Nonuse-Value-Survey-Final-Report.pdf</w:t>
        </w:r>
      </w:hyperlink>
      <w:r>
        <w:t xml:space="preserve">.</w:t>
      </w:r>
    </w:p>
    <w:bookmarkEnd w:id="139"/>
    <w:bookmarkStart w:id="141"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40">
        <w:r>
          <w:rPr>
            <w:rStyle w:val="Hyperlink"/>
          </w:rPr>
          <w:t xml:space="preserve">https://doi.org/10.1111/fwb.13048</w:t>
        </w:r>
      </w:hyperlink>
      <w:r>
        <w:t xml:space="preserve">.</w:t>
      </w:r>
    </w:p>
    <w:bookmarkEnd w:id="141"/>
    <w:bookmarkStart w:id="14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2">
        <w:r>
          <w:rPr>
            <w:rStyle w:val="Hyperlink"/>
          </w:rPr>
          <w:t xml:space="preserve">http://groundwater.ucdavis.edu/files/136426.pdf</w:t>
        </w:r>
      </w:hyperlink>
      <w:r>
        <w:t xml:space="preserve">.</w:t>
      </w:r>
    </w:p>
    <w:bookmarkEnd w:id="143"/>
    <w:bookmarkStart w:id="14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4"/>
    <w:bookmarkStart w:id="145"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45"/>
    <w:bookmarkStart w:id="147"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46">
        <w:r>
          <w:rPr>
            <w:rStyle w:val="Hyperlink"/>
          </w:rPr>
          <w:t xml:space="preserve">https://doi.org/10.1007/978-1-4614-7138-7</w:t>
        </w:r>
      </w:hyperlink>
      <w:r>
        <w:t xml:space="preserve">.</w:t>
      </w:r>
    </w:p>
    <w:bookmarkEnd w:id="147"/>
    <w:bookmarkStart w:id="14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48">
        <w:r>
          <w:rPr>
            <w:rStyle w:val="Hyperlink"/>
          </w:rPr>
          <w:t xml:space="preserve">https://nrm.dfg.ca.gov/FileHandler.ashx?DocumentID=77836</w:t>
        </w:r>
      </w:hyperlink>
      <w:r>
        <w:t xml:space="preserve">.</w:t>
      </w:r>
    </w:p>
    <w:bookmarkEnd w:id="149"/>
    <w:bookmarkStart w:id="150"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50"/>
    <w:bookmarkStart w:id="151"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51"/>
    <w:bookmarkStart w:id="15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07">
        <w:r>
          <w:rPr>
            <w:rStyle w:val="Hyperlink"/>
          </w:rPr>
          <w:t xml:space="preserve">https://doi.org/10.1002/rra</w:t>
        </w:r>
      </w:hyperlink>
      <w:r>
        <w:t xml:space="preserve">.</w:t>
      </w:r>
    </w:p>
    <w:bookmarkEnd w:id="152"/>
    <w:bookmarkStart w:id="15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3">
        <w:r>
          <w:rPr>
            <w:rStyle w:val="Hyperlink"/>
          </w:rPr>
          <w:t xml:space="preserve">https://doi.org/10.1029/2020WR028496</w:t>
        </w:r>
      </w:hyperlink>
      <w:r>
        <w:t xml:space="preserve">.</w:t>
      </w:r>
    </w:p>
    <w:bookmarkEnd w:id="154"/>
    <w:bookmarkStart w:id="156"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55">
        <w:r>
          <w:rPr>
            <w:rStyle w:val="Hyperlink"/>
          </w:rPr>
          <w:t xml:space="preserve">https://pubs.usgs.gov/wsp/1462/report.pdf</w:t>
        </w:r>
      </w:hyperlink>
      <w:r>
        <w:t xml:space="preserve">.</w:t>
      </w:r>
    </w:p>
    <w:bookmarkEnd w:id="156"/>
    <w:bookmarkStart w:id="157"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57"/>
    <w:bookmarkStart w:id="158"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58"/>
    <w:bookmarkStart w:id="160"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59">
        <w:r>
          <w:rPr>
            <w:rStyle w:val="Hyperlink"/>
          </w:rPr>
          <w:t xml:space="preserve">https://doi.org/10.1111/fwb.13062</w:t>
        </w:r>
      </w:hyperlink>
      <w:r>
        <w:t xml:space="preserve">.</w:t>
      </w:r>
    </w:p>
    <w:bookmarkEnd w:id="160"/>
    <w:bookmarkStart w:id="161"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61"/>
    <w:bookmarkStart w:id="16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2">
        <w:r>
          <w:rPr>
            <w:rStyle w:val="Hyperlink"/>
          </w:rPr>
          <w:t xml:space="preserve">https://doi.org/10.1007/s00267-013-0055-3</w:t>
        </w:r>
      </w:hyperlink>
      <w:r>
        <w:t xml:space="preserve">.</w:t>
      </w:r>
    </w:p>
    <w:bookmarkEnd w:id="163"/>
    <w:bookmarkStart w:id="16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4"/>
    <w:bookmarkStart w:id="16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07">
        <w:r>
          <w:rPr>
            <w:rStyle w:val="Hyperlink"/>
          </w:rPr>
          <w:t xml:space="preserve">https://doi.org/10.1002/rra</w:t>
        </w:r>
      </w:hyperlink>
      <w:r>
        <w:t xml:space="preserve">.</w:t>
      </w:r>
    </w:p>
    <w:bookmarkEnd w:id="165"/>
    <w:bookmarkStart w:id="16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66">
        <w:r>
          <w:rPr>
            <w:rStyle w:val="Hyperlink"/>
          </w:rPr>
          <w:t xml:space="preserve">https://www.waterboards.ca.gov/water{\_}issues/programs/tmdl/records/region{\_}1/2010/ref3872.pdf</w:t>
        </w:r>
      </w:hyperlink>
      <w:r>
        <w:t xml:space="preserve">.</w:t>
      </w:r>
    </w:p>
    <w:bookmarkEnd w:id="167"/>
    <w:bookmarkStart w:id="16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68"/>
    <w:bookmarkStart w:id="17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69">
        <w:r>
          <w:rPr>
            <w:rStyle w:val="Hyperlink"/>
          </w:rPr>
          <w:t xml:space="preserve">https://www.fisheries.noaa.gov/resource/document/final-recovery-plan-southern-oregon-northern-california-coast-evolutionarily</w:t>
        </w:r>
      </w:hyperlink>
      <w:r>
        <w:t xml:space="preserve">.</w:t>
      </w:r>
    </w:p>
    <w:bookmarkEnd w:id="170"/>
    <w:bookmarkStart w:id="17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71">
        <w:r>
          <w:rPr>
            <w:rStyle w:val="Hyperlink"/>
          </w:rPr>
          <w:t xml:space="preserve">https://doi.org/10.1002/rra.700</w:t>
        </w:r>
      </w:hyperlink>
      <w:r>
        <w:t xml:space="preserve">.</w:t>
      </w:r>
    </w:p>
    <w:bookmarkEnd w:id="172"/>
    <w:bookmarkStart w:id="17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3">
        <w:r>
          <w:rPr>
            <w:rStyle w:val="Hyperlink"/>
          </w:rPr>
          <w:t xml:space="preserve">https://doi.org/10.1017/CBO9781107415324.004</w:t>
        </w:r>
      </w:hyperlink>
      <w:r>
        <w:t xml:space="preserve">.</w:t>
      </w:r>
    </w:p>
    <w:bookmarkEnd w:id="174"/>
    <w:bookmarkStart w:id="17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75"/>
    <w:bookmarkStart w:id="177"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76">
        <w:r>
          <w:rPr>
            <w:rStyle w:val="Hyperlink"/>
          </w:rPr>
          <w:t xml:space="preserve">https://doi.org/10.3389/fenvs.2021.790667</w:t>
        </w:r>
      </w:hyperlink>
      <w:r>
        <w:t xml:space="preserve">.</w:t>
      </w:r>
    </w:p>
    <w:bookmarkEnd w:id="177"/>
    <w:bookmarkStart w:id="17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78">
        <w:r>
          <w:rPr>
            <w:rStyle w:val="Hyperlink"/>
          </w:rPr>
          <w:t xml:space="preserve">https://doi.org/10.2307/1313099</w:t>
        </w:r>
      </w:hyperlink>
      <w:r>
        <w:t xml:space="preserve">.</w:t>
      </w:r>
    </w:p>
    <w:bookmarkEnd w:id="179"/>
    <w:bookmarkStart w:id="18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80">
        <w:r>
          <w:rPr>
            <w:rStyle w:val="Hyperlink"/>
          </w:rPr>
          <w:t xml:space="preserve">https://doi.org/10.1111/j.1365-2427.2009.02204.x</w:t>
        </w:r>
      </w:hyperlink>
      <w:r>
        <w:t xml:space="preserve">.</w:t>
      </w:r>
    </w:p>
    <w:bookmarkEnd w:id="181"/>
    <w:bookmarkStart w:id="18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2">
        <w:r>
          <w:rPr>
            <w:rStyle w:val="Hyperlink"/>
          </w:rPr>
          <w:t xml:space="preserve">https://doi.org/10.1111/j.1365-2427.2009.02272.x</w:t>
        </w:r>
      </w:hyperlink>
      <w:r>
        <w:t xml:space="preserve">.</w:t>
      </w:r>
    </w:p>
    <w:bookmarkEnd w:id="183"/>
    <w:bookmarkStart w:id="185"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4">
        <w:r>
          <w:rPr>
            <w:rStyle w:val="Hyperlink"/>
          </w:rPr>
          <w:t xml:space="preserve">https://www.siskiyourcd.com/resources</w:t>
        </w:r>
      </w:hyperlink>
      <w:r>
        <w:t xml:space="preserve">.</w:t>
      </w:r>
    </w:p>
    <w:bookmarkEnd w:id="185"/>
    <w:bookmarkStart w:id="187"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86">
        <w:r>
          <w:rPr>
            <w:rStyle w:val="Hyperlink"/>
          </w:rPr>
          <w:t xml:space="preserve">https://doi.org/10.1371/journal.pone.0098392</w:t>
        </w:r>
      </w:hyperlink>
      <w:r>
        <w:t xml:space="preserve">.</w:t>
      </w:r>
    </w:p>
    <w:bookmarkEnd w:id="187"/>
    <w:bookmarkStart w:id="189"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88">
        <w:r>
          <w:rPr>
            <w:rStyle w:val="Hyperlink"/>
          </w:rPr>
          <w:t xml:space="preserve">https://www.r-project.org/</w:t>
        </w:r>
      </w:hyperlink>
      <w:r>
        <w:t xml:space="preserve">.</w:t>
      </w:r>
    </w:p>
    <w:bookmarkEnd w:id="189"/>
    <w:bookmarkStart w:id="191"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90">
        <w:r>
          <w:rPr>
            <w:rStyle w:val="Hyperlink"/>
          </w:rPr>
          <w:t xml:space="preserve">https://doi.org/10.2307/3868443</w:t>
        </w:r>
      </w:hyperlink>
      <w:r>
        <w:t xml:space="preserve">.</w:t>
      </w:r>
    </w:p>
    <w:bookmarkEnd w:id="191"/>
    <w:bookmarkStart w:id="193"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92">
        <w:r>
          <w:rPr>
            <w:rStyle w:val="Hyperlink"/>
          </w:rPr>
          <w:t xml:space="preserve">https://doi.org/10.1577/t01-126</w:t>
        </w:r>
      </w:hyperlink>
      <w:r>
        <w:t xml:space="preserve">.</w:t>
      </w:r>
    </w:p>
    <w:bookmarkEnd w:id="193"/>
    <w:bookmarkStart w:id="195"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4">
        <w:r>
          <w:rPr>
            <w:rStyle w:val="Hyperlink"/>
          </w:rPr>
          <w:t xml:space="preserve">https://www.scottwatertrust.org/blank</w:t>
        </w:r>
      </w:hyperlink>
      <w:r>
        <w:t xml:space="preserve">.</w:t>
      </w:r>
    </w:p>
    <w:bookmarkEnd w:id="195"/>
    <w:bookmarkStart w:id="196"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196"/>
    <w:bookmarkStart w:id="198"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197">
        <w:r>
          <w:rPr>
            <w:rStyle w:val="Hyperlink"/>
          </w:rPr>
          <w:t xml:space="preserve">https://doi.org/10.1007/s00267-012-9864-z</w:t>
        </w:r>
      </w:hyperlink>
      <w:r>
        <w:t xml:space="preserve">.</w:t>
      </w:r>
    </w:p>
    <w:bookmarkEnd w:id="198"/>
    <w:bookmarkStart w:id="20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199">
        <w:r>
          <w:rPr>
            <w:rStyle w:val="Hyperlink"/>
          </w:rPr>
          <w:t xml:space="preserve">https://www.co.siskiyou.ca.us/naturalresources/page/scott-valley-gsp-chapters</w:t>
        </w:r>
      </w:hyperlink>
      <w:r>
        <w:t xml:space="preserve">.</w:t>
      </w:r>
    </w:p>
    <w:bookmarkEnd w:id="200"/>
    <w:bookmarkStart w:id="20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1">
        <w:r>
          <w:rPr>
            <w:rStyle w:val="Hyperlink"/>
          </w:rPr>
          <w:t xml:space="preserve">https://www.co.siskiyou.ca.us/scottvga/page/scott-valley-groundwater-advisory-committee-meeting-10</w:t>
        </w:r>
      </w:hyperlink>
      <w:r>
        <w:t xml:space="preserve">.</w:t>
      </w:r>
    </w:p>
    <w:bookmarkEnd w:id="202"/>
    <w:bookmarkStart w:id="20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3"/>
    <w:bookmarkStart w:id="20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4">
        <w:r>
          <w:rPr>
            <w:rStyle w:val="Hyperlink"/>
          </w:rPr>
          <w:t xml:space="preserve">https://www.siskiyourcd.com/resources</w:t>
        </w:r>
      </w:hyperlink>
      <w:r>
        <w:t xml:space="preserve">.</w:t>
      </w:r>
    </w:p>
    <w:bookmarkEnd w:id="204"/>
    <w:bookmarkStart w:id="20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5"/>
    <w:bookmarkStart w:id="20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6"/>
    <w:bookmarkStart w:id="20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4">
        <w:r>
          <w:rPr>
            <w:rStyle w:val="Hyperlink"/>
          </w:rPr>
          <w:t xml:space="preserve">https://www.siskiyourcd.com/resources</w:t>
        </w:r>
      </w:hyperlink>
      <w:r>
        <w:t xml:space="preserve">.</w:t>
      </w:r>
    </w:p>
    <w:bookmarkEnd w:id="207"/>
    <w:bookmarkStart w:id="20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4">
        <w:r>
          <w:rPr>
            <w:rStyle w:val="Hyperlink"/>
          </w:rPr>
          <w:t xml:space="preserve">https://www.siskiyourcd.com/resources</w:t>
        </w:r>
      </w:hyperlink>
      <w:r>
        <w:t xml:space="preserve">.</w:t>
      </w:r>
    </w:p>
    <w:bookmarkEnd w:id="208"/>
    <w:bookmarkStart w:id="20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4">
        <w:r>
          <w:rPr>
            <w:rStyle w:val="Hyperlink"/>
          </w:rPr>
          <w:t xml:space="preserve">https://www.siskiyourcd.com/resources</w:t>
        </w:r>
      </w:hyperlink>
      <w:r>
        <w:t xml:space="preserve">.</w:t>
      </w:r>
    </w:p>
    <w:bookmarkEnd w:id="209"/>
    <w:bookmarkStart w:id="21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4">
        <w:r>
          <w:rPr>
            <w:rStyle w:val="Hyperlink"/>
          </w:rPr>
          <w:t xml:space="preserve">https://www.siskiyourcd.com/resources</w:t>
        </w:r>
      </w:hyperlink>
      <w:r>
        <w:t xml:space="preserve">.</w:t>
      </w:r>
    </w:p>
    <w:bookmarkEnd w:id="210"/>
    <w:bookmarkStart w:id="21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4">
        <w:r>
          <w:rPr>
            <w:rStyle w:val="Hyperlink"/>
          </w:rPr>
          <w:t xml:space="preserve">https://www.siskiyourcd.com/resources</w:t>
        </w:r>
      </w:hyperlink>
      <w:r>
        <w:t xml:space="preserve">.</w:t>
      </w:r>
    </w:p>
    <w:bookmarkEnd w:id="211"/>
    <w:bookmarkStart w:id="21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4">
        <w:r>
          <w:rPr>
            <w:rStyle w:val="Hyperlink"/>
          </w:rPr>
          <w:t xml:space="preserve">https://www.siskiyourcd.com/resources</w:t>
        </w:r>
      </w:hyperlink>
      <w:r>
        <w:t xml:space="preserve">.</w:t>
      </w:r>
    </w:p>
    <w:bookmarkEnd w:id="212"/>
    <w:bookmarkStart w:id="21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4">
        <w:r>
          <w:rPr>
            <w:rStyle w:val="Hyperlink"/>
          </w:rPr>
          <w:t xml:space="preserve">https://www.siskiyourcd.com/resources</w:t>
        </w:r>
      </w:hyperlink>
      <w:r>
        <w:t xml:space="preserve">.</w:t>
      </w:r>
    </w:p>
    <w:bookmarkEnd w:id="213"/>
    <w:bookmarkStart w:id="21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4">
        <w:r>
          <w:rPr>
            <w:rStyle w:val="Hyperlink"/>
          </w:rPr>
          <w:t xml:space="preserve">https://www.siskiyourcd.com/resources</w:t>
        </w:r>
      </w:hyperlink>
      <w:r>
        <w:t xml:space="preserve">.</w:t>
      </w:r>
    </w:p>
    <w:bookmarkEnd w:id="214"/>
    <w:bookmarkStart w:id="21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5"/>
    <w:bookmarkStart w:id="21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6"/>
    <w:bookmarkStart w:id="21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17">
        <w:r>
          <w:rPr>
            <w:rStyle w:val="Hyperlink"/>
          </w:rPr>
          <w:t xml:space="preserve">https://doi.org/10.1002/eco.1745</w:t>
        </w:r>
      </w:hyperlink>
      <w:r>
        <w:t xml:space="preserve">.</w:t>
      </w:r>
    </w:p>
    <w:bookmarkEnd w:id="218"/>
    <w:bookmarkStart w:id="21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19"/>
    <w:bookmarkStart w:id="220"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20"/>
    <w:bookmarkStart w:id="222"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1">
        <w:r>
          <w:rPr>
            <w:rStyle w:val="Hyperlink"/>
          </w:rPr>
          <w:t xml:space="preserve">https://www.scottriverwatershedcouncil.com/scott-river-westside-planning-proje</w:t>
        </w:r>
      </w:hyperlink>
      <w:r>
        <w:t xml:space="preserve">.</w:t>
      </w:r>
    </w:p>
    <w:bookmarkEnd w:id="222"/>
    <w:bookmarkStart w:id="223" w:name="ref-CRMP2000"/>
    <w:p>
      <w:pPr>
        <w:pStyle w:val="Bibliography"/>
      </w:pPr>
      <w:r>
        <w:t xml:space="preserve">SRWC-CRMP. 2000.</w:t>
      </w:r>
      <w:r>
        <w:t xml:space="preserve"> </w:t>
      </w:r>
      <w:r>
        <w:t xml:space="preserve">“</w:t>
      </w:r>
      <w:r>
        <w:t xml:space="preserve">Final Report</w:t>
      </w:r>
      <w:r>
        <w:t xml:space="preserve">.”</w:t>
      </w:r>
    </w:p>
    <w:bookmarkEnd w:id="223"/>
    <w:bookmarkStart w:id="224"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4"/>
    <w:bookmarkStart w:id="226"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25">
        <w:r>
          <w:rPr>
            <w:rStyle w:val="Hyperlink"/>
          </w:rPr>
          <w:t xml:space="preserve">https://www.waterboards.ca.gov/waterrights/board{\_}decisions/adopted{\_}orders/judgments/docs/scottriver{\_}jd.pdf</w:t>
        </w:r>
      </w:hyperlink>
      <w:r>
        <w:t xml:space="preserve">.</w:t>
      </w:r>
    </w:p>
    <w:bookmarkEnd w:id="226"/>
    <w:bookmarkStart w:id="227"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27"/>
    <w:bookmarkStart w:id="229"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28">
        <w:r>
          <w:rPr>
            <w:rStyle w:val="Hyperlink"/>
          </w:rPr>
          <w:t xml:space="preserve">https://doi.org/10.1029/2018WR024209</w:t>
        </w:r>
      </w:hyperlink>
      <w:r>
        <w:t xml:space="preserve">.</w:t>
      </w:r>
    </w:p>
    <w:bookmarkEnd w:id="229"/>
    <w:bookmarkStart w:id="231"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30">
        <w:r>
          <w:rPr>
            <w:rStyle w:val="Hyperlink"/>
          </w:rPr>
          <w:t xml:space="preserve">https://data.census.gov/cedsci</w:t>
        </w:r>
      </w:hyperlink>
      <w:r>
        <w:t xml:space="preserve">.</w:t>
      </w:r>
    </w:p>
    <w:bookmarkEnd w:id="231"/>
    <w:bookmarkStart w:id="233"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2">
        <w:r>
          <w:rPr>
            <w:rStyle w:val="Hyperlink"/>
          </w:rPr>
          <w:t xml:space="preserve">https://doi.org/10.1111/j.1752-1688.2008.00212.x</w:t>
        </w:r>
      </w:hyperlink>
      <w:r>
        <w:t xml:space="preserve">.</w:t>
      </w:r>
    </w:p>
    <w:bookmarkEnd w:id="233"/>
    <w:bookmarkStart w:id="23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4">
        <w:r>
          <w:rPr>
            <w:rStyle w:val="Hyperlink"/>
          </w:rPr>
          <w:t xml:space="preserve">https://swfsc-publications.fisheries.noaa.gov/publications/CR/2013/2013Wainwright.pdf</w:t>
        </w:r>
      </w:hyperlink>
      <w:r>
        <w:t xml:space="preserve">.</w:t>
      </w:r>
    </w:p>
    <w:bookmarkEnd w:id="235"/>
    <w:bookmarkStart w:id="237"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36">
        <w:r>
          <w:rPr>
            <w:rStyle w:val="Hyperlink"/>
          </w:rPr>
          <w:t xml:space="preserve">https://doi.org/10.1111/faf.12514</w:t>
        </w:r>
      </w:hyperlink>
      <w:r>
        <w:t xml:space="preserve">.</w:t>
      </w:r>
    </w:p>
    <w:bookmarkEnd w:id="237"/>
    <w:bookmarkStart w:id="239"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38">
        <w:r>
          <w:rPr>
            <w:rStyle w:val="Hyperlink"/>
          </w:rPr>
          <w:t xml:space="preserve">https://doi.org/10.1111/fwb.13001</w:t>
        </w:r>
      </w:hyperlink>
      <w:r>
        <w:t xml:space="preserve">.</w:t>
      </w:r>
    </w:p>
    <w:bookmarkEnd w:id="239"/>
    <w:bookmarkStart w:id="241"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40">
        <w:r>
          <w:rPr>
            <w:rStyle w:val="Hyperlink"/>
          </w:rPr>
          <w:t xml:space="preserve">https://doi.org/10.1016/j.scitotenv.2017.06.081</w:t>
        </w:r>
      </w:hyperlink>
      <w:r>
        <w:t xml:space="preserve">.</w:t>
      </w:r>
    </w:p>
    <w:bookmarkEnd w:id="241"/>
    <w:bookmarkStart w:id="243"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2">
        <w:r>
          <w:rPr>
            <w:rStyle w:val="Hyperlink"/>
          </w:rPr>
          <w:t xml:space="preserve">https://repository.library.noaa.gov/view/noaa/3483</w:t>
        </w:r>
      </w:hyperlink>
      <w:r>
        <w:t xml:space="preserve">.</w:t>
      </w:r>
    </w:p>
    <w:bookmarkEnd w:id="243"/>
    <w:bookmarkStart w:id="245"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4">
        <w:r>
          <w:rPr>
            <w:rStyle w:val="Hyperlink"/>
          </w:rPr>
          <w:t xml:space="preserve">https://repository.library.noaa.gov/view/noaa/3609</w:t>
        </w:r>
      </w:hyperlink>
      <w:r>
        <w:t xml:space="preserve">.</w:t>
      </w:r>
    </w:p>
    <w:bookmarkEnd w:id="245"/>
    <w:bookmarkStart w:id="24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46">
        <w:r>
          <w:rPr>
            <w:rStyle w:val="Hyperlink"/>
          </w:rPr>
          <w:t xml:space="preserve">https://doi.org/10.1002/rra.3575</w:t>
        </w:r>
      </w:hyperlink>
      <w:r>
        <w:t xml:space="preserve">.</w:t>
      </w:r>
    </w:p>
    <w:bookmarkEnd w:id="247"/>
    <w:bookmarkStart w:id="24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48">
        <w:r>
          <w:rPr>
            <w:rStyle w:val="Hyperlink"/>
          </w:rPr>
          <w:t xml:space="preserve">https://www.scottriverwatershedcouncil.com/scott-river-beaver-dam-analogue-coh</w:t>
        </w:r>
      </w:hyperlink>
      <w:r>
        <w:t xml:space="preserve">.</w:t>
      </w:r>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2024-03-29T21:57:56Z</dcterms:created>
  <dcterms:modified xsi:type="dcterms:W3CDTF">2024-03-29T21:57:56Z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