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96.png" ContentType="image/png"/>
  <Override PartName="/word/media/rId99.png" ContentType="image/png"/>
  <Override PartName="/word/media/rId27.png" ContentType="image/png"/>
  <Override PartName="/word/media/rId45.png" ContentType="image/png"/>
  <Override PartName="/word/media/rId59.png" ContentType="image/png"/>
  <Override PartName="/word/media/rId62.png" ContentType="image/png"/>
  <Override PartName="/word/media/rId66.png" ContentType="image/png"/>
  <Override PartName="/word/media/rId70.png" ContentType="image/png"/>
  <Override PartName="/word/media/rId75.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w:t>
      </w:r>
      <w:r>
        <w:t xml:space="preserve"> </w:t>
      </w:r>
      <w:r>
        <w:rPr>
          <w:bCs/>
          <w:b/>
        </w:rPr>
        <w:t xml:space="preserve">Monk2006?</w:t>
      </w:r>
      <w:r>
        <w:t xml:space="preserve">;</w:t>
      </w:r>
      <w:r>
        <w:t xml:space="preserve"> </w:t>
      </w:r>
      <w:r>
        <w:rPr>
          <w:bCs/>
          <w:b/>
        </w:rPr>
        <w:t xml:space="preserve">Guareschi2014?</w:t>
      </w:r>
      <w:r>
        <w:t xml:space="preserve">;</w:t>
      </w:r>
      <w:r>
        <w:t xml:space="preserve"> </w:t>
      </w:r>
      <w:r>
        <w:rPr>
          <w:bCs/>
          <w:b/>
        </w:rPr>
        <w:t xml:space="preserve">Kevic2018?</w:t>
      </w:r>
      <w:r>
        <w:t xml:space="preserve">; Mazor et al. 2018; Larsen et al. 2021; Peek et al. 2022;</w:t>
      </w:r>
      <w:r>
        <w:t xml:space="preserve"> </w:t>
      </w:r>
      <w:r>
        <w:rPr>
          <w:bCs/>
          <w:b/>
        </w:rPr>
        <w:t xml:space="preserve">Chessman2022?</w:t>
      </w:r>
      <w:r>
        <w:t xml:space="preserve">)</w:t>
      </w:r>
      <w:r>
        <w:t xml:space="preserve">, and secondly, and fish diversity and community assemblage [e.g.,</w:t>
      </w:r>
      <w:r>
        <w:t xml:space="preserve"> </w:t>
      </w:r>
      <w:r>
        <w:t xml:space="preserve">McManamay et al. (2013)</w:t>
      </w:r>
      <w:r>
        <w:t xml:space="preserve">;</w:t>
      </w:r>
      <w:r>
        <w:t xml:space="preserve"> </w:t>
      </w:r>
      <w:r>
        <w:t xml:space="preserve">(</w:t>
      </w:r>
      <w:r>
        <w:rPr>
          <w:bCs/>
          <w:b/>
        </w:rPr>
        <w:t xml:space="preserve">PetersonFreeman2016?</w:t>
      </w:r>
      <w:r>
        <w:t xml:space="preserve">)</w:t>
      </w:r>
      <w:r>
        <w:t xml:space="preserve">;</w:t>
      </w:r>
      <w:r>
        <w:t xml:space="preserve"> </w:t>
      </w:r>
      <w:r>
        <w:t xml:space="preserve">(</w:t>
      </w:r>
      <w:r>
        <w:rPr>
          <w:bCs/>
          <w:b/>
        </w:rPr>
        <w:t xml:space="preserve">Cartwright2017?</w:t>
      </w:r>
      <w:r>
        <w:t xml:space="preserve">)</w:t>
      </w:r>
      <w:r>
        <w:t xml:space="preserve">;</w:t>
      </w:r>
      <w:r>
        <w:t xml:space="preserve"> </w:t>
      </w:r>
      <w:r>
        <w:t xml:space="preserve">(</w:t>
      </w:r>
      <w:r>
        <w:rPr>
          <w:bCs/>
          <w:b/>
        </w:rPr>
        <w:t xml:space="preserve">Sinnathamby2018?</w:t>
      </w:r>
      <w:r>
        <w:t xml:space="preserve">)</w:t>
      </w:r>
      <w:r>
        <w:t xml:space="preserve">;</w:t>
      </w:r>
      <w:r>
        <w:t xml:space="preserve"> </w:t>
      </w:r>
      <w:r>
        <w:t xml:space="preserve">Hain et al. (2018)</w:t>
      </w:r>
      <w:r>
        <w:t xml:space="preserve">;</w:t>
      </w:r>
      <w:r>
        <w:t xml:space="preserve"> </w:t>
      </w:r>
      <w:r>
        <w:t xml:space="preserve">(</w:t>
      </w:r>
      <w:r>
        <w:rPr>
          <w:bCs/>
          <w:b/>
        </w:rPr>
        <w:t xml:space="preserve">Guedes2020?</w:t>
      </w:r>
      <w:r>
        <w:t xml:space="preserve">)</w:t>
      </w:r>
      <w:r>
        <w:t xml:space="preserve">;</w:t>
      </w:r>
      <w:r>
        <w:t xml:space="preserve"> </w:t>
      </w:r>
      <w:r>
        <w:t xml:space="preserve">(</w:t>
      </w:r>
      <w:r>
        <w:rPr>
          <w:bCs/>
          <w:b/>
        </w:rPr>
        <w:t xml:space="preserve">Yao2021?</w:t>
      </w:r>
      <w:r>
        <w:t xml:space="preserve">)</w:t>
      </w:r>
      <w:r>
        <w:t xml:space="preserve">). Ecological responses can also be based on the abundance of a single or a few species, often of fish</w:t>
      </w:r>
      <w:r>
        <w:t xml:space="preserve"> </w:t>
      </w:r>
      <w:r>
        <w:t xml:space="preserve">(</w:t>
      </w:r>
      <w:r>
        <w:rPr>
          <w:bCs/>
          <w:b/>
        </w:rPr>
        <w:t xml:space="preserve">Stewart-Koster2011?</w:t>
      </w:r>
      <w:r>
        <w:t xml:space="preserve">;</w:t>
      </w:r>
      <w:r>
        <w:t xml:space="preserve"> </w:t>
      </w:r>
      <w:r>
        <w:rPr>
          <w:bCs/>
          <w:b/>
        </w:rPr>
        <w:t xml:space="preserve">Booth2014?</w:t>
      </w:r>
      <w:r>
        <w:t xml:space="preserve">;</w:t>
      </w:r>
      <w:r>
        <w:t xml:space="preserve"> </w:t>
      </w:r>
      <w:r>
        <w:rPr>
          <w:bCs/>
          <w:b/>
        </w:rPr>
        <w:t xml:space="preserve">DeWeberPeterson2020?</w:t>
      </w:r>
      <w:r>
        <w:t xml:space="preserve">;</w:t>
      </w:r>
      <w:r>
        <w:t xml:space="preserve"> </w:t>
      </w:r>
      <w:r>
        <w:rPr>
          <w:bCs/>
          <w:b/>
        </w:rPr>
        <w:t xml:space="preserve">Hale2023?</w:t>
      </w:r>
      <w:r>
        <w:t xml:space="preserve">)</w:t>
      </w:r>
      <w:r>
        <w:t xml:space="preserve">, as well as the extent of habitat types</w:t>
      </w:r>
      <w:r>
        <w:t xml:space="preserve"> </w:t>
      </w:r>
      <w:r>
        <w:t xml:space="preserve">(</w:t>
      </w:r>
      <w:r>
        <w:rPr>
          <w:bCs/>
          <w:b/>
        </w:rPr>
        <w:t xml:space="preserve">Chowdhury2007?</w:t>
      </w:r>
      <w:r>
        <w:t xml:space="preserve">;</w:t>
      </w:r>
      <w:r>
        <w:t xml:space="preserve"> </w:t>
      </w:r>
      <w:r>
        <w:rPr>
          <w:bCs/>
          <w:b/>
        </w:rPr>
        <w:t xml:space="preserve">Chen2011?</w:t>
      </w:r>
      <w:r>
        <w:t xml:space="preserve">;</w:t>
      </w:r>
      <w:r>
        <w:t xml:space="preserve"> </w:t>
      </w:r>
      <w:r>
        <w:rPr>
          <w:bCs/>
          <w:b/>
        </w:rPr>
        <w:t xml:space="preserve">Brand2011?</w:t>
      </w:r>
      <w:r>
        <w:t xml:space="preserve">)</w:t>
      </w:r>
      <w:r>
        <w:t xml:space="preserve"> </w:t>
      </w:r>
      <w:r>
        <w:t xml:space="preserve">and the presence of organisms including vegetation and plankton</w:t>
      </w:r>
      <w:r>
        <w:t xml:space="preserve"> </w:t>
      </w:r>
      <w:r>
        <w:t xml:space="preserve">(</w:t>
      </w:r>
      <w:r>
        <w:rPr>
          <w:bCs/>
          <w:b/>
        </w:rPr>
        <w:t xml:space="preserve">Riis2008?</w:t>
      </w:r>
      <w:r>
        <w:t xml:space="preserve">;</w:t>
      </w:r>
      <w:r>
        <w:t xml:space="preserve"> </w:t>
      </w:r>
      <w:r>
        <w:rPr>
          <w:bCs/>
          <w:b/>
        </w:rPr>
        <w:t xml:space="preserve">Catford2014?</w:t>
      </w:r>
      <w:r>
        <w:t xml:space="preserve">;</w:t>
      </w:r>
      <w:r>
        <w:t xml:space="preserve"> </w:t>
      </w:r>
      <w:r>
        <w:rPr>
          <w:bCs/>
          <w:b/>
        </w:rPr>
        <w:t xml:space="preserve">Qian2016?</w:t>
      </w:r>
      <w:r>
        <w:t xml:space="preserve">;</w:t>
      </w:r>
      <w:r>
        <w:t xml:space="preserve"> </w:t>
      </w:r>
      <w:r>
        <w:rPr>
          <w:bCs/>
          <w:b/>
        </w:rPr>
        <w:t xml:space="preserve">Tesfaye2017?</w:t>
      </w:r>
      <w:r>
        <w:t xml:space="preserve">;</w:t>
      </w:r>
      <w:r>
        <w:t xml:space="preserve"> </w:t>
      </w:r>
      <w:r>
        <w:rPr>
          <w:bCs/>
          <w:b/>
        </w:rPr>
        <w:t xml:space="preserve">Vesi2019?</w:t>
      </w:r>
      <w:r>
        <w:t xml:space="preserve">;</w:t>
      </w:r>
      <w:r>
        <w:t xml:space="preserve"> </w:t>
      </w:r>
      <w:r>
        <w:rPr>
          <w:bCs/>
          <w:b/>
        </w:rPr>
        <w:t xml:space="preserve">Saby2022?</w:t>
      </w:r>
      <w:r>
        <w:t xml:space="preserve">)</w:t>
      </w:r>
      <w:r>
        <w:t xml:space="preserve">. Hydrologic predictors range widely, with a heavy emphasis on extreme (low or high) flow events and the duration of components of the flow regime</w:t>
      </w:r>
      <w:r>
        <w:t xml:space="preserve"> </w:t>
      </w:r>
      <w:r>
        <w:t xml:space="preserve">(e.g.,</w:t>
      </w:r>
      <w:r>
        <w:t xml:space="preserve"> </w:t>
      </w:r>
      <w:r>
        <w:rPr>
          <w:bCs/>
          <w:b/>
        </w:rPr>
        <w:t xml:space="preserve">Ayllon2014?</w:t>
      </w:r>
      <w:r>
        <w:t xml:space="preserve">;</w:t>
      </w:r>
      <w:r>
        <w:t xml:space="preserve"> </w:t>
      </w:r>
      <w:r>
        <w:rPr>
          <w:bCs/>
          <w:b/>
        </w:rPr>
        <w:t xml:space="preserve">Lamouroux2015?</w:t>
      </w:r>
      <w:r>
        <w:t xml:space="preserve">;</w:t>
      </w:r>
      <w:r>
        <w:t xml:space="preserve"> </w:t>
      </w:r>
      <w:r>
        <w:rPr>
          <w:bCs/>
          <w:b/>
        </w:rPr>
        <w:t xml:space="preserve">McManamay2015?</w:t>
      </w:r>
      <w:r>
        <w:t xml:space="preserve">;</w:t>
      </w:r>
      <w:r>
        <w:t xml:space="preserve"> </w:t>
      </w:r>
      <w:r>
        <w:rPr>
          <w:bCs/>
          <w:b/>
        </w:rPr>
        <w:t xml:space="preserve">Bower2022?</w:t>
      </w:r>
      <w:r>
        <w:t xml:space="preserve">)</w:t>
      </w:r>
      <w:r>
        <w:t xml:space="preserve">. Causes of the change in hydrology include the operation of dams, changes in human water use, climate change, and natural flow variability</w:t>
      </w:r>
      <w:r>
        <w:t xml:space="preserve"> </w:t>
      </w:r>
      <w:r>
        <w:t xml:space="preserve">(e.g.,</w:t>
      </w:r>
      <w:r>
        <w:t xml:space="preserve"> </w:t>
      </w:r>
      <w:r>
        <w:rPr>
          <w:bCs/>
          <w:b/>
        </w:rPr>
        <w:t xml:space="preserve">Herrera2017?</w:t>
      </w:r>
      <w:r>
        <w:t xml:space="preserve">;</w:t>
      </w:r>
      <w:r>
        <w:t xml:space="preserve"> </w:t>
      </w:r>
      <w:r>
        <w:rPr>
          <w:bCs/>
          <w:b/>
        </w:rPr>
        <w:t xml:space="preserve">Gao2020?</w:t>
      </w:r>
      <w:r>
        <w:t xml:space="preserve">; White et al. 2018;</w:t>
      </w:r>
      <w:r>
        <w:t xml:space="preserve"> </w:t>
      </w:r>
      <w:r>
        <w:rPr>
          <w:bCs/>
          <w:b/>
        </w:rPr>
        <w:t xml:space="preserve">Daneshvar2017?</w:t>
      </w:r>
      <w:r>
        <w:t xml:space="preserve">;</w:t>
      </w:r>
      <w:r>
        <w:t xml:space="preserve"> </w:t>
      </w:r>
      <w:r>
        <w:rPr>
          <w:bCs/>
          <w:b/>
        </w:rPr>
        <w:t xml:space="preserve">Herbst2019?</w:t>
      </w:r>
      <w:r>
        <w:t xml:space="preserve">)</w:t>
      </w:r>
      <w:r>
        <w:t xml:space="preserve">.</w:t>
      </w:r>
    </w:p>
    <w:p>
      <w:pPr>
        <w:pStyle w:val="BodyText"/>
      </w:pPr>
      <w:r>
        <w:t xml:space="preserve">Investigations of flow-ecology relationships can also be grouped by approach</w:t>
      </w:r>
      <w:r>
        <w:t xml:space="preserve"> </w:t>
      </w:r>
      <w:r>
        <w:t xml:space="preserve">(as in</w:t>
      </w:r>
      <w:r>
        <w:t xml:space="preserve"> </w:t>
      </w:r>
      <w:r>
        <w:rPr>
          <w:bCs/>
          <w:b/>
        </w:rPr>
        <w:t xml:space="preserve">Brummer2016?</w:t>
      </w:r>
      <w:r>
        <w:t xml:space="preserve">)</w:t>
      </w:r>
      <w:r>
        <w:t xml:space="preserve">. In experimental flow studies the flow is directly manipulated with dam releases and biological responses are monitored</w:t>
      </w:r>
      <w:r>
        <w:t xml:space="preserve"> </w:t>
      </w:r>
      <w:r>
        <w:t xml:space="preserve">(e.g.,</w:t>
      </w:r>
      <w:r>
        <w:t xml:space="preserve"> </w:t>
      </w:r>
      <w:r>
        <w:rPr>
          <w:bCs/>
          <w:b/>
        </w:rPr>
        <w:t xml:space="preserve">Konrad2011?</w:t>
      </w:r>
      <w:r>
        <w:t xml:space="preserve">)</w:t>
      </w:r>
      <w:r>
        <w:t xml:space="preserve">. In longitudinal studies, long-term ecological and hydrological records can be used to infer local or regional correlations</w:t>
      </w:r>
      <w:r>
        <w:t xml:space="preserve"> </w:t>
      </w:r>
      <w:r>
        <w:t xml:space="preserve">(e.g.,</w:t>
      </w:r>
      <w:r>
        <w:t xml:space="preserve"> </w:t>
      </w:r>
      <w:r>
        <w:rPr>
          <w:bCs/>
          <w:b/>
        </w:rPr>
        <w:t xml:space="preserve">Medallo-Diaz2019?</w:t>
      </w:r>
      <w:r>
        <w:t xml:space="preserve">)</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w:t>
      </w:r>
      <w:r>
        <w:t xml:space="preserve"> </w:t>
      </w:r>
      <w:r>
        <w:rPr>
          <w:bCs/>
          <w:b/>
        </w:rPr>
        <w:t xml:space="preserve">Monk2008?</w:t>
      </w:r>
      <w:r>
        <w:t xml:space="preserve">;</w:t>
      </w:r>
      <w:r>
        <w:t xml:space="preserve"> </w:t>
      </w:r>
      <w:r>
        <w:rPr>
          <w:bCs/>
          <w:b/>
        </w:rPr>
        <w:t xml:space="preserve">Riis2008?</w:t>
      </w:r>
      <w:r>
        <w:t xml:space="preserve">;</w:t>
      </w:r>
      <w:r>
        <w:t xml:space="preserve"> </w:t>
      </w:r>
      <w:r>
        <w:rPr>
          <w:bCs/>
          <w:b/>
        </w:rPr>
        <w:t xml:space="preserve">Catford2014?</w:t>
      </w:r>
      <w:r>
        <w:t xml:space="preserve">;</w:t>
      </w:r>
      <w:r>
        <w:t xml:space="preserve"> </w:t>
      </w:r>
      <w:r>
        <w:rPr>
          <w:bCs/>
          <w:b/>
        </w:rPr>
        <w:t xml:space="preserve">Bower2022?</w:t>
      </w:r>
      <w:r>
        <w:t xml:space="preserve">)</w:t>
      </w:r>
      <w:r>
        <w:t xml:space="preserve">. Space-for-time analyses require considerably fewer resources than experimental flows and longitudinal studies, and thus are more numerous</w:t>
      </w:r>
      <w:r>
        <w:t xml:space="preserve"> </w:t>
      </w:r>
      <w:r>
        <w:t xml:space="preserve">(</w:t>
      </w:r>
      <w:r>
        <w:rPr>
          <w:bCs/>
          <w:b/>
        </w:rPr>
        <w:t xml:space="preserve">Brummer2016?</w:t>
      </w:r>
      <w:r>
        <w:t xml:space="preserve">)</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w:t>
      </w:r>
      <w:r>
        <w:rPr>
          <w:bCs/>
          <w:b/>
        </w:rPr>
        <w:t xml:space="preserve">Richter2006?</w:t>
      </w:r>
      <w:r>
        <w:t xml:space="preserve">; Poff et al. 2010)</w:t>
      </w:r>
      <w:r>
        <w:t xml:space="preserve">. ELOHA and other methods to identify natural flow regimes are adaptable and have been applied widely to many distinct regional systems</w:t>
      </w:r>
      <w:r>
        <w:t xml:space="preserve"> </w:t>
      </w:r>
      <w:r>
        <w:t xml:space="preserve">(e.g.,</w:t>
      </w:r>
      <w:r>
        <w:t xml:space="preserve"> </w:t>
      </w:r>
      <w:r>
        <w:rPr>
          <w:bCs/>
          <w:b/>
        </w:rPr>
        <w:t xml:space="preserve">Knight2014?</w:t>
      </w:r>
      <w:r>
        <w:t xml:space="preserve">;</w:t>
      </w:r>
      <w:r>
        <w:t xml:space="preserve"> </w:t>
      </w:r>
      <w:r>
        <w:rPr>
          <w:bCs/>
          <w:b/>
        </w:rPr>
        <w:t xml:space="preserve">Brummer2016?</w:t>
      </w:r>
      <w:r>
        <w:t xml:space="preserve">;</w:t>
      </w:r>
      <w:r>
        <w:t xml:space="preserve"> </w:t>
      </w:r>
      <w:r>
        <w:rPr>
          <w:bCs/>
          <w:b/>
        </w:rPr>
        <w:t xml:space="preserve">Bower2022?</w:t>
      </w:r>
      <w:r>
        <w:t xml:space="preserve">)</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w:t>
      </w:r>
      <w:r>
        <w:rPr>
          <w:bCs/>
          <w:b/>
        </w:rPr>
        <w:t xml:space="preserve">Richter2006?</w:t>
      </w:r>
      <w:r>
        <w:t xml:space="preserve">;</w:t>
      </w:r>
      <w:r>
        <w:t xml:space="preserve"> </w:t>
      </w:r>
      <w:r>
        <w:rPr>
          <w:bCs/>
          <w:b/>
        </w:rPr>
        <w:t xml:space="preserve">Han2015?</w:t>
      </w:r>
      <w:r>
        <w:t xml:space="preserve">;</w:t>
      </w:r>
      <w:r>
        <w:t xml:space="preserve"> </w:t>
      </w:r>
      <w:r>
        <w:rPr>
          <w:bCs/>
          <w:b/>
        </w:rPr>
        <w:t xml:space="preserve">Sinnathamby2018?</w:t>
      </w:r>
      <w:r>
        <w:t xml:space="preserve">;</w:t>
      </w:r>
      <w:r>
        <w:t xml:space="preserve"> </w:t>
      </w:r>
      <w:r>
        <w:rPr>
          <w:bCs/>
          <w:b/>
        </w:rPr>
        <w:t xml:space="preserve">Bradley2017?</w:t>
      </w:r>
      <w:r>
        <w:t xml:space="preserve">;</w:t>
      </w:r>
      <w:r>
        <w:t xml:space="preserve"> </w:t>
      </w:r>
      <w:r>
        <w:rPr>
          <w:bCs/>
          <w:b/>
        </w:rPr>
        <w:t xml:space="preserve">Brummer2016?</w:t>
      </w:r>
      <w:r>
        <w:t xml:space="preserve">)</w:t>
      </w:r>
      <w:r>
        <w:t xml:space="preserve">. But historical approaches based on relationship-finding are several steps removed from the policy-making process</w:t>
      </w:r>
      <w:r>
        <w:t xml:space="preserve"> </w:t>
      </w:r>
      <w:r>
        <w:t xml:space="preserve">(</w:t>
      </w:r>
      <w:r>
        <w:rPr>
          <w:bCs/>
          <w:b/>
        </w:rPr>
        <w:t xml:space="preserve">Webb2018?</w:t>
      </w:r>
      <w:r>
        <w:t xml:space="preserve">)</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w:t>
      </w:r>
      <w:r>
        <w:rPr>
          <w:bCs/>
          <w:b/>
        </w:rPr>
        <w:t xml:space="preserve">Cartwright2017?</w:t>
      </w:r>
      <w:r>
        <w:t xml:space="preserve">)</w:t>
      </w:r>
      <w:r>
        <w:t xml:space="preserve">. Additionally, studies of multiple stressors on river systems suggest that flow changes alone are not enough to predict ecological response at regional, multi-basin scales</w:t>
      </w:r>
      <w:r>
        <w:t xml:space="preserve"> </w:t>
      </w:r>
      <w:r>
        <w:t xml:space="preserve">(e.g.,</w:t>
      </w:r>
      <w:r>
        <w:t xml:space="preserve"> </w:t>
      </w:r>
      <w:r>
        <w:rPr>
          <w:bCs/>
          <w:b/>
        </w:rPr>
        <w:t xml:space="preserve">Worral2014?</w:t>
      </w:r>
      <w:r>
        <w:t xml:space="preserve">;</w:t>
      </w:r>
      <w:r>
        <w:t xml:space="preserve"> </w:t>
      </w:r>
      <w:r>
        <w:rPr>
          <w:bCs/>
          <w:b/>
        </w:rPr>
        <w:t xml:space="preserve">Knight2014?</w:t>
      </w:r>
      <w:r>
        <w:t xml:space="preserve">; McManamay et al. 2013;</w:t>
      </w:r>
      <w:r>
        <w:t xml:space="preserve"> </w:t>
      </w:r>
      <w:r>
        <w:rPr>
          <w:bCs/>
          <w:b/>
        </w:rPr>
        <w:t xml:space="preserve">McManamay2015?</w:t>
      </w:r>
      <w:r>
        <w:t xml:space="preserve">)</w:t>
      </w:r>
      <w:r>
        <w:t xml:space="preserve"> </w:t>
      </w:r>
      <w:r>
        <w:t xml:space="preserve">or in some single basins</w:t>
      </w:r>
      <w:r>
        <w:t xml:space="preserve"> </w:t>
      </w:r>
      <w:r>
        <w:t xml:space="preserve">(e.g.,</w:t>
      </w:r>
      <w:r>
        <w:t xml:space="preserve"> </w:t>
      </w:r>
      <w:r>
        <w:rPr>
          <w:bCs/>
          <w:b/>
        </w:rPr>
        <w:t xml:space="preserve">Triana2021?</w:t>
      </w:r>
      <w:r>
        <w:t xml:space="preserve">)</w:t>
      </w:r>
      <w:r>
        <w:t xml:space="preserve">. Finally, many flow-ecology relationships are based on insufficient data. Methods have been proposed to mitigate this</w:t>
      </w:r>
      <w:r>
        <w:t xml:space="preserve"> </w:t>
      </w:r>
      <w:r>
        <w:t xml:space="preserve">(e.g.,</w:t>
      </w:r>
      <w:r>
        <w:t xml:space="preserve"> </w:t>
      </w:r>
      <w:r>
        <w:rPr>
          <w:bCs/>
          <w:b/>
        </w:rPr>
        <w:t xml:space="preserve">Miller2018?</w:t>
      </w:r>
      <w:r>
        <w:t xml:space="preserve">)</w:t>
      </w:r>
      <w:r>
        <w:t xml:space="preserve">, but the exercise is generally inhibited by small sample size of relevant ecological metrics</w:t>
      </w:r>
      <w:r>
        <w:t xml:space="preserve"> </w:t>
      </w:r>
      <w:r>
        <w:t xml:space="preserve">(</w:t>
      </w:r>
      <w:r>
        <w:rPr>
          <w:bCs/>
          <w:b/>
        </w:rPr>
        <w:t xml:space="preserve">Gwinn2015?</w:t>
      </w:r>
      <w:r>
        <w:t xml:space="preserve">)</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w:t>
      </w:r>
      <w:r>
        <w:rPr>
          <w:bCs/>
          <w:b/>
        </w:rPr>
        <w:t xml:space="preserve">PetersonFreeman2016?</w:t>
      </w:r>
      <w:r>
        <w:t xml:space="preserve">;</w:t>
      </w:r>
      <w:r>
        <w:t xml:space="preserve"> </w:t>
      </w:r>
      <w:r>
        <w:rPr>
          <w:bCs/>
          <w:b/>
        </w:rPr>
        <w:t xml:space="preserve">DeWeberPeterson2020?</w:t>
      </w:r>
      <w:r>
        <w:t xml:space="preserve">;</w:t>
      </w:r>
      <w:r>
        <w:t xml:space="preserve"> </w:t>
      </w:r>
      <w:r>
        <w:rPr>
          <w:bCs/>
          <w:b/>
        </w:rPr>
        <w:t xml:space="preserve">Triana2021?</w:t>
      </w:r>
      <w:r>
        <w:t xml:space="preserve">)</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w:t>
      </w:r>
      <w:r>
        <w:rPr>
          <w:bCs/>
          <w:b/>
        </w:rPr>
        <w:t xml:space="preserve">Rosenfeld2017?</w:t>
      </w:r>
      <w:r>
        <w:t xml:space="preserve">)</w:t>
      </w:r>
      <w:r>
        <w:t xml:space="preserve">, but can be difficult to identify and in some cases may not exist</w:t>
      </w:r>
      <w:r>
        <w:t xml:space="preserve"> </w:t>
      </w:r>
      <w:r>
        <w:t xml:space="preserve">(</w:t>
      </w:r>
      <w:r>
        <w:rPr>
          <w:bCs/>
          <w:b/>
        </w:rPr>
        <w:t xml:space="preserve">LuedersMcManamay2023?</w:t>
      </w:r>
      <w:r>
        <w:t xml:space="preserve">)</w:t>
      </w:r>
      <w:r>
        <w:t xml:space="preserve">. Additionally, quantifying ecological responses to</w:t>
      </w:r>
      <w:r>
        <w:t xml:space="preserve"> </w:t>
      </w:r>
      <w:r>
        <w:t xml:space="preserve">“</w:t>
      </w:r>
      <w:r>
        <w:t xml:space="preserve">designer</w:t>
      </w:r>
      <w:r>
        <w:t xml:space="preserve">”</w:t>
      </w:r>
      <w:r>
        <w:t xml:space="preserve"> </w:t>
      </w:r>
      <w:r>
        <w:t xml:space="preserve">or functional flows is arguably more suited for supporting water resource management than identifying natural flow regimes</w:t>
      </w:r>
      <w:r>
        <w:t xml:space="preserve"> </w:t>
      </w:r>
      <w:r>
        <w:t xml:space="preserve">(Arthington, Bernardo, and Ilhéu 2014;</w:t>
      </w:r>
      <w:r>
        <w:t xml:space="preserve"> </w:t>
      </w:r>
      <w:r>
        <w:rPr>
          <w:bCs/>
          <w:b/>
        </w:rPr>
        <w:t xml:space="preserve">Webb2018?</w:t>
      </w:r>
      <w:r>
        <w:t xml:space="preserve">)</w:t>
      </w:r>
      <w:r>
        <w:t xml:space="preserve">, though some may suggest that all possible historical flow components should be preserved</w:t>
      </w:r>
      <w:r>
        <w:t xml:space="preserve"> </w:t>
      </w:r>
      <w:r>
        <w:t xml:space="preserve">(e.g.,</w:t>
      </w:r>
      <w:r>
        <w:t xml:space="preserve"> </w:t>
      </w:r>
      <w:r>
        <w:rPr>
          <w:bCs/>
          <w:b/>
        </w:rPr>
        <w:t xml:space="preserve">Bower2022?</w:t>
      </w:r>
      <w:r>
        <w:t xml:space="preserve">)</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w:t>
      </w:r>
      <w:r>
        <w:rPr>
          <w:bCs/>
          <w:b/>
        </w:rPr>
        <w:t xml:space="preserve">DeWeberPeterson2020?</w:t>
      </w:r>
      <w:r>
        <w:t xml:space="preserve">)</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outcomes of a portfolio of water and land use scenarios.</w:t>
      </w:r>
    </w:p>
    <w:bookmarkEnd w:id="22"/>
    <w:bookmarkEnd w:id="23"/>
    <w:bookmarkStart w:id="41" w:name="X64f7ebf8be7aee8f015a7ab48fe88f61a5f7a78"/>
    <w:p>
      <w:pPr>
        <w:pStyle w:val="Heading1"/>
      </w:pPr>
      <w:r>
        <w:rPr>
          <w:rStyle w:val="SectionNumber"/>
        </w:rPr>
        <w:t xml:space="preserve">2</w:t>
      </w:r>
      <w:r>
        <w:tab/>
      </w:r>
      <w:r>
        <w:t xml:space="preserve">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58" w:name="methods"/>
    <w:p>
      <w:pPr>
        <w:pStyle w:val="Heading1"/>
      </w:pPr>
      <w:r>
        <w:rPr>
          <w:rStyle w:val="SectionNumber"/>
        </w:rPr>
        <w:t xml:space="preserve">3</w:t>
      </w:r>
      <w:r>
        <w:tab/>
      </w:r>
      <w:r>
        <w:t xml:space="preserve">Methods</w:t>
      </w:r>
    </w:p>
    <w:p>
      <w:pPr>
        <w:pStyle w:val="FirstParagraph"/>
      </w:pPr>
      <w:r>
        <w:t xml:space="preserve">We used linear regression to assess the feasibility of predicting an ecological response using dozens of potential hydrologic predictor metrics. The objectives of the linear model selection exercise were to 1) empirically estimate which hydrologic flows were related to coho and Chinook reproductive outcomes and 2) assign weights of relative importance to develop a predictive Hydrologic Benefit formula, using slopes of the linear models.</w:t>
      </w:r>
    </w:p>
    <w:bookmarkStart w:id="48" w:name="X683b5a2513641716d20ad75df019bbd0735a62b"/>
    <w:p>
      <w:pPr>
        <w:pStyle w:val="Heading2"/>
      </w:pPr>
      <w:r>
        <w:rPr>
          <w:rStyle w:val="SectionNumber"/>
        </w:rPr>
        <w:t xml:space="preserve">3.1</w:t>
      </w:r>
      <w:r>
        <w:tab/>
      </w:r>
      <w:r>
        <w:t xml:space="preserve">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in addition to the metrics discussed above, we devised two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w:t>
      </w:r>
      <w:r>
        <w:t xml:space="preserve"> </w:t>
      </w:r>
      <w:r>
        <w:t xml:space="preserve">1</w:t>
      </w:r>
      <w:r>
        <w:t xml:space="preserve">. More importantly, they add value to this analysis because of their direct relation to fish passage in the watershed.</w:t>
      </w:r>
    </w:p>
    <w:p>
      <w:pPr>
        <w:pStyle w:val="BodyText"/>
      </w:pPr>
      <w:r>
        <w:t xml:space="preserve">A discrete number of thresholds were selected from the continuum of flows, ranging between a lowest value of 10 cfs and highest value of 100 cfs. At the lowest value all tributaries are known to be disconnected and significant dry reaches exist along the main stem</w:t>
      </w:r>
      <w:r>
        <w:t xml:space="preserve"> </w:t>
      </w:r>
      <w:r>
        <w:t xml:space="preserve">(Tolley, Foglia, and Harter 2019)</w:t>
      </w:r>
      <w:r>
        <w:t xml:space="preserve">. At the highest value, most tributaries connect with the mainstem and the mainstem Scott River is flowing contiguously, including the</w:t>
      </w:r>
      <w:r>
        <w:t xml:space="preserve"> </w:t>
      </w:r>
      <w:r>
        <w:t xml:space="preserve">“</w:t>
      </w:r>
      <w:r>
        <w:t xml:space="preserve">tailings</w:t>
      </w:r>
      <w:r>
        <w:t xml:space="preserve">”</w:t>
      </w:r>
      <w:r>
        <w:t xml:space="preserve"> </w:t>
      </w:r>
      <w: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 linear model selection process 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 To identify the threshold(s) with the highest predictive power and potentially the lowest redundancy, we examined relationships between reconnection dates and biological monitoring data.</w:t>
      </w:r>
    </w:p>
    <w:p>
      <w:pPr>
        <w:pStyle w:val="TableCaption"/>
      </w:pPr>
      <w:r>
        <w:t xml:space="preserve">Table 1:</w:t>
      </w:r>
      <w:r>
        <w:t xml:space="preserve"> </w:t>
      </w:r>
      <w:r>
        <w:t xml:space="preserve">Explanation of time period definitions and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Start w:id="49" w:name="response-ecological-monitoring-data"/>
    <w:p>
      <w:pPr>
        <w:pStyle w:val="Heading2"/>
      </w:pPr>
      <w:r>
        <w:rPr>
          <w:rStyle w:val="SectionNumber"/>
        </w:rPr>
        <w:t xml:space="preserve">3.2</w:t>
      </w:r>
      <w:r>
        <w:tab/>
      </w:r>
      <w:r>
        <w:t xml:space="preserve">Response: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In addition to these three metrics, we calculate a combined metric that normalizes for the annual escapement using monitoring data across multiple years to capture both the spawning and outmigrating events for the relevant cohort: the number of coho smolt produced per spawning female (coho spf) and the Chinook juvenile per adult metric (Chinook jpa).</w:t>
      </w:r>
    </w:p>
    <w:bookmarkEnd w:id="49"/>
    <w:bookmarkStart w:id="52" w:name="X7bceb6d9d75dfe114a24988a03df0874afc2ced"/>
    <w:p>
      <w:pPr>
        <w:pStyle w:val="Heading2"/>
      </w:pPr>
      <w:r>
        <w:rPr>
          <w:rStyle w:val="SectionNumber"/>
        </w:rPr>
        <w:t xml:space="preserve">3.3</w:t>
      </w:r>
      <w:r>
        <w:tab/>
      </w:r>
      <w:r>
        <w:t xml:space="preserve">Data alignment and correlation coefficients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0"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1</w:t>
      </w:r>
      <w:r>
        <w:t xml:space="preserve">):</w:t>
      </w:r>
    </w:p>
    <w:p>
      <w:pPr>
        <w:numPr>
          <w:ilvl w:val="0"/>
          <w:numId w:val="1003"/>
        </w:numPr>
        <w:pStyle w:val="Compact"/>
      </w:pPr>
      <w:r>
        <w:t xml:space="preserve">Brood Year (BY), September-December of the year of the cohort’s parents’ spawning</w:t>
      </w:r>
    </w:p>
    <w:p>
      <w:pPr>
        <w:numPr>
          <w:ilvl w:val="0"/>
          <w:numId w:val="1003"/>
        </w:numPr>
        <w:pStyle w:val="Compact"/>
      </w:pPr>
      <w:r>
        <w:t xml:space="preserve">Rearing Year (RY), January-December of the full year the cohort spends in the watershed</w:t>
      </w:r>
    </w:p>
    <w:p>
      <w:pPr>
        <w:numPr>
          <w:ilvl w:val="0"/>
          <w:numId w:val="1003"/>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0"/>
    <w:bookmarkStart w:id="51" w:name="data-alignment---chinook"/>
    <w:p>
      <w:pPr>
        <w:pStyle w:val="Heading3"/>
      </w:pPr>
      <w:r>
        <w:rPr>
          <w:rStyle w:val="SectionNumber"/>
        </w:rPr>
        <w:t xml:space="preserve">3.3.2</w:t>
      </w:r>
      <w:r>
        <w:tab/>
      </w:r>
      <w:r>
        <w:t xml:space="preserve">Data alignment - Chinook</w:t>
      </w:r>
    </w:p>
    <w:p>
      <w:pPr>
        <w:pStyle w:val="FirstParagraph"/>
      </w:pPr>
      <w:r>
        <w:t xml:space="preserve">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1"/>
    <w:bookmarkEnd w:id="52"/>
    <w:bookmarkStart w:id="57" w:name="X6c73e4a71126986798a01a6ae13882f2fae07f4"/>
    <w:p>
      <w:pPr>
        <w:pStyle w:val="Heading2"/>
      </w:pPr>
      <w:r>
        <w:rPr>
          <w:rStyle w:val="SectionNumber"/>
        </w:rPr>
        <w:t xml:space="preserve">3.4</w:t>
      </w:r>
      <w:r>
        <w:tab/>
      </w:r>
      <w:r>
        <w:t xml:space="preserve">Predicting ecological outcomes for the species of concern</w:t>
      </w:r>
    </w:p>
    <w:bookmarkStart w:id="53" w:name="X234d0d99ae233015caa57fe5f7acb6a51cf36cb"/>
    <w:p>
      <w:pPr>
        <w:pStyle w:val="Heading3"/>
      </w:pPr>
      <w:r>
        <w:rPr>
          <w:rStyle w:val="SectionNumber"/>
        </w:rPr>
        <w:t xml:space="preserve">3.4.1</w:t>
      </w:r>
      <w:r>
        <w:tab/>
      </w:r>
      <w:r>
        <w:t xml:space="preserve">Correlation analysis - ecological metric selection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calculating Pearson correlation coefficients</w:t>
      </w:r>
      <w:r>
        <w:t xml:space="preserve"> </w:t>
      </w:r>
      <w:r>
        <w:t xml:space="preserve">(</w:t>
      </w:r>
      <w:r>
        <w:rPr>
          <w:bCs/>
          <w:b/>
        </w:rPr>
        <w:t xml:space="preserve">Pearson1895?</w:t>
      </w:r>
      <w:r>
        <w:t xml:space="preserve">)</w:t>
      </w:r>
      <w:r>
        <w:t xml:space="preserve"> </w:t>
      </w:r>
      <w:r>
        <w:t xml:space="preserve">between 49 hydrologic predictors and 7 ecological metrics (4 four for coho and three for Chinook) (</w:t>
      </w:r>
      <w:r>
        <w:rPr>
          <w:iCs/>
          <w:i/>
        </w:rPr>
        <w:t xml:space="preserve">Supplemental Figure 1</w:t>
      </w:r>
      <w:r>
        <w:t xml:space="preserve">). The ecological variable most correlated hydrologic metrics was selected for further statistical model development.</w:t>
      </w:r>
    </w:p>
    <w:bookmarkEnd w:id="53"/>
    <w:bookmarkStart w:id="54" w:name="X2686f6547a000b25656cbf47cc6e63b33fb5ecd"/>
    <w:p>
      <w:pPr>
        <w:pStyle w:val="Heading3"/>
      </w:pPr>
      <w:r>
        <w:rPr>
          <w:rStyle w:val="SectionNumber"/>
        </w:rPr>
        <w:t xml:space="preserve">3.4.2</w:t>
      </w:r>
      <w:r>
        <w:tab/>
      </w:r>
      <w:r>
        <w:t xml:space="preserve">Linear modeling and model performance assessment</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lm()</w:t>
      </w:r>
      <w:r>
        <w:t xml:space="preserve"> </w:t>
      </w:r>
      <w:r>
        <w:t xml:space="preserve">(</w:t>
      </w:r>
      <w:r>
        <w:rPr>
          <w:bCs/>
          <w:b/>
        </w:rPr>
        <w:t xml:space="preserve">Chambers1992?</w:t>
      </w:r>
      <w:r>
        <w:t xml:space="preserve">)</w:t>
      </w:r>
      <w:r>
        <w:t xml:space="preserve"> </w:t>
      </w:r>
      <w:r>
        <w:t xml:space="preserve">to build a complete set of two-predictor linear regression models of the selected ecological response variable, using the set of hydrologic predictor variables described above:</w:t>
      </w:r>
    </w:p>
    <w:p>
      <w:pPr>
        <w:pStyle w:val="BodyText"/>
      </w:pPr>
      <m:oMathPara>
        <m:oMathParaPr>
          <m:jc m:val="center"/>
        </m:oMathParaPr>
        <m:oMath>
          <m:sSub>
            <m:e>
              <m:r>
                <m:t>y</m:t>
              </m:r>
            </m:e>
            <m:sub>
              <m:r>
                <m:t>B</m:t>
              </m:r>
              <m:r>
                <m:t>Y</m:t>
              </m:r>
            </m:sub>
          </m:sSub>
          <m:r>
            <m:rPr>
              <m:sty m:val="p"/>
            </m:rPr>
            <m:t>=</m:t>
          </m:r>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oMath>
      </m:oMathPara>
    </w:p>
    <w:p>
      <w:pPr>
        <w:pStyle w:val="FirstParagraph"/>
      </w:pPr>
      <w:r>
        <w:t xml:space="preserve">A complete set of one-predictor models (</w:t>
      </w:r>
      <m:oMath>
        <m:sSub>
          <m:e>
            <m:r>
              <m:t>b</m:t>
            </m:r>
          </m:e>
          <m:sub>
            <m:r>
              <m:t>2</m:t>
            </m:r>
          </m:sub>
        </m:sSub>
        <m:r>
          <m:rPr>
            <m:sty m:val="p"/>
          </m:rPr>
          <m:t>=</m:t>
        </m:r>
        <m:r>
          <m:t>0</m:t>
        </m:r>
      </m:oMath>
      <w:r>
        <w:t xml:space="preserve">) was also produced for comparative purposes. Linear models with more than two predictors were not evaluated. With a dataset this small, the risk of overfitting such higher order linear models is relatively high</w:t>
      </w:r>
      <w:r>
        <w:t xml:space="preserve"> </w:t>
      </w:r>
      <w:r>
        <w:t xml:space="preserve">(James et al. 2013)</w:t>
      </w:r>
      <w:r>
        <w:t xml:space="preserve">.</w:t>
      </w:r>
    </w:p>
    <w:p>
      <w:pPr>
        <w:pStyle w:val="BodyText"/>
      </w:pPr>
      <w:r>
        <w:t xml:space="preserve">Criteria used to make the evaluate model performance included degree of variability explained by the predictors (</w:t>
      </w:r>
      <m:oMath>
        <m:sSup>
          <m:e>
            <m:r>
              <m:t>R</m:t>
            </m:r>
          </m:e>
          <m:sup>
            <m:r>
              <m:t>2</m:t>
            </m:r>
          </m:sup>
        </m:sSup>
      </m:oMath>
      <w:r>
        <w:t xml:space="preserve"> </w:t>
      </w:r>
      <w:r>
        <w:t xml:space="preserve">and adjusted</w:t>
      </w:r>
      <w:r>
        <w:t xml:space="preserve"> </w:t>
      </w:r>
      <m:oMath>
        <m:sSup>
          <m:e>
            <m:r>
              <m:t>R</m:t>
            </m:r>
          </m:e>
          <m:sup>
            <m:r>
              <m:t>2</m:t>
            </m:r>
          </m:sup>
        </m:sSup>
      </m:oMath>
      <w:r>
        <w:t xml:space="preserve">), statistical significance (p-value and F-statistic), the amount of total non-correlated information contained in the set of predictors (corrected AIC, or AIC</w:t>
      </w:r>
      <w:r>
        <w:rPr>
          <w:vertAlign w:val="subscript"/>
        </w:rPr>
        <w:t xml:space="preserve">c</w:t>
      </w:r>
      <w:r>
        <w:t xml:space="preserve">, a statistic used for small sample sizes).</w:t>
      </w:r>
    </w:p>
    <w:p>
      <w:pPr>
        <w:pStyle w:val="BodyText"/>
      </w:pPr>
      <w:r>
        <w:t xml:space="preserve">For each of the one-and two-predictor models, we calculated the estimated average model error using leave-one-out cross-validation (LOOCV; Table</w:t>
      </w:r>
      <w:r>
        <w:t xml:space="preserve"> </w:t>
      </w:r>
      <w:r>
        <w:t xml:space="preserve">3</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(discussed further in Results).</w:t>
      </w:r>
    </w:p>
    <w:bookmarkEnd w:id="54"/>
    <w:bookmarkStart w:id="55" w:name="hydrologic-benefit-formulation"/>
    <w:p>
      <w:pPr>
        <w:pStyle w:val="Heading3"/>
      </w:pPr>
      <w:r>
        <w:rPr>
          <w:rStyle w:val="SectionNumber"/>
        </w:rPr>
        <w:t xml:space="preserve">3.4.3</w:t>
      </w:r>
      <w:r>
        <w:tab/>
      </w:r>
      <w:r>
        <w:t xml:space="preserve">Hydrologic Benefit formulation</w:t>
      </w:r>
    </w:p>
    <w:p>
      <w:pPr>
        <w:pStyle w:val="FirstParagraph"/>
      </w:pPr>
      <w:r>
        <w:t xml:space="preserve">The best</w:t>
      </w:r>
      <w:r>
        <w:t xml:space="preserve"> </w:t>
      </w:r>
      <m:oMath>
        <m:r>
          <m:t>n</m:t>
        </m:r>
      </m:oMath>
      <w:r>
        <w:t xml:space="preserve"> </w:t>
      </w:r>
      <w:r>
        <w:t xml:space="preserve">performing linear models were selected (see below) and simply combined into an average ensemble model that comprises the</w:t>
      </w:r>
      <w:r>
        <w:t xml:space="preserve"> </w:t>
      </w:r>
      <w:r>
        <w:t xml:space="preserve">“</w:t>
      </w:r>
      <w:r>
        <w:t xml:space="preserve">hydrologic benefit (HB) function</w:t>
      </w:r>
      <w:r>
        <w:t xml:space="preserve">”</w:t>
      </w:r>
      <w:r>
        <w:t xml:space="preserve">, in units of the ecological response variable:</w:t>
      </w:r>
    </w:p>
    <w:p>
      <w:pPr>
        <w:pStyle w:val="BodyText"/>
      </w:pPr>
      <m:oMathPara>
        <m:oMathParaPr>
          <m:jc m:val="center"/>
        </m:oMathParaPr>
        <m:oMath>
          <m:r>
            <m:t>H</m:t>
          </m:r>
          <m:sSub>
            <m:e>
              <m:r>
                <m:t>B</m:t>
              </m:r>
            </m:e>
            <m:sub>
              <m:r>
                <m:t>B</m:t>
              </m:r>
              <m:r>
                <m:t>Y</m:t>
              </m:r>
            </m:sub>
          </m:sSub>
          <m:r>
            <m:rPr>
              <m:sty m:val="p"/>
            </m:rPr>
            <m:t>=</m:t>
          </m:r>
          <m:f>
            <m:fPr>
              <m:type m:val="bar"/>
            </m:fPr>
            <m:num>
              <m:nary>
                <m:naryPr>
                  <m:chr m:val="∑"/>
                  <m:limLoc m:val="undOvr"/>
                  <m:subHide m:val="0"/>
                  <m:supHide m:val="0"/>
                </m:naryPr>
                <m:sub>
                  <m:r>
                    <m:t>i</m:t>
                  </m:r>
                  <m:r>
                    <m:rPr>
                      <m:sty m:val="p"/>
                    </m:rPr>
                    <m:t>=</m:t>
                  </m:r>
                  <m:r>
                    <m:t>1</m:t>
                  </m:r>
                </m:sub>
                <m:sup>
                  <m:r>
                    <m:t>n</m:t>
                  </m:r>
                </m:sup>
                <m:e>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e>
              </m:nary>
            </m:num>
            <m:den>
              <m:r>
                <m:t>n</m:t>
              </m:r>
            </m:den>
          </m:f>
        </m:oMath>
      </m:oMathPara>
    </w:p>
    <w:p>
      <w:pPr>
        <w:pStyle w:val="FirstParagraph"/>
      </w:pPr>
      <w:r>
        <w:t xml:space="preserve">We note that ecological outcome in water year</w:t>
      </w:r>
      <w:r>
        <w:t xml:space="preserve"> </w:t>
      </w:r>
      <m:oMath>
        <m:r>
          <m:t>w</m:t>
        </m:r>
        <m:r>
          <m:t>y</m:t>
        </m:r>
      </m:oMath>
      <w:r>
        <w:t xml:space="preserve"> </w:t>
      </w:r>
      <w:r>
        <w:t xml:space="preserve">is obtained for BY = wy - 1 for both salmon species.</w:t>
      </w:r>
    </w:p>
    <w:p>
      <w:pPr>
        <w:pStyle w:val="BodyText"/>
      </w:pPr>
      <w:r>
        <w:t xml:space="preserve">An ensemble average model approach is necessary for the HB function to dampen the possible sensitivity of any individual linear model to a single water-year outcome. This approach avoids over-interpretation of results given the small ecological dataset.</w:t>
      </w:r>
    </w:p>
    <w:bookmarkEnd w:id="55"/>
    <w:bookmarkStart w:id="56" w:name="hydrologic-benefit-function-sensitivity"/>
    <w:p>
      <w:pPr>
        <w:pStyle w:val="Heading3"/>
      </w:pPr>
      <w:r>
        <w:rPr>
          <w:rStyle w:val="SectionNumber"/>
        </w:rPr>
        <w:t xml:space="preserve">3.4.4</w:t>
      </w:r>
      <w:r>
        <w:tab/>
      </w:r>
      <w:r>
        <w:t xml:space="preserve">Hydrologic Benefit Function sensitivity</w:t>
      </w:r>
    </w:p>
    <w:p>
      <w:pPr>
        <w:pStyle w:val="FirstParagraph"/>
      </w:pPr>
      <w:r>
        <w:t xml:space="preserve">To further explore the uncertainty associated with such a small dataset, the sensitivity of the predictive model was estimated by adding an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p>
    <w:bookmarkEnd w:id="56"/>
    <w:bookmarkEnd w:id="57"/>
    <w:bookmarkEnd w:id="58"/>
    <w:bookmarkStart w:id="86" w:name="results"/>
    <w:p>
      <w:pPr>
        <w:pStyle w:val="Heading1"/>
      </w:pPr>
      <w:r>
        <w:rPr>
          <w:rStyle w:val="SectionNumber"/>
        </w:rPr>
        <w:t xml:space="preserve">4</w:t>
      </w:r>
      <w:r>
        <w:tab/>
      </w:r>
      <w:r>
        <w:t xml:space="preserve">Results</w:t>
      </w:r>
    </w:p>
    <w:bookmarkStart w:id="65"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w:t>
      </w:r>
      <w:r>
        <w:t xml:space="preserve"> </w:t>
      </w:r>
      <w:r>
        <w:t xml:space="preserve">6</w:t>
      </w:r>
      <w:r>
        <w:t xml:space="preserve">).</w:t>
      </w:r>
    </w:p>
    <w:p>
      <w:pPr>
        <w:pStyle w:val="BodyText"/>
      </w:pPr>
      <w:r>
        <w:t xml:space="preserve">The reconnection and disconnection dates also show trends over time, illustrating that since 1942 the wet season has narrowed, in that its (approximate) onset has trended later and the spring flow recession has trended earlier (Figure</w:t>
      </w:r>
      <w:r>
        <w:t xml:space="preserve"> </w:t>
      </w:r>
      <w:r>
        <w:t xml:space="preserve">7</w:t>
      </w:r>
      <w:r>
        <w:t xml:space="preserve">).</w:t>
      </w:r>
    </w:p>
    <w:p>
      <w:pPr>
        <w:pStyle w:val="BodyText"/>
      </w:pPr>
      <w:r>
        <w:t xml:space="preserve">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(Van Kirk and Naman 2008; Drake, Tate, and Carlson 2000)</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0" name="Picture"/>
            <a:graphic>
              <a:graphicData uri="http://schemas.openxmlformats.org/drawingml/2006/picture">
                <pic:pic>
                  <pic:nvPicPr>
                    <pic:cNvPr descr="Graphics%20and%20Supplements/Figure%205.png" id="61" name="Picture"/>
                    <pic:cNvPicPr>
                      <a:picLocks noChangeArrowheads="1" noChangeAspect="1"/>
                    </pic:cNvPicPr>
                  </pic:nvPicPr>
                  <pic:blipFill>
                    <a:blip r:embed="rId5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3" name="Picture"/>
            <a:graphic>
              <a:graphicData uri="http://schemas.openxmlformats.org/drawingml/2006/picture">
                <pic:pic>
                  <pic:nvPicPr>
                    <pic:cNvPr descr="Graphics%20and%20Supplements/Figure%206.png" id="64" name="Picture"/>
                    <pic:cNvPicPr>
                      <a:picLocks noChangeArrowheads="1" noChangeAspect="1"/>
                    </pic:cNvPicPr>
                  </pic:nvPicPr>
                  <pic:blipFill>
                    <a:blip r:embed="rId62"/>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5"/>
    <w:bookmarkStart w:id="74" w:name="metric-selection-and-utility"/>
    <w:p>
      <w:pPr>
        <w:pStyle w:val="Heading2"/>
      </w:pPr>
      <w:r>
        <w:rPr>
          <w:rStyle w:val="SectionNumber"/>
        </w:rPr>
        <w:t xml:space="preserve">4.2</w:t>
      </w:r>
      <w:r>
        <w:tab/>
      </w:r>
      <w:r>
        <w:t xml:space="preserve">Metric selection and utility</w:t>
      </w:r>
    </w:p>
    <w:bookmarkStart w:id="69" w:name="Xe0045489063e8ee0e0ac9500240eb2c8deabf2c"/>
    <w:p>
      <w:pPr>
        <w:pStyle w:val="Heading3"/>
      </w:pPr>
      <w:r>
        <w:rPr>
          <w:rStyle w:val="SectionNumber"/>
        </w:rPr>
        <w:t xml:space="preserve">4.2.1</w:t>
      </w:r>
      <w:r>
        <w:tab/>
      </w:r>
      <w:r>
        <w:t xml:space="preserve">Selection of ecological response variable: coho and Chinook outcome metrics</w:t>
      </w:r>
    </w:p>
    <w:p>
      <w:pPr>
        <w:pStyle w:val="FirstParagraph"/>
      </w:pPr>
      <w:r>
        <w:t xml:space="preserve">Correlation coefficients were used to select the ecological response variable for each species: coho smolts per female spawner (coho spf) and Chinook juveniles per adult (jpa).</w:t>
      </w:r>
    </w:p>
    <w:p>
      <w:pPr>
        <w:pStyle w:val="BodyText"/>
      </w:pPr>
      <w:r>
        <w:t xml:space="preserve">In the correlation analysis we assessed relatedness of ecological outcome metrics with both types of hydrologic metric (reconnection/disconnection and functional flows). Degree of correlation was evaluated broadly as the number of correlation coefficients with an absolute value greater than 0.5 (</w:t>
      </w:r>
      <m:oMath>
        <m:d>
          <m:dPr>
            <m:begChr m:val="|"/>
            <m:endChr m:val="|"/>
            <m:sepChr m:val=""/>
            <m:grow/>
          </m:dPr>
          <m:e>
            <m:r>
              <m:t>R</m:t>
            </m:r>
          </m:e>
        </m:d>
        <m:r>
          <m:rPr>
            <m:sty m:val="p"/>
          </m:rPr>
          <m:t>&gt;</m:t>
        </m:r>
        <m:r>
          <m:t>0.5</m:t>
        </m:r>
      </m:oMath>
      <w:r>
        <w:t xml:space="preserve">; Figure</w:t>
      </w:r>
      <w:r>
        <w:t xml:space="preserve"> </w:t>
      </w:r>
      <w:r>
        <w:t xml:space="preserve">8</w:t>
      </w:r>
      <w:r>
        <w:t xml:space="preserve">). (The threshold value of 0.5 for</w:t>
      </w:r>
      <w:r>
        <w:t xml:space="preserve"> </w:t>
      </w:r>
      <m:oMath>
        <m:d>
          <m:dPr>
            <m:begChr m:val="|"/>
            <m:endChr m:val="|"/>
            <m:sepChr m:val=""/>
            <m:grow/>
          </m:dPr>
          <m:e>
            <m:r>
              <m:t>R</m:t>
            </m:r>
          </m:e>
        </m:d>
      </m:oMath>
      <w:r>
        <w:t xml:space="preserve"> </w:t>
      </w:r>
      <w:r>
        <w:t xml:space="preserve">was selected to identify the best candidates among those available and does not denote particularly strong predictive power on its own.)</w:t>
      </w:r>
    </w:p>
    <w:p>
      <w:pPr>
        <w:pStyle w:val="BodyText"/>
      </w:pPr>
      <w:r>
        <w:t xml:space="preserve">For coho salmon, the smolt per female spawner (coho spf) metric is negatively correlated with BY_recon at all thresholds. To a lesser degree, it is positively correlated with RY_discon at all thresholds, and negatively correlated with RY_recon at all thresholds but one. Among functional flow metrics, coho spf was positively correlated (with</w:t>
      </w:r>
      <w:r>
        <w:t xml:space="preserve">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t>
      </w:r>
      <w:r>
        <w:t xml:space="preserve">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 These correlations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This metric has also been identified by state agency analysts as indicative of freshwater ecosystem conditions at coho salmon populations below carrying capacity</w:t>
      </w:r>
      <w:r>
        <w:t xml:space="preserve"> </w:t>
      </w:r>
      <w:r>
        <w:t xml:space="preserve">(CDFW 2021)</w:t>
      </w:r>
      <w:r>
        <w:t xml:space="preserve">. Consequently, further hydro-ecological modeling for coho uses this coho smolt per female (coho spf) metric as the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7" name="Picture"/>
            <a:graphic>
              <a:graphicData uri="http://schemas.openxmlformats.org/drawingml/2006/picture">
                <pic:pic>
                  <pic:nvPicPr>
                    <pic:cNvPr descr="Graphics%20and%20Supplements/Figure%207.png" id="68" name="Picture"/>
                    <pic:cNvPicPr>
                      <a:picLocks noChangeArrowheads="1" noChangeAspect="1"/>
                    </pic:cNvPicPr>
                  </pic:nvPicPr>
                  <pic:blipFill>
                    <a:blip r:embed="rId6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End w:id="69"/>
    <w:bookmarkStart w:id="73" w:name="Xd8bced2a8d219ec93c5448648f1751e5fa73d5a"/>
    <w:p>
      <w:pPr>
        <w:pStyle w:val="Heading3"/>
      </w:pPr>
      <w:r>
        <w:rPr>
          <w:rStyle w:val="SectionNumber"/>
        </w:rPr>
        <w:t xml:space="preserve">4.2.2</w:t>
      </w:r>
      <w:r>
        <w:tab/>
      </w:r>
      <w:r>
        <w:t xml:space="preserve">Selection of thresholds for fall reconnection dates</w:t>
      </w:r>
    </w:p>
    <w:p>
      <w:pPr>
        <w:pStyle w:val="FirstParagraph"/>
      </w:pPr>
      <w:r>
        <w:t xml:space="preserve">As mentioned in Methods, we examined relationships between reconnection dates and biological monitoring data in order to identify the flow threshold(s) with the highest predictive power and potentially the lowest redundancy. Relationships between the Brood Year reconnection dates for six flow thresholds and coho spf are shown in Figure</w:t>
      </w:r>
      <w:r>
        <w:t xml:space="preserve"> </w:t>
      </w:r>
      <w:r>
        <w:t xml:space="preserve">9</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like 8 and 10 cfs, a data censoring problem emerges, as there are some years where the flow never drops below the threshold, so</w:t>
      </w:r>
      <w:r>
        <w:t xml:space="preserve"> </w:t>
      </w:r>
      <w:r>
        <w:t xml:space="preserve">“</w:t>
      </w:r>
      <w:r>
        <w:t xml:space="preserve">reconnection</w:t>
      </w:r>
      <w:r>
        <w:t xml:space="preserve">”</w:t>
      </w:r>
      <w:r>
        <w:t xml:space="preserve"> </w:t>
      </w:r>
      <w:r>
        <w:t xml:space="preserve">as flows rise above that threshold cannot occur.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Using only the two models with the highest</w:t>
      </w:r>
      <w:r>
        <w:t xml:space="preserve"> </w:t>
      </w:r>
      <m:oMath>
        <m:sSup>
          <m:e>
            <m:r>
              <m:t>R</m:t>
            </m:r>
          </m:e>
          <m:sup>
            <m:r>
              <m:t>2</m:t>
            </m:r>
          </m:sup>
        </m:sSup>
      </m:oMath>
      <w:r>
        <w:t xml:space="preserve">, we narrowed the reconnection and disconnection date flow thresholds under consideration to 10 cfs and 100 cfs (Figure</w:t>
      </w:r>
      <w:r>
        <w:t xml:space="preserve"> </w:t>
      </w:r>
      <w:r>
        <w:t xml:space="preserve">9</w:t>
      </w:r>
      <w:r>
        <w:t xml:space="preserve">). This decision could be revisited if additional years of data become available.</w:t>
      </w:r>
    </w:p>
    <w:p>
      <w:pPr>
        <w:pStyle w:val="CaptionedFigure"/>
      </w:pPr>
      <w:r>
        <w:drawing>
          <wp:inline>
            <wp:extent cx="5334000" cy="6096000"/>
            <wp:effectExtent b="0" l="0" r="0" t="0"/>
            <wp:docPr descr="Figure 9: Correlations between the ‘reconnection’ dates, or dates of fall flow rising above the designated flow threshold, for six flowrates. X-axis units are days after Aug. 31 of the coho salmon cohort Birth Year." title="" id="71" name="Picture"/>
            <a:graphic>
              <a:graphicData uri="http://schemas.openxmlformats.org/drawingml/2006/picture">
                <pic:pic>
                  <pic:nvPicPr>
                    <pic:cNvPr descr="Graphics%20and%20Supplements/Figure%208.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coho salmon cohort Birth Year.</w:t>
      </w:r>
    </w:p>
    <w:bookmarkEnd w:id="73"/>
    <w:bookmarkEnd w:id="74"/>
    <w:bookmarkStart w:id="83" w:name="linear-modeling"/>
    <w:p>
      <w:pPr>
        <w:pStyle w:val="Heading2"/>
      </w:pPr>
      <w:r>
        <w:rPr>
          <w:rStyle w:val="SectionNumber"/>
        </w:rPr>
        <w:t xml:space="preserve">4.3</w:t>
      </w:r>
      <w:r>
        <w:tab/>
      </w:r>
      <w:r>
        <w:t xml:space="preserve">Linear modeling</w:t>
      </w:r>
    </w:p>
    <w:p>
      <w:pPr>
        <w:pStyle w:val="FirstParagraph"/>
      </w:pPr>
      <w:r>
        <w:t xml:space="preserve">We used all hydrologic predictors to generate the set of all possible 1- and 2-predictor linear models of the relative reproduction for Chinook (Chinook jpa) and coho (coho spf) salmon. One-predictor models performed categorically worse than two-predictor models (Figure</w:t>
      </w:r>
      <w:r>
        <w:t xml:space="preserve"> </w:t>
      </w:r>
      <w:r>
        <w:t xml:space="preserve">10</w:t>
      </w:r>
      <w:r>
        <w:t xml:space="preserve">). This is an expected outcome and likely reflects some overfitting in two-predictor models. Diagnostics for all linear models are included in</w:t>
      </w:r>
      <w:r>
        <w:t xml:space="preserve"> </w:t>
      </w:r>
      <w:r>
        <w:rPr>
          <w:iCs/>
          <w:i/>
        </w:rPr>
        <w:t xml:space="preserve">Supplemental Tables 3</w:t>
      </w:r>
      <w:r>
        <w:t xml:space="preserve"> </w:t>
      </w:r>
      <w:r>
        <w:t xml:space="preserve">through</w:t>
      </w:r>
      <w:r>
        <w:t xml:space="preserve"> </w:t>
      </w:r>
      <w:r>
        <w:rPr>
          <w:iCs/>
          <w:i/>
        </w:rPr>
        <w:t xml:space="preserve">6</w:t>
      </w:r>
      <w:r>
        <w:t xml:space="preserve">.</w:t>
      </w:r>
    </w:p>
    <w:p>
      <w:pPr>
        <w:pStyle w:val="BodyText"/>
      </w:pPr>
      <w:r>
        <w:t xml:space="preserve">Coho reproduction rates appear to be correlated with some hydrologic metrics, based on the hydrologic conditions and coho observations in brood years 2004 - 2019, corresponding to water years 2007-2020. The four best one-predictor models and six best two-predictor models are shown in Table</w:t>
      </w:r>
      <w:r>
        <w:t xml:space="preserve"> </w:t>
      </w:r>
      <w:r>
        <w:t xml:space="preserve">2</w:t>
      </w:r>
      <w:r>
        <w:t xml:space="preserve">. For coho, because the predictor BY_recon_10 (Brood Year reconnection date, 10 cfs) performed so much better than all other metrics in the one-predictor model set, all two-predictor models evaluated included that predictor.</w:t>
      </w:r>
    </w:p>
    <w:p>
      <w:pPr>
        <w:pStyle w:val="BodyText"/>
      </w:pPr>
      <w:r>
        <w:t xml:space="preserve">Relative reproduction in Chinook was less predictable than in coho, using the same set of hydrologic predictors: for Chinook, maximum</w:t>
      </w:r>
      <w:r>
        <w:t xml:space="preserve"> </w:t>
      </w:r>
      <m:oMath>
        <m:sSup>
          <m:e>
            <m:r>
              <m:t>R</m:t>
            </m:r>
          </m:e>
          <m:sup>
            <m:r>
              <m:t>2</m:t>
            </m:r>
          </m:sup>
        </m:sSup>
      </m:oMath>
      <w:r>
        <w:t xml:space="preserve"> </w:t>
      </w:r>
      <w:r>
        <w:t xml:space="preserve">values were 0.2 and 0.5 for single- and two-predictor models, respectively, while for coho they were 0.5 and 0.9 (Figure</w:t>
      </w:r>
      <w:r>
        <w:t xml:space="preserve"> </w:t>
      </w:r>
      <w:r>
        <w:t xml:space="preserve">10</w:t>
      </w:r>
      <w:r>
        <w:t xml:space="preserve">). Given the limited strength of the Chinook data, the development of the HB function was conducted only for coho salmon.</w:t>
      </w:r>
    </w:p>
    <w:p>
      <w:pPr>
        <w:pStyle w:val="CaptionedFigure"/>
      </w:pPr>
      <w:r>
        <w:drawing>
          <wp:inline>
            <wp:extent cx="5334000" cy="4572000"/>
            <wp:effectExtent b="0" l="0" r="0" t="0"/>
            <wp:docPr descr="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 title="" id="76" name="Picture"/>
            <a:graphic>
              <a:graphicData uri="http://schemas.openxmlformats.org/drawingml/2006/picture">
                <pic:pic>
                  <pic:nvPicPr>
                    <pic:cNvPr descr="Graphics%20and%20Supplements/Figure%209.png" id="77" name="Picture"/>
                    <pic:cNvPicPr>
                      <a:picLocks noChangeArrowheads="1" noChangeAspect="1"/>
                    </pic:cNvPicPr>
                  </pic:nvPicPr>
                  <pic:blipFill>
                    <a:blip r:embed="rId75"/>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w:t>
      </w:r>
    </w:p>
    <w:bookmarkStart w:id="78" w:name="model-selection-criteria"/>
    <w:p>
      <w:pPr>
        <w:pStyle w:val="Heading3"/>
      </w:pPr>
      <w:r>
        <w:rPr>
          <w:rStyle w:val="SectionNumber"/>
        </w:rPr>
        <w:t xml:space="preserve">4.3.1</w:t>
      </w:r>
      <w:r>
        <w:tab/>
      </w:r>
      <w:r>
        <w:t xml:space="preserve">Model selection criteria</w:t>
      </w:r>
    </w:p>
    <w:p>
      <w:pPr>
        <w:pStyle w:val="FirstParagraph"/>
      </w:pPr>
      <w:r>
        <w:t xml:space="preserve">The minimum performance criteria were established to select the final set of best model were: adjusted</w:t>
      </w:r>
      <w:r>
        <w:t xml:space="preserve"> </w:t>
      </w:r>
      <m:oMath>
        <m:sSup>
          <m:e>
            <m:r>
              <m:t>R</m:t>
            </m:r>
          </m:e>
          <m:sup>
            <m:r>
              <m:t>2</m:t>
            </m:r>
          </m:sup>
        </m:sSup>
      </m:oMath>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 Table</w:t>
      </w:r>
      <w:r>
        <w:t xml:space="preserve"> </w:t>
      </w:r>
      <w:r>
        <w:t xml:space="preserve">4</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w:t>
      </w:r>
      <w:r>
        <w:t xml:space="preserve"> </w:t>
      </w:r>
      <w:r>
        <w:t xml:space="preserve">2</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is best evaluated using information from multiple seasons.</w:t>
      </w:r>
    </w:p>
    <w:bookmarkEnd w:id="78"/>
    <w:bookmarkStart w:id="82" w:name="X7f0c115bd79c0d96caf6a52e90595ecd1d24cca"/>
    <w:p>
      <w:pPr>
        <w:pStyle w:val="Heading3"/>
      </w:pPr>
      <w:r>
        <w:rPr>
          <w:rStyle w:val="SectionNumber"/>
        </w:rPr>
        <w:t xml:space="preserve">4.3.2</w:t>
      </w:r>
      <w:r>
        <w:tab/>
      </w:r>
      <w:r>
        <w:t xml:space="preserve">Hydrologic predictors and model structure</w:t>
      </w:r>
    </w:p>
    <w:p>
      <w:pPr>
        <w:pStyle w:val="FirstParagraph"/>
      </w:pPr>
      <w:r>
        <w:t xml:space="preserve">The best single-predictor models (Brood Year fall reconnection dates for 10 and 100 cfs, or BY_recon_10 and BY_recon_100) are both related to the timing of rising fall flows in the Brood Year of each salmon cohort (Table</w:t>
      </w:r>
      <w:r>
        <w:t xml:space="preserve"> </w:t>
      </w:r>
      <w:r>
        <w:t xml:space="preserve">2</w:t>
      </w:r>
      <w:r>
        <w:t xml:space="preserve">).</w:t>
      </w:r>
    </w:p>
    <w:p>
      <w:pPr>
        <w:pStyle w:val="BodyText"/>
      </w:pPr>
      <w:r>
        <w:t xml:space="preserve">The predictor BY_FA_Mag, or the magnitude of the Brood Year fall pulse, was also highly correlated with coho spf (Figure</w:t>
      </w:r>
      <w:r>
        <w:t xml:space="preserve"> </w:t>
      </w:r>
      <w:r>
        <w:t xml:space="preserve">8</w:t>
      </w:r>
      <w:r>
        <w:t xml:space="preserve">).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pPr>
        <w:pStyle w:val="BodyText"/>
      </w:pPr>
      <w:r>
        <w:t xml:space="preserve">The addition of a second predictor clearly improves model performance in terms of predictive power and test error. This is evident in the greater abundance of 2-predictor models with higher</w:t>
      </w:r>
      <w:r>
        <w:t xml:space="preserve"> </w:t>
      </w:r>
      <m:oMath>
        <m:sSup>
          <m:e>
            <m:r>
              <m:t>R</m:t>
            </m:r>
          </m:e>
          <m:sup>
            <m:r>
              <m:t>2</m:t>
            </m:r>
          </m:sup>
        </m:sSup>
      </m:oMath>
      <w:r>
        <w:t xml:space="preserve"> </w:t>
      </w:r>
      <w:r>
        <w:t xml:space="preserve">and lower p-values (Figure</w:t>
      </w:r>
      <w:r>
        <w:t xml:space="preserve"> </w:t>
      </w:r>
      <w:r>
        <w:t xml:space="preserve">10</w:t>
      </w:r>
      <w:r>
        <w:t xml:space="preserve">), as well as in the increased</w:t>
      </w:r>
      <w:r>
        <w:t xml:space="preserve"> </w:t>
      </w:r>
      <m:oMath>
        <m:sSup>
          <m:e>
            <m:r>
              <m:t>R</m:t>
            </m:r>
          </m:e>
          <m:sup>
            <m:r>
              <m:t>2</m:t>
            </m:r>
          </m:sup>
        </m:sSup>
      </m:oMath>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(Tables</w:t>
      </w:r>
      <w:r>
        <w:t xml:space="preserve"> </w:t>
      </w:r>
      <w:r>
        <w:t xml:space="preserve">2</w:t>
      </w:r>
      <w:r>
        <w:t xml:space="preserve"> </w:t>
      </w:r>
      <w:r>
        <w:t xml:space="preserve">and</w:t>
      </w:r>
      <w:r>
        <w:t xml:space="preserve"> </w:t>
      </w:r>
      <w:r>
        <w:t xml:space="preserve">3</w:t>
      </w:r>
      <w:r>
        <w:t xml:space="preserve">, with observed and predicted values shown in Figure</w:t>
      </w:r>
      <w:r>
        <w:t xml:space="preserve"> </w:t>
      </w:r>
      <w:r>
        <w:t xml:space="preserve">11</w:t>
      </w:r>
      <w:r>
        <w:t xml:space="preserve">).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5334000" cy="6096000"/>
            <wp:effectExtent b="0" l="0" r="0" t="0"/>
            <wp:docPr descr="Figure 11: Predicted vs observed values for coho smolt production per female in the linear models with one through four hydrologic predictors. A dashed 1:1 line is included for reference." title="" id="80" name="Picture"/>
            <a:graphic>
              <a:graphicData uri="http://schemas.openxmlformats.org/drawingml/2006/picture">
                <pic:pic>
                  <pic:nvPicPr>
                    <pic:cNvPr descr="Graphics%20and%20Supplements/Figure%2010.png" id="81" name="Picture"/>
                    <pic:cNvPicPr>
                      <a:picLocks noChangeArrowheads="1" noChangeAspect="1"/>
                    </pic:cNvPicPr>
                  </pic:nvPicPr>
                  <pic:blipFill>
                    <a:blip r:embed="rId7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Predicted vs observed values for coho smolt production per female in the linear models with one through four hydrologic predictors. A dashed 1:1 line is included for reference.</w:t>
      </w:r>
    </w:p>
    <w:bookmarkEnd w:id="82"/>
    <w:bookmarkEnd w:id="83"/>
    <w:bookmarkStart w:id="85" w:name="hydrologic-benefit-function"/>
    <w:p>
      <w:pPr>
        <w:pStyle w:val="Heading2"/>
      </w:pPr>
      <w:r>
        <w:rPr>
          <w:rStyle w:val="SectionNumber"/>
        </w:rPr>
        <w:t xml:space="preserve">4.4</w:t>
      </w:r>
      <w:r>
        <w:tab/>
      </w:r>
      <w:r>
        <w:t xml:space="preserve">Hydrologic Benefit Function</w:t>
      </w:r>
    </w:p>
    <w:bookmarkStart w:id="84" w:name="Xdcb5eacc8cfd9d9f867855e42dc69591b1c8aad"/>
    <w:p>
      <w:pPr>
        <w:pStyle w:val="Heading3"/>
      </w:pPr>
      <w:r>
        <w:rPr>
          <w:rStyle w:val="SectionNumber"/>
        </w:rPr>
        <w:t xml:space="preserve">4.4.1</w:t>
      </w:r>
      <w:r>
        <w:tab/>
      </w:r>
      <w:r>
        <w:t xml:space="preserve">Predictors and coefficients in the ensemble model</w:t>
      </w:r>
    </w:p>
    <w:p>
      <w:pPr>
        <w:pStyle w:val="FirstParagraph"/>
      </w:pPr>
      <w:r>
        <w:t xml:space="preserve">Before finalizing the selection of the highest-utility hydrologic predictors, all predictors which survived the first pass were evaluated in aggregate (Figure</w:t>
      </w:r>
      <w:r>
        <w:t xml:space="preserve"> </w:t>
      </w:r>
      <w:r>
        <w:t xml:space="preserve">10</w:t>
      </w:r>
      <w:r>
        <w:t xml:space="preserve">). Based on this analysis, we determined that Chinook reproductive outcomes were substantially less predictable than coho reproductive outcomes. The HB function development was carried out only for coho salmon.</w:t>
      </w:r>
    </w:p>
    <w:p>
      <w:pPr>
        <w:pStyle w:val="BodyText"/>
      </w:pPr>
      <w:r>
        <w:t xml:space="preserve">To avoid over-interpreting results based on the small ecological dataset of coho reproduction, the coefficients of the three best two-predictor linear models (</w:t>
      </w:r>
      <m:oMath>
        <m:r>
          <m:t>n</m:t>
        </m:r>
        <m:r>
          <m:rPr>
            <m:sty m:val="p"/>
          </m:rPr>
          <m:t>=</m:t>
        </m:r>
        <m:r>
          <m:t>3</m:t>
        </m:r>
      </m:oMath>
      <w:r>
        <w:t xml:space="preserve"> </w:t>
      </w:r>
      <w:r>
        <w:t xml:space="preserve">in Equation 1) were averaged into the coefficients of an ensemble model shown in Table 4. The ensemble model coefficients provide the formulation of the Hydrologic Benefit function (Equation 2).</w:t>
      </w:r>
    </w:p>
    <w:bookmarkEnd w:id="84"/>
    <w:bookmarkEnd w:id="85"/>
    <w:bookmarkEnd w:id="86"/>
    <w:bookmarkStart w:id="91" w:name="extra-text-from-methods"/>
    <w:p>
      <w:pPr>
        <w:pStyle w:val="Heading1"/>
      </w:pPr>
      <w:r>
        <w:rPr>
          <w:rStyle w:val="SectionNumber"/>
        </w:rPr>
        <w:t xml:space="preserve">5</w:t>
      </w:r>
      <w:r>
        <w:tab/>
      </w:r>
      <w:r>
        <w:t xml:space="preserve">Extra text from Methods</w:t>
      </w:r>
    </w:p>
    <w:p>
      <w:pPr>
        <w:pStyle w:val="FirstParagraph"/>
      </w:pPr>
      <w:r>
        <w:t xml:space="preserve">The average ensemble model was used to dampen the sensitivity of any individual model to a single water-year outcome.</w:t>
      </w:r>
    </w:p>
    <w:p>
      <w:pPr>
        <w:pStyle w:val="BodyText"/>
      </w:pPr>
      <w:r>
        <w:t xml:space="preserve">Only two-predictor models were included in the model selection exercise, because</w:t>
      </w:r>
    </w:p>
    <w:p>
      <w:pPr>
        <w:pStyle w:val="BodyText"/>
      </w:pPr>
      <w:r>
        <w:t xml:space="preserve">In all two-predictor linear regression models the ecological outcome for each water year was estimated as follows:</w:t>
      </w:r>
    </w:p>
    <w:p>
      <w:pPr>
        <w:pStyle w:val="BodyText"/>
      </w:pPr>
      <w:r>
        <w:t xml:space="preserve">where</w:t>
      </w:r>
      <w:r>
        <w:t xml:space="preserve"> </w:t>
      </w:r>
      <m:oMath>
        <m:sSub>
          <m:e>
            <m:r>
              <m:t>y</m:t>
            </m:r>
          </m:e>
          <m:sub>
            <m:r>
              <m:t>w</m:t>
            </m:r>
          </m:sub>
        </m:sSub>
        <m:r>
          <m:t>y</m:t>
        </m:r>
      </m:oMath>
      <w:r>
        <w:t xml:space="preserve"> </w:t>
      </w:r>
      <w:r>
        <w:t xml:space="preserve">is the ecologic response variable estimated in a given water year,</w:t>
      </w:r>
      <w:r>
        <w:t xml:space="preserve"> </w:t>
      </w:r>
      <m:oMath>
        <m:sSub>
          <m:e>
            <m:r>
              <m:t>x</m:t>
            </m:r>
          </m:e>
          <m:sub>
            <m:r>
              <m:t>1</m:t>
            </m:r>
            <m:r>
              <m:rPr>
                <m:sty m:val="p"/>
              </m:rPr>
              <m:t>,</m:t>
            </m:r>
            <m:r>
              <m:t>w</m:t>
            </m:r>
            <m:r>
              <m:t>y</m:t>
            </m:r>
          </m:sub>
        </m:sSub>
      </m:oMath>
      <w:r>
        <w:t xml:space="preserve"> </w:t>
      </w:r>
      <w:r>
        <w:t xml:space="preserve">and</w:t>
      </w:r>
      <w:r>
        <w:t xml:space="preserve"> </w:t>
      </w:r>
      <m:oMath>
        <m:sSub>
          <m:e>
            <m:r>
              <m:t>x</m:t>
            </m:r>
          </m:e>
          <m:sub>
            <m:r>
              <m:t>2</m:t>
            </m:r>
            <m:r>
              <m:rPr>
                <m:sty m:val="p"/>
              </m:rPr>
              <m:t>,</m:t>
            </m:r>
            <m:r>
              <m:t>w</m:t>
            </m:r>
            <m:r>
              <m:t>y</m:t>
            </m:r>
          </m:sub>
        </m:sSub>
      </m:oMath>
      <w:r>
        <w:t xml:space="preserve"> </w:t>
      </w:r>
      <w:r>
        <w:t xml:space="preserve">are hydrologic predictor variables observed in a given water year, and a and b are regression coefficients.</w:t>
      </w:r>
    </w:p>
    <w:p>
      <w:pPr>
        <w:pStyle w:val="BodyText"/>
      </w:pPr>
      <w:r>
        <w:t xml:space="preserve">With a dataset this small, the risk of overfitting is relatively high</w:t>
      </w:r>
      <w:r>
        <w:t xml:space="preserve"> </w:t>
      </w:r>
      <w:r>
        <w:t xml:space="preserve">(James et al. 2013)</w:t>
      </w:r>
      <w:r>
        <w:t xml:space="preserve">. Consequently linear models with a maximum of two predictors were evaluated. Criteria used to make the evaluate model performance included degree of variability explained by the predictors (</w:t>
      </w:r>
      <m:oMath>
        <m:sSup>
          <m:e>
            <m:r>
              <m:t>R</m:t>
            </m:r>
          </m:e>
          <m:sup>
            <m:r>
              <m:t>2</m:t>
            </m:r>
          </m:sup>
        </m:sSup>
      </m:oMath>
      <w:r>
        <w:t xml:space="preserve"> </w:t>
      </w:r>
      <w:r>
        <w:t xml:space="preserve">and adjusted</w:t>
      </w:r>
      <w:r>
        <w:t xml:space="preserve"> </w:t>
      </w:r>
      <m:oMath>
        <m:sSup>
          <m:e>
            <m:r>
              <m:t>R</m:t>
            </m:r>
          </m:e>
          <m:sup>
            <m:r>
              <m:t>2</m:t>
            </m:r>
          </m:sup>
        </m:sSup>
      </m:oMath>
      <w:r>
        <w:t xml:space="preserve">), statistical significance (p-value and F-statistic), the amount of total non-correlated information contained in the set of predictors (corrected AIC, or AIC</w:t>
      </w:r>
      <w:r>
        <w:rPr>
          <w:vertAlign w:val="subscript"/>
        </w:rPr>
        <w:t xml:space="preserve">c</w:t>
      </w:r>
      <w:r>
        <w:t xml:space="preserve">, a statistic used for small sample sizes).</w:t>
      </w:r>
    </w:p>
    <w:p>
      <w:pPr>
        <w:pStyle w:val="BodyText"/>
      </w:pPr>
      <w:r>
        <w:t xml:space="preserve">MOVE TO RESULTS</w:t>
      </w:r>
    </w:p>
    <w:bookmarkStart w:id="87" w:name="X4645f8f4a124565f9d466360a95c2cc73f4432d"/>
    <w:p>
      <w:pPr>
        <w:pStyle w:val="Heading3"/>
      </w:pPr>
      <w:r>
        <w:rPr>
          <w:rStyle w:val="SectionNumber"/>
        </w:rPr>
        <w:t xml:space="preserve">5.0.1</w:t>
      </w:r>
      <w:r>
        <w:tab/>
      </w:r>
      <w:r>
        <w:t xml:space="preserve">Evaluation of all possible linear models and exclusion of Chinook</w:t>
      </w:r>
    </w:p>
    <w:bookmarkEnd w:id="87"/>
    <w:bookmarkStart w:id="88" w:name="X19b078bea9583848bb6533ccd9b36310acff26d"/>
    <w:p>
      <w:pPr>
        <w:pStyle w:val="Heading3"/>
      </w:pPr>
      <w:r>
        <w:rPr>
          <w:rStyle w:val="SectionNumber"/>
        </w:rPr>
        <w:t xml:space="preserve">5.0.2</w:t>
      </w:r>
      <w:r>
        <w:tab/>
      </w:r>
      <w:r>
        <w:t xml:space="preserve">Hydrologic benefit function formulation and sensitivity</w:t>
      </w:r>
    </w:p>
    <w:p>
      <w:pPr>
        <w:pStyle w:val="FirstParagraph"/>
      </w:pPr>
      <w:r>
        <w:t xml:space="preserve">As described above, coho salmon outcomes were modeled using two-predictor linear regression models. One-predictor models were also calculated for comparative purposes (see Results).</w:t>
      </w:r>
    </w:p>
    <w:bookmarkEnd w:id="88"/>
    <w:bookmarkStart w:id="89" w:name="X57a52924c851c61a9341e8e93e70bf04d5c1aee"/>
    <w:p>
      <w:pPr>
        <w:pStyle w:val="Heading2"/>
      </w:pPr>
      <w:r>
        <w:rPr>
          <w:rStyle w:val="SectionNumber"/>
        </w:rPr>
        <w:t xml:space="preserve">5.1</w:t>
      </w:r>
      <w:r>
        <w:tab/>
      </w:r>
      <w:r>
        <w:t xml:space="preserve">Proposed formulation of a water year-based Hydrologic Benefit function for coho salmon</w:t>
      </w:r>
    </w:p>
    <w:p>
      <w:pPr>
        <w:pStyle w:val="FirstParagraph"/>
      </w:pPr>
      <w:r>
        <w:t xml:space="preserve">To avoid over-interpreting the results of this small dataset, the coefficients of the three best selected models were averaged into the coefficients of an ensemble model shown in Table</w:t>
      </w:r>
      <w:r>
        <w:t xml:space="preserve"> </w:t>
      </w:r>
      <w:r>
        <w:t xml:space="preserve">4</w:t>
      </w:r>
      <w:r>
        <w:t xml:space="preserve">. The ensemble model coefficients provide the formulation of the Hydrologic Benefit function. Consequently the Hydrologic Benefit values can be interpreted as predictions of coho spf-equivalents for a given water year. The values of the four predictors (i.e., the hydrologic metrics for each water year in the Fort Jones gauge record in water years 1942-2021) – are included in</w:t>
      </w:r>
      <w:r>
        <w:t xml:space="preserve"> </w:t>
      </w:r>
      <w:r>
        <w:rPr>
          <w:iCs/>
          <w:i/>
        </w:rPr>
        <w:t xml:space="preserve">Supplemental Table 1</w:t>
      </w:r>
      <w:r>
        <w:t xml:space="preserve">.</w:t>
      </w:r>
    </w:p>
    <w:p>
      <w:pPr>
        <w:pStyle w:val="BodyText"/>
      </w:pPr>
      <w:r>
        <w:t xml:space="preserve">The combined formulation is as follows:</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p>
      <w:pPr>
        <w:pStyle w:val="TableCaption"/>
      </w:pPr>
      <w:r>
        <w:t xml:space="preserve">Table 2:</w:t>
      </w:r>
      <w:r>
        <w:t xml:space="preserve"> </w:t>
      </w:r>
      <w:r>
        <w:t xml:space="preserve">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2160"/>
        <w:gridCol w:w="1034"/>
        <w:gridCol w:w="1206"/>
        <w:gridCol w:w="1426"/>
        <w:gridCol w:w="1866"/>
        <w:gridCol w:w="961"/>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F-stat.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 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108.4</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110.8</w:t>
            </w:r>
          </w:p>
        </w:tc>
      </w:tr>
      <w:tr>
        <w:trPr>
          <w:trHeight w:val="61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112.9</w:t>
            </w:r>
          </w:p>
        </w:tc>
      </w:tr>
      <w:tr>
        <w:trPr>
          <w:trHeight w:val="612"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0.83792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110.9</w:t>
            </w:r>
          </w:p>
        </w:tc>
      </w:tr>
      <w:tr>
        <w:trPr>
          <w:trHeight w:val="613"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BY_recon_100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105.1</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106.2</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109.3</w:t>
            </w:r>
          </w:p>
        </w:tc>
      </w:tr>
      <w:tr>
        <w:trPr>
          <w:trHeight w:val="613"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RY_discon_10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109.9</w:t>
            </w:r>
          </w:p>
        </w:tc>
      </w:tr>
    </w:tbl>
    <w:p>
      <w:pPr>
        <w:pStyle w:val="TableCaption"/>
      </w:pPr>
      <w:r>
        <w:t xml:space="preserve">Table 3:</w:t>
      </w:r>
      <w:r>
        <w:t xml:space="preserve"> </w:t>
      </w:r>
      <w:r>
        <w:t xml:space="preserve">Average model prediction error, based on leave-one-out cross-validation (James et al., 2013).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1768"/>
        <w:gridCol w:w="2160"/>
      </w:tblGrid>
      <w:tr>
        <w:trPr>
          <w:cantSplit/>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LOOCV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error (coho spf-equiv.)</w:t>
            </w:r>
          </w:p>
        </w:tc>
      </w:tr>
      <w:tr>
        <w:trPr>
          <w:cantSplit/>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cantSplit/>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r>
      <w:tr>
        <w:trPr>
          <w:cantSplit/>
          <w:trHeight w:val="60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cantSplit/>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r>
      <w:tr>
        <w:trPr>
          <w:cantSplit/>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cantSplit/>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cantSplit/>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cantSplit/>
          <w:trHeight w:val="57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cantSplit/>
          <w:trHeight w:val="60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bl>
    <w:p>
      <w:pPr>
        <w:pStyle w:val="TableCaption"/>
      </w:pPr>
      <w:r>
        <w:t xml:space="preserve">Table 4:</w:t>
      </w:r>
      <w:r>
        <w:t xml:space="preserve"> </w:t>
      </w:r>
      <w:r>
        <w:t xml:space="preserve">Summary of slope values (coho smolt per female per relevant unit) for predictors included in the three best linear models. The ensemble average values are used as weights in the Hydrologic Benefit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7"/>
        <w:gridCol w:w="1744"/>
        <w:gridCol w:w="1866"/>
        <w:gridCol w:w="1719"/>
        <w:gridCol w:w="2232"/>
      </w:tblGrid>
      <w:tr>
        <w:trPr>
          <w:trHeight w:val="61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r>
      <w:tr>
        <w:trPr>
          <w:trHeight w:val="571"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2"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572"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bl>
    <w:bookmarkEnd w:id="89"/>
    <w:bookmarkStart w:id="90" w:name="X5678042e0e587b4a5ea03a6bcb753fee3274725"/>
    <w:p>
      <w:pPr>
        <w:pStyle w:val="Heading2"/>
      </w:pPr>
      <w:r>
        <w:rPr>
          <w:rStyle w:val="SectionNumber"/>
        </w:rPr>
        <w:t xml:space="preserve">5.2</w:t>
      </w:r>
      <w:r>
        <w:tab/>
      </w:r>
      <w:r>
        <w:t xml:space="preserve">HB function sensitivity to one additional observation</w:t>
      </w:r>
    </w:p>
    <w:p>
      <w:pPr>
        <w:pStyle w:val="FirstParagraph"/>
      </w:pPr>
      <w:r>
        <w:t xml:space="preserve">To further explore the uncertainty associated with such a small dataset, the sensitivity of the predictive model was estimated by adding one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Furthermore, flow conditions in and just before water year 2016 were very dry, and the hydrologic predictors for water year 2016 generated the lowest predicted coho spf value of the entire Fort Jones gauge flow record (-35.9; see Figure</w:t>
      </w:r>
      <w:r>
        <w:t xml:space="preserve"> </w:t>
      </w:r>
      <w:r>
        <w:t xml:space="preserve">12</w:t>
      </w:r>
      <w:r>
        <w:t xml:space="preserve">). The significance of predicted negative coho spf values is described further in Results.</w:t>
      </w:r>
    </w:p>
    <w:p>
      <w:pPr>
        <w:pStyle w:val="BodyText"/>
      </w:pPr>
      <w:r>
        <w:t xml:space="preserve">This missing value for brood year 2015 was replaced by 0, as well as the minimum, mean and maximum values of observed coho spf (5.8, 60.0, and 101.8 coho spf, respectively). The ensemble average coefficients in the HB function were recalculated based on each revised dataset.</w:t>
      </w:r>
    </w:p>
    <w:bookmarkEnd w:id="90"/>
    <w:bookmarkEnd w:id="91"/>
    <w:bookmarkStart w:id="104" w:name="results-1"/>
    <w:p>
      <w:pPr>
        <w:pStyle w:val="Heading1"/>
      </w:pPr>
      <w:r>
        <w:rPr>
          <w:rStyle w:val="SectionNumber"/>
        </w:rPr>
        <w:t xml:space="preserve">6</w:t>
      </w:r>
      <w:r>
        <w:tab/>
      </w:r>
      <w:r>
        <w:t xml:space="preserve">Results</w:t>
      </w:r>
    </w:p>
    <w:bookmarkStart w:id="92" w:name="Xecceecfd1ea7e2c3e3274f19f37083719d0f790"/>
    <w:p>
      <w:pPr>
        <w:pStyle w:val="Heading3"/>
      </w:pPr>
      <w:r>
        <w:rPr>
          <w:rStyle w:val="SectionNumber"/>
        </w:rPr>
        <w:t xml:space="preserve">6.0.1</w:t>
      </w:r>
      <w:r>
        <w:tab/>
      </w:r>
      <w:r>
        <w:t xml:space="preserve">Correlation of hydrologic metrics with salmon metrics</w:t>
      </w:r>
    </w:p>
    <w:p>
      <w:pPr>
        <w:pStyle w:val="FirstParagraph"/>
      </w:pPr>
      <w:r>
        <w:t xml:space="preserve">The information in</w:t>
      </w:r>
      <w:r>
        <w:t xml:space="preserve"> </w:t>
      </w:r>
      <w:r>
        <w:rPr>
          <w:iCs/>
          <w:i/>
        </w:rPr>
        <w:t xml:space="preserve">Supplemental Table 2</w:t>
      </w:r>
      <w:r>
        <w:t xml:space="preserve"> </w:t>
      </w:r>
      <w:r>
        <w:t xml:space="preserve">was used to calculate Pearson correlation coefficients between flow metrics and observed ecological quantities: four coho observation types (the number of spawners, number of redds, number of smolt, and the number of smolts produced per female spawner) (Figure</w:t>
      </w:r>
      <w:r>
        <w:t xml:space="preserve"> </w:t>
      </w:r>
      <w:r>
        <w:t xml:space="preserve">8</w:t>
      </w:r>
      <w:r>
        <w:t xml:space="preserve">), and three Chinook observation types (all aforementioned types except number of redds, since local redd monitoring for Chinook has an insufficient record length) (</w:t>
      </w:r>
      <w:r>
        <w:rPr>
          <w:iCs/>
          <w:i/>
        </w:rPr>
        <w:t xml:space="preserve">Supplemental Figure 1</w:t>
      </w:r>
      <w:r>
        <w:t xml:space="preserve">)).</w:t>
      </w:r>
    </w:p>
    <w:p>
      <w:pPr>
        <w:pStyle w:val="BodyText"/>
      </w:pPr>
      <w:r>
        <w:t xml:space="preserve">These correlations were used as a first pass filter to refine the set of variables considered in the linear modeling exercise. A larger number of predictors was evaluated than the set depicted here; the predictors included in Figure</w:t>
      </w:r>
      <w:r>
        <w:t xml:space="preserve"> </w:t>
      </w:r>
      <w:r>
        <w:t xml:space="preserve">8</w:t>
      </w:r>
      <w:r>
        <w:t xml:space="preserve"> </w:t>
      </w:r>
      <w:r>
        <w:t xml:space="preserve">are selected because of a high correlation coefficient or an unexpected result. A full correlation matrix is shown in</w:t>
      </w:r>
      <w:r>
        <w:t xml:space="preserve"> </w:t>
      </w:r>
      <w:r>
        <w:rPr>
          <w:iCs/>
          <w:i/>
        </w:rPr>
        <w:t xml:space="preserve">Supplemental Figure 1</w:t>
      </w:r>
      <w:r>
        <w:t xml:space="preserve">.</w:t>
      </w:r>
    </w:p>
    <w:p>
      <w:pPr>
        <w:pStyle w:val="BodyText"/>
      </w:pPr>
      <w:r>
        <w:t xml:space="preserve">As mentioned in Methods, the coho salmon indicator that is most correlated with hydrologic metrics is the number of coho smolt produced per spawning female (Figure</w:t>
      </w:r>
      <w:r>
        <w:t xml:space="preserve"> </w:t>
      </w:r>
      <w:r>
        <w:t xml:space="preserve">8</w:t>
      </w:r>
      <w:r>
        <w:t xml:space="preserve">). One reason for this 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t>
      </w:r>
    </w:p>
    <w:p>
      <w:pPr>
        <w:pStyle w:val="BodyText"/>
      </w:pPr>
      <w:r>
        <w:t xml:space="preserve">Furthermore, as mentioned in Methods, ecological observations of Chinook show markedly less correlation with hydrologic metrics than those for coho.</w:t>
      </w:r>
    </w:p>
    <w:bookmarkEnd w:id="92"/>
    <w:bookmarkStart w:id="93" w:name="Xf1a39309103b5b433d86a44c6224ac668194bc2"/>
    <w:p>
      <w:pPr>
        <w:pStyle w:val="Heading3"/>
      </w:pPr>
      <w:r>
        <w:rPr>
          <w:rStyle w:val="SectionNumber"/>
        </w:rPr>
        <w:t xml:space="preserve">6.0.2</w:t>
      </w:r>
      <w:r>
        <w:tab/>
      </w:r>
      <w:r>
        <w:t xml:space="preserve">Selection of 10 and 100 cfs thresholds for fall disconnection dates</w:t>
      </w:r>
    </w:p>
    <w:p>
      <w:pPr>
        <w:pStyle w:val="FirstParagraph"/>
      </w:pPr>
      <w:r>
        <w:t xml:space="preserve">Fall reconnection dates in a cohort’s Brood Year appear strongly correlated with coho spf (Figure</w:t>
      </w:r>
      <w:r>
        <w:t xml:space="preserve"> </w:t>
      </w:r>
      <w:r>
        <w:t xml:space="preserve">8</w:t>
      </w:r>
      <w:r>
        <w:t xml:space="preserve">), and previous work in the region has documented that fall flows are critical for salmon spawning</w:t>
      </w:r>
      <w:r>
        <w:t xml:space="preserve"> </w:t>
      </w:r>
      <w:r>
        <w:t xml:space="preserve">(SRWC and RCD 2003)</w:t>
      </w:r>
      <w:r>
        <w:t xml:space="preserve">.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t>
      </w:r>
    </w:p>
    <w:bookmarkEnd w:id="93"/>
    <w:bookmarkStart w:id="94" w:name="X9a84ac41dc4efb39c6d5091fb84b9521b8f3391"/>
    <w:p>
      <w:pPr>
        <w:pStyle w:val="Heading3"/>
      </w:pPr>
      <w:r>
        <w:rPr>
          <w:rStyle w:val="SectionNumber"/>
        </w:rPr>
        <w:t xml:space="preserve">6.0.3</w:t>
      </w:r>
      <w:r>
        <w:tab/>
      </w:r>
      <w:r>
        <w:t xml:space="preserve">All possible linear models for Chinook and coho reproduction</w:t>
      </w:r>
    </w:p>
    <w:bookmarkEnd w:id="94"/>
    <w:bookmarkStart w:id="95" w:name="linear-model-predictions"/>
    <w:p>
      <w:pPr>
        <w:pStyle w:val="Heading2"/>
      </w:pPr>
      <w:r>
        <w:rPr>
          <w:rStyle w:val="SectionNumber"/>
        </w:rPr>
        <w:t xml:space="preserve">6.1</w:t>
      </w:r>
      <w:r>
        <w:tab/>
      </w:r>
      <w:r>
        <w:t xml:space="preserve">Linear model predictions</w:t>
      </w:r>
    </w:p>
    <w:bookmarkEnd w:id="95"/>
    <w:bookmarkStart w:id="102" w:name="Xb93654a19f263e3fab1f6c524eff053919a9335"/>
    <w:p>
      <w:pPr>
        <w:pStyle w:val="Heading2"/>
      </w:pPr>
      <w:r>
        <w:rPr>
          <w:rStyle w:val="SectionNumber"/>
        </w:rPr>
        <w:t xml:space="preserve">6.2</w:t>
      </w:r>
      <w:r>
        <w:tab/>
      </w:r>
      <w:r>
        <w:t xml:space="preserve">Hydrologic Benefit value over time and component contributions</w:t>
      </w:r>
    </w:p>
    <w:p>
      <w:pPr>
        <w:pStyle w:val="FirstParagraph"/>
      </w:pPr>
      <w:r>
        <w:t xml:space="preserve">Matching the historical flow trends discussed above, the predicted value of coho spf-equivalent produced by a given water year has trended downward over time (Figure</w:t>
      </w:r>
      <w:r>
        <w:t xml:space="preserve"> </w:t>
      </w:r>
      <w:r>
        <w:t xml:space="preserve">12</w:t>
      </w:r>
      <w:r>
        <w:t xml:space="preserve">). The hydrology of a severe drought in water years 2012-2016 is reflected in three consecutive years (2014-2016) of lower-than-40 predicted coho spf.</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is obviously not possible, we chose to retain these impossible values to visually represent uncertainty associated with this modeling exercise (see Discussion for more information).</w:t>
      </w:r>
    </w:p>
    <w:p>
      <w:pPr>
        <w:pStyle w:val="BodyText"/>
      </w:pPr>
      <w:r>
        <w:t xml:space="preserve">The relative contributions of each hydrologic metric to predicted Hydrologic Benefit values (except the intercept term, which is excluded for ease of visualization) is shown in Figure</w:t>
      </w:r>
      <w:r>
        <w:t xml:space="preserve"> </w:t>
      </w:r>
      <w:r>
        <w:t xml:space="preserve">13</w:t>
      </w:r>
      <w:r>
        <w:t xml:space="preserve">.</w:t>
      </w:r>
    </w:p>
    <w:p>
      <w:pPr>
        <w:pStyle w:val="CaptionedFigure"/>
      </w:pPr>
      <w:r>
        <w:drawing>
          <wp:inline>
            <wp:extent cx="5334000" cy="5334000"/>
            <wp:effectExtent b="0" l="0" r="0" t="0"/>
            <wp:docPr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97" name="Picture"/>
            <a:graphic>
              <a:graphicData uri="http://schemas.openxmlformats.org/drawingml/2006/picture">
                <pic:pic>
                  <pic:nvPicPr>
                    <pic:cNvPr descr="Graphics%20and%20Supplements/Figure%2011.png" id="98"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5334000"/>
            <wp:effectExtent b="0" l="0" r="0" t="0"/>
            <wp:docPr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100" name="Picture"/>
            <a:graphic>
              <a:graphicData uri="http://schemas.openxmlformats.org/drawingml/2006/picture">
                <pic:pic>
                  <pic:nvPicPr>
                    <pic:cNvPr descr="Graphics%20and%20Supplements/Figure%2012.png" id="101" name="Picture"/>
                    <pic:cNvPicPr>
                      <a:picLocks noChangeArrowheads="1" noChangeAspect="1"/>
                    </pic:cNvPicPr>
                  </pic:nvPicPr>
                  <pic:blipFill>
                    <a:blip r:embed="rId9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102"/>
    <w:bookmarkStart w:id="103" w:name="X47683ace934ce23e483b771e9cbdb6913140c98"/>
    <w:p>
      <w:pPr>
        <w:pStyle w:val="Heading2"/>
      </w:pPr>
      <w:r>
        <w:rPr>
          <w:rStyle w:val="SectionNumber"/>
        </w:rPr>
        <w:t xml:space="preserve">6.3</w:t>
      </w:r>
      <w:r>
        <w:tab/>
      </w:r>
      <w:r>
        <w:t xml:space="preserve">Sensitivity of the Hydrologic Benefit function to one additional data point</w:t>
      </w:r>
    </w:p>
    <w:p>
      <w:pPr>
        <w:pStyle w:val="FirstParagraph"/>
      </w:pPr>
      <w:r>
        <w:t xml:space="preserve">The best-fit HB function weights are relatively sensitive to the addition of one new data point, as can be expected for a small dataset. Assigning a coho spf value of 0 to the missing 2016 observation (brood year 2015)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103"/>
    <w:bookmarkEnd w:id="104"/>
    <w:bookmarkStart w:id="111" w:name="discussion"/>
    <w:p>
      <w:pPr>
        <w:pStyle w:val="Heading1"/>
      </w:pPr>
      <w:r>
        <w:rPr>
          <w:rStyle w:val="SectionNumber"/>
        </w:rPr>
        <w:t xml:space="preserve">7</w:t>
      </w:r>
      <w:r>
        <w:tab/>
      </w:r>
      <w:r>
        <w:t xml:space="preserve">Discussion</w:t>
      </w:r>
    </w:p>
    <w:bookmarkStart w:id="105" w:name="Xb37462c10a7afe0d06daf6f627e1a683f6dc93e"/>
    <w:p>
      <w:pPr>
        <w:pStyle w:val="Heading2"/>
      </w:pPr>
      <w:r>
        <w:rPr>
          <w:rStyle w:val="SectionNumber"/>
        </w:rPr>
        <w:t xml:space="preserve">7.1</w:t>
      </w:r>
      <w:r>
        <w:tab/>
      </w:r>
      <w:r>
        <w:t xml:space="preserve">Previous work on hydrologic indices and ecological responses</w:t>
      </w:r>
    </w:p>
    <w:p>
      <w:pPr>
        <w:pStyle w:val="FirstParagraph"/>
      </w:pPr>
      <w:r>
        <w:t xml:space="preserve">In many previous studies of flow-ecology relationships,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105"/>
    <w:bookmarkStart w:id="106" w:name="critical-flow-thresholds"/>
    <w:p>
      <w:pPr>
        <w:pStyle w:val="Heading2"/>
      </w:pPr>
      <w:r>
        <w:rPr>
          <w:rStyle w:val="SectionNumber"/>
        </w:rPr>
        <w:t xml:space="preserve">7.2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9</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106"/>
    <w:bookmarkStart w:id="107" w:name="Xbae7963f1e081de401f3b32cebc859e439bc149"/>
    <w:p>
      <w:pPr>
        <w:pStyle w:val="Heading2"/>
      </w:pPr>
      <w:r>
        <w:rPr>
          <w:rStyle w:val="SectionNumber"/>
        </w:rPr>
        <w:t xml:space="preserve">7.3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04"/>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04"/>
        </w:numPr>
        <w:pStyle w:val="Compact"/>
      </w:pPr>
      <w:r>
        <w:t xml:space="preserve">Chinook typically do not oversummer in the freshwater system, potentially making them less vulnerable than coho to dry season conditions.</w:t>
      </w:r>
    </w:p>
    <w:p>
      <w:pPr>
        <w:numPr>
          <w:ilvl w:val="0"/>
          <w:numId w:val="1004"/>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107"/>
    <w:bookmarkStart w:id="108" w:name="X22899a7bc665f95f7d1ce82e1c981266ee41a0c"/>
    <w:p>
      <w:pPr>
        <w:pStyle w:val="Heading2"/>
      </w:pPr>
      <w:r>
        <w:rPr>
          <w:rStyle w:val="SectionNumber"/>
        </w:rPr>
        <w:t xml:space="preserve">7.4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12</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108"/>
    <w:bookmarkStart w:id="109" w:name="metric-weights-and-importance"/>
    <w:p>
      <w:pPr>
        <w:pStyle w:val="Heading2"/>
      </w:pPr>
      <w:r>
        <w:rPr>
          <w:rStyle w:val="SectionNumber"/>
        </w:rPr>
        <w:t xml:space="preserve">7.5</w:t>
      </w:r>
      <w:r>
        <w:tab/>
      </w:r>
      <w:r>
        <w:t xml:space="preserve">Metric weights and importance</w:t>
      </w:r>
    </w:p>
    <w:p>
      <w:pPr>
        <w:pStyle w:val="FirstParagraph"/>
      </w:pPr>
      <w:r>
        <w:t xml:space="preserve">The relative contributions of each metric, shown in Figure</w:t>
      </w:r>
      <w:r>
        <w:t xml:space="preserve"> </w:t>
      </w:r>
      <w:r>
        <w:t xml:space="preserve">13</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13</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12</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109"/>
    <w:bookmarkStart w:id="110" w:name="Xe7b831585be370552e5eda248af1ddb6912a940"/>
    <w:p>
      <w:pPr>
        <w:pStyle w:val="Heading2"/>
      </w:pPr>
      <w:r>
        <w:rPr>
          <w:rStyle w:val="SectionNumber"/>
        </w:rPr>
        <w:t xml:space="preserve">7.6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5"/>
        </w:numPr>
        <w:pStyle w:val="Compact"/>
      </w:pPr>
      <w:r>
        <w:t xml:space="preserve">Effective population size</w:t>
      </w:r>
    </w:p>
    <w:p>
      <w:pPr>
        <w:numPr>
          <w:ilvl w:val="0"/>
          <w:numId w:val="1005"/>
        </w:numPr>
        <w:pStyle w:val="Compact"/>
      </w:pPr>
      <w:r>
        <w:t xml:space="preserve">Population size per generation</w:t>
      </w:r>
    </w:p>
    <w:p>
      <w:pPr>
        <w:numPr>
          <w:ilvl w:val="0"/>
          <w:numId w:val="1005"/>
        </w:numPr>
        <w:pStyle w:val="Compact"/>
      </w:pPr>
      <w:r>
        <w:t xml:space="preserve">Population decline (rate of decline)</w:t>
      </w:r>
    </w:p>
    <w:p>
      <w:pPr>
        <w:numPr>
          <w:ilvl w:val="0"/>
          <w:numId w:val="1005"/>
        </w:numPr>
        <w:pStyle w:val="Compact"/>
      </w:pPr>
      <w:r>
        <w:t xml:space="preserve">Catastrophic decline (order of magnitude decline within 1 generation)</w:t>
      </w:r>
    </w:p>
    <w:p>
      <w:pPr>
        <w:numPr>
          <w:ilvl w:val="0"/>
          <w:numId w:val="1005"/>
        </w:numPr>
        <w:pStyle w:val="Compact"/>
      </w:pPr>
      <w:r>
        <w:t xml:space="preserve">Spawner density</w:t>
      </w:r>
    </w:p>
    <w:p>
      <w:pPr>
        <w:numPr>
          <w:ilvl w:val="0"/>
          <w:numId w:val="1005"/>
        </w:numPr>
        <w:pStyle w:val="Compact"/>
      </w:pPr>
      <w:r>
        <w:t xml:space="preserve">Potential spatial habitat capacity, in units of Intrinsic Potential (IP)</w:t>
      </w:r>
    </w:p>
    <w:p>
      <w:pPr>
        <w:numPr>
          <w:ilvl w:val="0"/>
          <w:numId w:val="1005"/>
        </w:numPr>
        <w:pStyle w:val="Compact"/>
      </w:pPr>
      <w:r>
        <w:t xml:space="preserve">Hatchery influence</w:t>
      </w:r>
    </w:p>
    <w:p>
      <w:pPr>
        <w:numPr>
          <w:ilvl w:val="0"/>
          <w:numId w:val="1005"/>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10"/>
    <w:bookmarkEnd w:id="111"/>
    <w:bookmarkStart w:id="261" w:name="conclusions"/>
    <w:p>
      <w:pPr>
        <w:pStyle w:val="Heading1"/>
      </w:pPr>
      <w:r>
        <w:rPr>
          <w:rStyle w:val="SectionNumber"/>
        </w:rPr>
        <w:t xml:space="preserve">8</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12</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60" w:name="refs"/>
    <w:bookmarkStart w:id="113"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12">
        <w:r>
          <w:rPr>
            <w:rStyle w:val="Hyperlink"/>
          </w:rPr>
          <w:t xml:space="preserve">https://doi.org/10.1890/130134</w:t>
        </w:r>
      </w:hyperlink>
      <w:r>
        <w:t xml:space="preserve">.</w:t>
      </w:r>
    </w:p>
    <w:bookmarkEnd w:id="113"/>
    <w:bookmarkStart w:id="114" w:name="ref-NMFS2005"/>
    <w:p>
      <w:pPr>
        <w:pStyle w:val="Bibliography"/>
      </w:pPr>
      <w:r>
        <w:t xml:space="preserve">Agrawal, A, R S Schick, E P Bjorkstedt, R G Szerlong, M N Goslin, B C Spence, T H Williams, K M Burnett, and National Oceanic.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no. June.</w:t>
      </w:r>
    </w:p>
    <w:bookmarkEnd w:id="114"/>
    <w:bookmarkStart w:id="116"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5">
        <w:r>
          <w:rPr>
            <w:rStyle w:val="Hyperlink"/>
          </w:rPr>
          <w:t xml:space="preserve">https://doi.org/10.1890/1540-9295(2006)4[309:IFNISA]2.0.CO;2</w:t>
        </w:r>
      </w:hyperlink>
      <w:r>
        <w:t xml:space="preserve">.</w:t>
      </w:r>
    </w:p>
    <w:bookmarkEnd w:id="116"/>
    <w:bookmarkStart w:id="118"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7">
        <w:r>
          <w:rPr>
            <w:rStyle w:val="Hyperlink"/>
          </w:rPr>
          <w:t xml:space="preserve">https://doi.org/10.1002/rra</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1">
        <w:r>
          <w:rPr>
            <w:rStyle w:val="Hyperlink"/>
          </w:rPr>
          <w:t xml:space="preserve">https://doi.org/10.1007/s11160-016-9432-3</w:t>
        </w:r>
      </w:hyperlink>
      <w:r>
        <w:t xml:space="preserve">.</w:t>
      </w:r>
    </w:p>
    <w:bookmarkEnd w:id="122"/>
    <w:bookmarkStart w:id="124"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3">
        <w:r>
          <w:rPr>
            <w:rStyle w:val="Hyperlink"/>
          </w:rPr>
          <w:t xml:space="preserve">https://doi.org/10.1577/1548-8659(1997)126&lt;0049</w:t>
        </w:r>
      </w:hyperlink>
      <w:r>
        <w:t xml:space="preserve">.</w:t>
      </w:r>
    </w:p>
    <w:bookmarkEnd w:id="124"/>
    <w:bookmarkStart w:id="126"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25">
        <w:r>
          <w:rPr>
            <w:rStyle w:val="Hyperlink"/>
          </w:rPr>
          <w:t xml:space="preserve">https://doi.org/10.1577/1548-8675(1994)014&lt;0237:hdacso&gt;2.3.co;2</w:t>
        </w:r>
      </w:hyperlink>
      <w:r>
        <w:t xml:space="preserve">.</w:t>
      </w:r>
    </w:p>
    <w:bookmarkEnd w:id="126"/>
    <w:bookmarkStart w:id="128"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27">
        <w:r>
          <w:rPr>
            <w:rStyle w:val="Hyperlink"/>
          </w:rPr>
          <w:t xml:space="preserve">https://doi.org/10.1007/s00267-002-2737-0</w:t>
        </w:r>
      </w:hyperlink>
      <w:r>
        <w:t xml:space="preserve">.</w:t>
      </w:r>
    </w:p>
    <w:bookmarkEnd w:id="128"/>
    <w:bookmarkStart w:id="129"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29"/>
    <w:bookmarkStart w:id="131"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0">
        <w:r>
          <w:rPr>
            <w:rStyle w:val="Hyperlink"/>
          </w:rPr>
          <w:t xml:space="preserve">https://www.fs.usda.gov/Internet/FSE{\_}DOCUMENTS/stelprd3850544.pdf</w:t>
        </w:r>
      </w:hyperlink>
      <w:r>
        <w:t xml:space="preserve">.</w:t>
      </w:r>
    </w:p>
    <w:bookmarkEnd w:id="131"/>
    <w:bookmarkStart w:id="133"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32">
        <w:r>
          <w:rPr>
            <w:rStyle w:val="Hyperlink"/>
          </w:rPr>
          <w:t xml:space="preserve">http://www.fgc.ca.gov/meetings/2015/Aug/Exhibits/0805{\_}Item{\_}38{\_}CohoStatusReport.pdf</w:t>
        </w:r>
      </w:hyperlink>
      <w:r>
        <w:t xml:space="preserve">.</w:t>
      </w:r>
    </w:p>
    <w:bookmarkEnd w:id="133"/>
    <w:bookmarkStart w:id="135"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34">
        <w:r>
          <w:rPr>
            <w:rStyle w:val="Hyperlink"/>
          </w:rPr>
          <w:t xml:space="preserve">https://wildlife.ca.gov/Conservation/Watersheds/Instream-Flow/Studies/Scott-Shasta-Study</w:t>
        </w:r>
      </w:hyperlink>
      <w:r>
        <w:t xml:space="preserve">.</w:t>
      </w:r>
    </w:p>
    <w:bookmarkEnd w:id="135"/>
    <w:bookmarkStart w:id="136"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36"/>
    <w:bookmarkStart w:id="138"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37">
        <w:r>
          <w:rPr>
            <w:rStyle w:val="Hyperlink"/>
          </w:rPr>
          <w:t xml:space="preserve">https://www.waterboards.ca.gov/drought/scott{\_}shasta{\_}rivers/docs/2022/klamath-reg-oal-approval-2022.pdf</w:t>
        </w:r>
      </w:hyperlink>
      <w:r>
        <w:t xml:space="preserve">.</w:t>
      </w:r>
    </w:p>
    <w:bookmarkEnd w:id="138"/>
    <w:bookmarkStart w:id="139"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39"/>
    <w:bookmarkStart w:id="141"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40">
        <w:r>
          <w:rPr>
            <w:rStyle w:val="Hyperlink"/>
          </w:rPr>
          <w:t xml:space="preserve">https://doi.org/10.1111/j.0022-1112.2004.00486.x</w:t>
        </w:r>
      </w:hyperlink>
      <w:r>
        <w:t xml:space="preserve">.</w:t>
      </w:r>
    </w:p>
    <w:bookmarkEnd w:id="141"/>
    <w:bookmarkStart w:id="143"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42">
        <w:r>
          <w:rPr>
            <w:rStyle w:val="Hyperlink"/>
          </w:rPr>
          <w:t xml:space="preserve">https://doi.org/10.3733/ca.v054n06p46</w:t>
        </w:r>
      </w:hyperlink>
      <w:r>
        <w:t xml:space="preserve">.</w:t>
      </w:r>
    </w:p>
    <w:bookmarkEnd w:id="143"/>
    <w:bookmarkStart w:id="145"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44">
        <w:r>
          <w:rPr>
            <w:rStyle w:val="Hyperlink"/>
          </w:rPr>
          <w:t xml:space="preserve">https://water.ca.gov/Programs/Water-Use-And-Efficiency/Land-And-Water-Use/Agricultural-Land-And-Water-Use-Estimates</w:t>
        </w:r>
      </w:hyperlink>
      <w:r>
        <w:t xml:space="preserve">.</w:t>
      </w:r>
    </w:p>
    <w:bookmarkEnd w:id="145"/>
    <w:bookmarkStart w:id="147"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46">
        <w:r>
          <w:rPr>
            <w:rStyle w:val="Hyperlink"/>
          </w:rPr>
          <w:t xml:space="preserve">http://groundwater.ucdavis.edu/files/165395.pdf</w:t>
        </w:r>
      </w:hyperlink>
      <w:r>
        <w:t xml:space="preserve">.</w:t>
      </w:r>
    </w:p>
    <w:bookmarkEnd w:id="147"/>
    <w:bookmarkStart w:id="149"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48">
        <w:r>
          <w:rPr>
            <w:rStyle w:val="Hyperlink"/>
          </w:rPr>
          <w:t xml:space="preserve">https://kbifrm.psmfc.org/wp-content/uploads/2016/12/Graham{\_}2012{\_}0010{\_}Klamath-River-Basin-Restoration-Nonuse-Value-Survey-Final-Report.pdf</w:t>
        </w:r>
      </w:hyperlink>
      <w:r>
        <w:t xml:space="preserve">.</w:t>
      </w:r>
    </w:p>
    <w:bookmarkEnd w:id="149"/>
    <w:bookmarkStart w:id="151"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50">
        <w:r>
          <w:rPr>
            <w:rStyle w:val="Hyperlink"/>
          </w:rPr>
          <w:t xml:space="preserve">https://doi.org/10.1111/fwb.13048</w:t>
        </w:r>
      </w:hyperlink>
      <w:r>
        <w:t xml:space="preserve">.</w:t>
      </w:r>
    </w:p>
    <w:bookmarkEnd w:id="151"/>
    <w:bookmarkStart w:id="153"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52">
        <w:r>
          <w:rPr>
            <w:rStyle w:val="Hyperlink"/>
          </w:rPr>
          <w:t xml:space="preserve">http://groundwater.ucdavis.edu/files/136426.pdf</w:t>
        </w:r>
      </w:hyperlink>
      <w:r>
        <w:t xml:space="preserve">.</w:t>
      </w:r>
    </w:p>
    <w:bookmarkEnd w:id="153"/>
    <w:bookmarkStart w:id="154"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54"/>
    <w:bookmarkStart w:id="155"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55"/>
    <w:bookmarkStart w:id="157"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56">
        <w:r>
          <w:rPr>
            <w:rStyle w:val="Hyperlink"/>
          </w:rPr>
          <w:t xml:space="preserve">https://doi.org/10.1007/978-1-4614-7138-7</w:t>
        </w:r>
      </w:hyperlink>
      <w:r>
        <w:t xml:space="preserve">.</w:t>
      </w:r>
    </w:p>
    <w:bookmarkEnd w:id="157"/>
    <w:bookmarkStart w:id="159"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58">
        <w:r>
          <w:rPr>
            <w:rStyle w:val="Hyperlink"/>
          </w:rPr>
          <w:t xml:space="preserve">https://nrm.dfg.ca.gov/FileHandler.ashx?DocumentID=77836</w:t>
        </w:r>
      </w:hyperlink>
      <w:r>
        <w:t xml:space="preserve">.</w:t>
      </w:r>
    </w:p>
    <w:bookmarkEnd w:id="159"/>
    <w:bookmarkStart w:id="160"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60"/>
    <w:bookmarkStart w:id="161"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61"/>
    <w:bookmarkStart w:id="162"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7">
        <w:r>
          <w:rPr>
            <w:rStyle w:val="Hyperlink"/>
          </w:rPr>
          <w:t xml:space="preserve">https://doi.org/10.1002/rra</w:t>
        </w:r>
      </w:hyperlink>
      <w:r>
        <w:t xml:space="preserve">.</w:t>
      </w:r>
    </w:p>
    <w:bookmarkEnd w:id="162"/>
    <w:bookmarkStart w:id="164"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63">
        <w:r>
          <w:rPr>
            <w:rStyle w:val="Hyperlink"/>
          </w:rPr>
          <w:t xml:space="preserve">https://doi.org/10.1029/2020WR028496</w:t>
        </w:r>
      </w:hyperlink>
      <w:r>
        <w:t xml:space="preserve">.</w:t>
      </w:r>
    </w:p>
    <w:bookmarkEnd w:id="164"/>
    <w:bookmarkStart w:id="166"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65">
        <w:r>
          <w:rPr>
            <w:rStyle w:val="Hyperlink"/>
          </w:rPr>
          <w:t xml:space="preserve">https://pubs.usgs.gov/wsp/1462/report.pdf</w:t>
        </w:r>
      </w:hyperlink>
      <w:r>
        <w:t xml:space="preserve">.</w:t>
      </w:r>
    </w:p>
    <w:bookmarkEnd w:id="166"/>
    <w:bookmarkStart w:id="167"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67"/>
    <w:bookmarkStart w:id="168"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68"/>
    <w:bookmarkStart w:id="170"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69">
        <w:r>
          <w:rPr>
            <w:rStyle w:val="Hyperlink"/>
          </w:rPr>
          <w:t xml:space="preserve">https://doi.org/10.1111/fwb.13062</w:t>
        </w:r>
      </w:hyperlink>
      <w:r>
        <w:t xml:space="preserve">.</w:t>
      </w:r>
    </w:p>
    <w:bookmarkEnd w:id="170"/>
    <w:bookmarkStart w:id="171"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71"/>
    <w:bookmarkStart w:id="173"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72">
        <w:r>
          <w:rPr>
            <w:rStyle w:val="Hyperlink"/>
          </w:rPr>
          <w:t xml:space="preserve">https://doi.org/10.1007/s00267-013-0055-3</w:t>
        </w:r>
      </w:hyperlink>
      <w:r>
        <w:t xml:space="preserve">.</w:t>
      </w:r>
    </w:p>
    <w:bookmarkEnd w:id="173"/>
    <w:bookmarkStart w:id="174"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74"/>
    <w:bookmarkStart w:id="175"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7">
        <w:r>
          <w:rPr>
            <w:rStyle w:val="Hyperlink"/>
          </w:rPr>
          <w:t xml:space="preserve">https://doi.org/10.1002/rra</w:t>
        </w:r>
      </w:hyperlink>
      <w:r>
        <w:t xml:space="preserve">.</w:t>
      </w:r>
    </w:p>
    <w:bookmarkEnd w:id="175"/>
    <w:bookmarkStart w:id="177"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76">
        <w:r>
          <w:rPr>
            <w:rStyle w:val="Hyperlink"/>
          </w:rPr>
          <w:t xml:space="preserve">https://www.waterboards.ca.gov/water{\_}issues/programs/tmdl/records/region{\_}1/2010/ref3872.pdf</w:t>
        </w:r>
      </w:hyperlink>
      <w:r>
        <w:t xml:space="preserve">.</w:t>
      </w:r>
    </w:p>
    <w:bookmarkEnd w:id="177"/>
    <w:bookmarkStart w:id="178"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178"/>
    <w:bookmarkStart w:id="180"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179">
        <w:r>
          <w:rPr>
            <w:rStyle w:val="Hyperlink"/>
          </w:rPr>
          <w:t xml:space="preserve">https://www.fisheries.noaa.gov/resource/document/final-recovery-plan-southern-oregon-northern-california-coast-evolutionarily</w:t>
        </w:r>
      </w:hyperlink>
      <w:r>
        <w:t xml:space="preserve">.</w:t>
      </w:r>
    </w:p>
    <w:bookmarkEnd w:id="180"/>
    <w:bookmarkStart w:id="182"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181">
        <w:r>
          <w:rPr>
            <w:rStyle w:val="Hyperlink"/>
          </w:rPr>
          <w:t xml:space="preserve">https://doi.org/10.1002/rra.700</w:t>
        </w:r>
      </w:hyperlink>
      <w:r>
        <w:t xml:space="preserve">.</w:t>
      </w:r>
    </w:p>
    <w:bookmarkEnd w:id="182"/>
    <w:bookmarkStart w:id="18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183">
        <w:r>
          <w:rPr>
            <w:rStyle w:val="Hyperlink"/>
          </w:rPr>
          <w:t xml:space="preserve">https://doi.org/10.1017/CBO9781107415324.004</w:t>
        </w:r>
      </w:hyperlink>
      <w:r>
        <w:t xml:space="preserve">.</w:t>
      </w:r>
    </w:p>
    <w:bookmarkEnd w:id="184"/>
    <w:bookmarkStart w:id="18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185"/>
    <w:bookmarkStart w:id="187"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186">
        <w:r>
          <w:rPr>
            <w:rStyle w:val="Hyperlink"/>
          </w:rPr>
          <w:t xml:space="preserve">https://doi.org/10.3389/fenvs.2021.790667</w:t>
        </w:r>
      </w:hyperlink>
      <w:r>
        <w:t xml:space="preserve">.</w:t>
      </w:r>
    </w:p>
    <w:bookmarkEnd w:id="187"/>
    <w:bookmarkStart w:id="189"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188">
        <w:r>
          <w:rPr>
            <w:rStyle w:val="Hyperlink"/>
          </w:rPr>
          <w:t xml:space="preserve">https://doi.org/10.2307/1313099</w:t>
        </w:r>
      </w:hyperlink>
      <w:r>
        <w:t xml:space="preserve">.</w:t>
      </w:r>
    </w:p>
    <w:bookmarkEnd w:id="189"/>
    <w:bookmarkStart w:id="191"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190">
        <w:r>
          <w:rPr>
            <w:rStyle w:val="Hyperlink"/>
          </w:rPr>
          <w:t xml:space="preserve">https://doi.org/10.1111/j.1365-2427.2009.02204.x</w:t>
        </w:r>
      </w:hyperlink>
      <w:r>
        <w:t xml:space="preserve">.</w:t>
      </w:r>
    </w:p>
    <w:bookmarkEnd w:id="191"/>
    <w:bookmarkStart w:id="193"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192">
        <w:r>
          <w:rPr>
            <w:rStyle w:val="Hyperlink"/>
          </w:rPr>
          <w:t xml:space="preserve">https://doi.org/10.1111/j.1365-2427.2009.02272.x</w:t>
        </w:r>
      </w:hyperlink>
      <w:r>
        <w:t xml:space="preserve">.</w:t>
      </w:r>
    </w:p>
    <w:bookmarkEnd w:id="193"/>
    <w:bookmarkStart w:id="195"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194">
        <w:r>
          <w:rPr>
            <w:rStyle w:val="Hyperlink"/>
          </w:rPr>
          <w:t xml:space="preserve">https://www.siskiyourcd.com/resources</w:t>
        </w:r>
      </w:hyperlink>
      <w:r>
        <w:t xml:space="preserve">.</w:t>
      </w:r>
    </w:p>
    <w:bookmarkEnd w:id="195"/>
    <w:bookmarkStart w:id="197"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196">
        <w:r>
          <w:rPr>
            <w:rStyle w:val="Hyperlink"/>
          </w:rPr>
          <w:t xml:space="preserve">https://doi.org/10.1371/journal.pone.0098392</w:t>
        </w:r>
      </w:hyperlink>
      <w:r>
        <w:t xml:space="preserve">.</w:t>
      </w:r>
    </w:p>
    <w:bookmarkEnd w:id="197"/>
    <w:bookmarkStart w:id="199"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198">
        <w:r>
          <w:rPr>
            <w:rStyle w:val="Hyperlink"/>
          </w:rPr>
          <w:t xml:space="preserve">https://www.r-project.org/</w:t>
        </w:r>
      </w:hyperlink>
      <w:r>
        <w:t xml:space="preserve">.</w:t>
      </w:r>
    </w:p>
    <w:bookmarkEnd w:id="199"/>
    <w:bookmarkStart w:id="201"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00">
        <w:r>
          <w:rPr>
            <w:rStyle w:val="Hyperlink"/>
          </w:rPr>
          <w:t xml:space="preserve">https://doi.org/10.2307/3868443</w:t>
        </w:r>
      </w:hyperlink>
      <w:r>
        <w:t xml:space="preserve">.</w:t>
      </w:r>
    </w:p>
    <w:bookmarkEnd w:id="201"/>
    <w:bookmarkStart w:id="203"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02">
        <w:r>
          <w:rPr>
            <w:rStyle w:val="Hyperlink"/>
          </w:rPr>
          <w:t xml:space="preserve">https://doi.org/10.1577/t01-126</w:t>
        </w:r>
      </w:hyperlink>
      <w:r>
        <w:t xml:space="preserve">.</w:t>
      </w:r>
    </w:p>
    <w:bookmarkEnd w:id="203"/>
    <w:bookmarkStart w:id="205"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04">
        <w:r>
          <w:rPr>
            <w:rStyle w:val="Hyperlink"/>
          </w:rPr>
          <w:t xml:space="preserve">https://www.scottwatertrust.org/blank</w:t>
        </w:r>
      </w:hyperlink>
      <w:r>
        <w:t xml:space="preserve">.</w:t>
      </w:r>
    </w:p>
    <w:bookmarkEnd w:id="205"/>
    <w:bookmarkStart w:id="206"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06"/>
    <w:bookmarkStart w:id="208"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07">
        <w:r>
          <w:rPr>
            <w:rStyle w:val="Hyperlink"/>
          </w:rPr>
          <w:t xml:space="preserve">https://doi.org/10.1007/s00267-012-9864-z</w:t>
        </w:r>
      </w:hyperlink>
      <w:r>
        <w:t xml:space="preserve">.</w:t>
      </w:r>
    </w:p>
    <w:bookmarkEnd w:id="208"/>
    <w:bookmarkStart w:id="210"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09">
        <w:r>
          <w:rPr>
            <w:rStyle w:val="Hyperlink"/>
          </w:rPr>
          <w:t xml:space="preserve">https://www.co.siskiyou.ca.us/naturalresources/page/scott-valley-gsp-chapters</w:t>
        </w:r>
      </w:hyperlink>
      <w:r>
        <w:t xml:space="preserve">.</w:t>
      </w:r>
    </w:p>
    <w:bookmarkEnd w:id="210"/>
    <w:bookmarkStart w:id="212"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11">
        <w:r>
          <w:rPr>
            <w:rStyle w:val="Hyperlink"/>
          </w:rPr>
          <w:t xml:space="preserve">https://www.co.siskiyou.ca.us/scottvga/page/scott-valley-groundwater-advisory-committee-meeting-10</w:t>
        </w:r>
      </w:hyperlink>
      <w:r>
        <w:t xml:space="preserve">.</w:t>
      </w:r>
    </w:p>
    <w:bookmarkEnd w:id="212"/>
    <w:bookmarkStart w:id="213" w:name="ref-SiskiyouRCD1994"/>
    <w:p>
      <w:pPr>
        <w:pStyle w:val="Bibliography"/>
      </w:pPr>
      <w:r>
        <w:t xml:space="preserve">Siskiyou RCD. 1994.</w:t>
      </w:r>
      <w:r>
        <w:t xml:space="preserve"> </w:t>
      </w:r>
      <w:r>
        <w:t xml:space="preserve">“</w:t>
      </w:r>
      <w:r>
        <w:t xml:space="preserve">Scott Valley Irrigation District Study</w:t>
      </w:r>
      <w:r>
        <w:t xml:space="preserve">.”</w:t>
      </w:r>
    </w:p>
    <w:bookmarkEnd w:id="213"/>
    <w:bookmarkStart w:id="214"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194">
        <w:r>
          <w:rPr>
            <w:rStyle w:val="Hyperlink"/>
          </w:rPr>
          <w:t xml:space="preserve">https://www.siskiyourcd.com/resources</w:t>
        </w:r>
      </w:hyperlink>
      <w:r>
        <w:t xml:space="preserve">.</w:t>
      </w:r>
    </w:p>
    <w:bookmarkEnd w:id="214"/>
    <w:bookmarkStart w:id="215"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194">
        <w:r>
          <w:rPr>
            <w:rStyle w:val="Hyperlink"/>
          </w:rPr>
          <w:t xml:space="preserve">https://www.siskiyourcd.com/resources</w:t>
        </w:r>
      </w:hyperlink>
      <w:r>
        <w:t xml:space="preserve">.</w:t>
      </w:r>
    </w:p>
    <w:bookmarkEnd w:id="215"/>
    <w:bookmarkStart w:id="216"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194">
        <w:r>
          <w:rPr>
            <w:rStyle w:val="Hyperlink"/>
          </w:rPr>
          <w:t xml:space="preserve">https://www.siskiyourcd.com/resources</w:t>
        </w:r>
      </w:hyperlink>
      <w:r>
        <w:t xml:space="preserve">.</w:t>
      </w:r>
    </w:p>
    <w:bookmarkEnd w:id="216"/>
    <w:bookmarkStart w:id="217"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194">
        <w:r>
          <w:rPr>
            <w:rStyle w:val="Hyperlink"/>
          </w:rPr>
          <w:t xml:space="preserve">https://www.siskiyourcd.com/resources</w:t>
        </w:r>
      </w:hyperlink>
      <w:r>
        <w:t xml:space="preserve">.</w:t>
      </w:r>
    </w:p>
    <w:bookmarkEnd w:id="217"/>
    <w:bookmarkStart w:id="218"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194">
        <w:r>
          <w:rPr>
            <w:rStyle w:val="Hyperlink"/>
          </w:rPr>
          <w:t xml:space="preserve">https://www.siskiyourcd.com/resources</w:t>
        </w:r>
      </w:hyperlink>
      <w:r>
        <w:t xml:space="preserve">.</w:t>
      </w:r>
    </w:p>
    <w:bookmarkEnd w:id="218"/>
    <w:bookmarkStart w:id="219"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194">
        <w:r>
          <w:rPr>
            <w:rStyle w:val="Hyperlink"/>
          </w:rPr>
          <w:t xml:space="preserve">https://www.siskiyourcd.com/resources</w:t>
        </w:r>
      </w:hyperlink>
      <w:r>
        <w:t xml:space="preserve">.</w:t>
      </w:r>
    </w:p>
    <w:bookmarkEnd w:id="219"/>
    <w:bookmarkStart w:id="220"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194">
        <w:r>
          <w:rPr>
            <w:rStyle w:val="Hyperlink"/>
          </w:rPr>
          <w:t xml:space="preserve">https://www.siskiyourcd.com/resources</w:t>
        </w:r>
      </w:hyperlink>
      <w:r>
        <w:t xml:space="preserve">.</w:t>
      </w:r>
    </w:p>
    <w:bookmarkEnd w:id="220"/>
    <w:bookmarkStart w:id="221"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194">
        <w:r>
          <w:rPr>
            <w:rStyle w:val="Hyperlink"/>
          </w:rPr>
          <w:t xml:space="preserve">https://www.siskiyourcd.com/resources</w:t>
        </w:r>
      </w:hyperlink>
      <w:r>
        <w:t xml:space="preserve">.</w:t>
      </w:r>
    </w:p>
    <w:bookmarkEnd w:id="221"/>
    <w:bookmarkStart w:id="222"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194">
        <w:r>
          <w:rPr>
            <w:rStyle w:val="Hyperlink"/>
          </w:rPr>
          <w:t xml:space="preserve">https://www.siskiyourcd.com/resources</w:t>
        </w:r>
      </w:hyperlink>
      <w:r>
        <w:t xml:space="preserve">.</w:t>
      </w:r>
    </w:p>
    <w:bookmarkEnd w:id="222"/>
    <w:bookmarkStart w:id="223"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194">
        <w:r>
          <w:rPr>
            <w:rStyle w:val="Hyperlink"/>
          </w:rPr>
          <w:t xml:space="preserve">https://www.siskiyourcd.com/resources</w:t>
        </w:r>
      </w:hyperlink>
      <w:r>
        <w:t xml:space="preserve">.</w:t>
      </w:r>
    </w:p>
    <w:bookmarkEnd w:id="223"/>
    <w:bookmarkStart w:id="224"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194">
        <w:r>
          <w:rPr>
            <w:rStyle w:val="Hyperlink"/>
          </w:rPr>
          <w:t xml:space="preserve">https://www.siskiyourcd.com/resources</w:t>
        </w:r>
      </w:hyperlink>
      <w:r>
        <w:t xml:space="preserve">.</w:t>
      </w:r>
    </w:p>
    <w:bookmarkEnd w:id="224"/>
    <w:bookmarkStart w:id="225"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194">
        <w:r>
          <w:rPr>
            <w:rStyle w:val="Hyperlink"/>
          </w:rPr>
          <w:t xml:space="preserve">https://www.siskiyourcd.com/resources</w:t>
        </w:r>
      </w:hyperlink>
      <w:r>
        <w:t xml:space="preserve">.</w:t>
      </w:r>
    </w:p>
    <w:bookmarkEnd w:id="225"/>
    <w:bookmarkStart w:id="226"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194">
        <w:r>
          <w:rPr>
            <w:rStyle w:val="Hyperlink"/>
          </w:rPr>
          <w:t xml:space="preserve">https://www.siskiyourcd.com/resources</w:t>
        </w:r>
      </w:hyperlink>
      <w:r>
        <w:t xml:space="preserve">.</w:t>
      </w:r>
    </w:p>
    <w:bookmarkEnd w:id="226"/>
    <w:bookmarkStart w:id="228"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27">
        <w:r>
          <w:rPr>
            <w:rStyle w:val="Hyperlink"/>
          </w:rPr>
          <w:t xml:space="preserve">https://doi.org/10.1002/eco.1745</w:t>
        </w:r>
      </w:hyperlink>
      <w:r>
        <w:t xml:space="preserve">.</w:t>
      </w:r>
    </w:p>
    <w:bookmarkEnd w:id="228"/>
    <w:bookmarkStart w:id="229"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29"/>
    <w:bookmarkStart w:id="230"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30"/>
    <w:bookmarkStart w:id="232"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31">
        <w:r>
          <w:rPr>
            <w:rStyle w:val="Hyperlink"/>
          </w:rPr>
          <w:t xml:space="preserve">https://www.scottriverwatershedcouncil.com/scott-river-westside-planning-proje</w:t>
        </w:r>
      </w:hyperlink>
      <w:r>
        <w:t xml:space="preserve">.</w:t>
      </w:r>
    </w:p>
    <w:bookmarkEnd w:id="232"/>
    <w:bookmarkStart w:id="233" w:name="ref-CRMP2000"/>
    <w:p>
      <w:pPr>
        <w:pStyle w:val="Bibliography"/>
      </w:pPr>
      <w:r>
        <w:t xml:space="preserve">SRWC-CRMP. 2000.</w:t>
      </w:r>
      <w:r>
        <w:t xml:space="preserve"> </w:t>
      </w:r>
      <w:r>
        <w:t xml:space="preserve">“</w:t>
      </w:r>
      <w:r>
        <w:t xml:space="preserve">Final Report</w:t>
      </w:r>
      <w:r>
        <w:t xml:space="preserve">.”</w:t>
      </w:r>
    </w:p>
    <w:bookmarkEnd w:id="233"/>
    <w:bookmarkStart w:id="234"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34"/>
    <w:bookmarkStart w:id="236"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35">
        <w:r>
          <w:rPr>
            <w:rStyle w:val="Hyperlink"/>
          </w:rPr>
          <w:t xml:space="preserve">https://www.waterboards.ca.gov/waterrights/board{\_}decisions/adopted{\_}orders/judgments/docs/scottriver{\_}jd.pdf</w:t>
        </w:r>
      </w:hyperlink>
      <w:r>
        <w:t xml:space="preserve">.</w:t>
      </w:r>
    </w:p>
    <w:bookmarkEnd w:id="236"/>
    <w:bookmarkStart w:id="237"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37"/>
    <w:bookmarkStart w:id="239"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38">
        <w:r>
          <w:rPr>
            <w:rStyle w:val="Hyperlink"/>
          </w:rPr>
          <w:t xml:space="preserve">https://doi.org/10.1029/2018WR024209</w:t>
        </w:r>
      </w:hyperlink>
      <w:r>
        <w:t xml:space="preserve">.</w:t>
      </w:r>
    </w:p>
    <w:bookmarkEnd w:id="239"/>
    <w:bookmarkStart w:id="241"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40">
        <w:r>
          <w:rPr>
            <w:rStyle w:val="Hyperlink"/>
          </w:rPr>
          <w:t xml:space="preserve">https://data.census.gov/cedsci</w:t>
        </w:r>
      </w:hyperlink>
      <w:r>
        <w:t xml:space="preserve">.</w:t>
      </w:r>
    </w:p>
    <w:bookmarkEnd w:id="241"/>
    <w:bookmarkStart w:id="243"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42">
        <w:r>
          <w:rPr>
            <w:rStyle w:val="Hyperlink"/>
          </w:rPr>
          <w:t xml:space="preserve">https://doi.org/10.1111/j.1752-1688.2008.00212.x</w:t>
        </w:r>
      </w:hyperlink>
      <w:r>
        <w:t xml:space="preserve">.</w:t>
      </w:r>
    </w:p>
    <w:bookmarkEnd w:id="243"/>
    <w:bookmarkStart w:id="245"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44">
        <w:r>
          <w:rPr>
            <w:rStyle w:val="Hyperlink"/>
          </w:rPr>
          <w:t xml:space="preserve">https://swfsc-publications.fisheries.noaa.gov/publications/CR/2013/2013Wainwright.pdf</w:t>
        </w:r>
      </w:hyperlink>
      <w:r>
        <w:t xml:space="preserve">.</w:t>
      </w:r>
    </w:p>
    <w:bookmarkEnd w:id="245"/>
    <w:bookmarkStart w:id="247"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46">
        <w:r>
          <w:rPr>
            <w:rStyle w:val="Hyperlink"/>
          </w:rPr>
          <w:t xml:space="preserve">https://doi.org/10.1111/faf.12514</w:t>
        </w:r>
      </w:hyperlink>
      <w:r>
        <w:t xml:space="preserve">.</w:t>
      </w:r>
    </w:p>
    <w:bookmarkEnd w:id="247"/>
    <w:bookmarkStart w:id="249"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48">
        <w:r>
          <w:rPr>
            <w:rStyle w:val="Hyperlink"/>
          </w:rPr>
          <w:t xml:space="preserve">https://doi.org/10.1111/fwb.13001</w:t>
        </w:r>
      </w:hyperlink>
      <w:r>
        <w:t xml:space="preserve">.</w:t>
      </w:r>
    </w:p>
    <w:bookmarkEnd w:id="249"/>
    <w:bookmarkStart w:id="251"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50">
        <w:r>
          <w:rPr>
            <w:rStyle w:val="Hyperlink"/>
          </w:rPr>
          <w:t xml:space="preserve">https://doi.org/10.1016/j.scitotenv.2017.06.081</w:t>
        </w:r>
      </w:hyperlink>
      <w:r>
        <w:t xml:space="preserve">.</w:t>
      </w:r>
    </w:p>
    <w:bookmarkEnd w:id="251"/>
    <w:bookmarkStart w:id="253"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52">
        <w:r>
          <w:rPr>
            <w:rStyle w:val="Hyperlink"/>
          </w:rPr>
          <w:t xml:space="preserve">https://repository.library.noaa.gov/view/noaa/3483</w:t>
        </w:r>
      </w:hyperlink>
      <w:r>
        <w:t xml:space="preserve">.</w:t>
      </w:r>
    </w:p>
    <w:bookmarkEnd w:id="253"/>
    <w:bookmarkStart w:id="255"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54">
        <w:r>
          <w:rPr>
            <w:rStyle w:val="Hyperlink"/>
          </w:rPr>
          <w:t xml:space="preserve">https://repository.library.noaa.gov/view/noaa/3609</w:t>
        </w:r>
      </w:hyperlink>
      <w:r>
        <w:t xml:space="preserve">.</w:t>
      </w:r>
    </w:p>
    <w:bookmarkEnd w:id="255"/>
    <w:bookmarkStart w:id="257"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56">
        <w:r>
          <w:rPr>
            <w:rStyle w:val="Hyperlink"/>
          </w:rPr>
          <w:t xml:space="preserve">https://doi.org/10.1002/rra.3575</w:t>
        </w:r>
      </w:hyperlink>
      <w:r>
        <w:t xml:space="preserve">.</w:t>
      </w:r>
    </w:p>
    <w:bookmarkEnd w:id="257"/>
    <w:bookmarkStart w:id="259"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58">
        <w:r>
          <w:rPr>
            <w:rStyle w:val="Hyperlink"/>
          </w:rPr>
          <w:t xml:space="preserve">https://www.scottriverwatershedcouncil.com/scott-river-beaver-dam-analogue-coh</w:t>
        </w:r>
      </w:hyperlink>
      <w:r>
        <w:t xml:space="preserve">.</w:t>
      </w:r>
    </w:p>
    <w:bookmarkEnd w:id="259"/>
    <w:bookmarkEnd w:id="260"/>
    <w:bookmarkEnd w:id="2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52" Target="http://groundwater.ucdavis.edu/files/136426.pdf" TargetMode="External" /><Relationship Type="http://schemas.openxmlformats.org/officeDocument/2006/relationships/hyperlink" Id="rId146" Target="http://groundwater.ucdavis.edu/files/165395.pdf" TargetMode="External" /><Relationship Type="http://schemas.openxmlformats.org/officeDocument/2006/relationships/hyperlink" Id="rId132" Target="http://www.fgc.ca.gov/meetings/2015/Aug/Exhibits/0805{\_}Item{\_}38{\_}CohoStatusReport.pdf" TargetMode="External" /><Relationship Type="http://schemas.openxmlformats.org/officeDocument/2006/relationships/hyperlink" Id="rId240" Target="https://data.census.gov/cedsci" TargetMode="External" /><Relationship Type="http://schemas.openxmlformats.org/officeDocument/2006/relationships/hyperlink" Id="rId227" Target="https://doi.org/10.1002/eco.1745" TargetMode="External" /><Relationship Type="http://schemas.openxmlformats.org/officeDocument/2006/relationships/hyperlink" Id="rId117" Target="https://doi.org/10.1002/rra" TargetMode="External" /><Relationship Type="http://schemas.openxmlformats.org/officeDocument/2006/relationships/hyperlink" Id="rId256" Target="https://doi.org/10.1002/rra.3575" TargetMode="External" /><Relationship Type="http://schemas.openxmlformats.org/officeDocument/2006/relationships/hyperlink" Id="rId181" Target="https://doi.org/10.1002/rra.700" TargetMode="External" /><Relationship Type="http://schemas.openxmlformats.org/officeDocument/2006/relationships/hyperlink" Id="rId156" Target="https://doi.org/10.1007/978-1-4614-7138-7" TargetMode="External" /><Relationship Type="http://schemas.openxmlformats.org/officeDocument/2006/relationships/hyperlink" Id="rId127" Target="https://doi.org/10.1007/s00267-002-2737-0" TargetMode="External" /><Relationship Type="http://schemas.openxmlformats.org/officeDocument/2006/relationships/hyperlink" Id="rId207" Target="https://doi.org/10.1007/s00267-012-9864-z" TargetMode="External" /><Relationship Type="http://schemas.openxmlformats.org/officeDocument/2006/relationships/hyperlink" Id="rId172" Target="https://doi.org/10.1007/s00267-013-0055-3" TargetMode="External" /><Relationship Type="http://schemas.openxmlformats.org/officeDocument/2006/relationships/hyperlink" Id="rId121" Target="https://doi.org/10.1007/s11160-016-9432-3" TargetMode="External" /><Relationship Type="http://schemas.openxmlformats.org/officeDocument/2006/relationships/hyperlink" Id="rId250" Target="https://doi.org/10.1016/j.scitotenv.2017.06.081" TargetMode="External" /><Relationship Type="http://schemas.openxmlformats.org/officeDocument/2006/relationships/hyperlink" Id="rId183" Target="https://doi.org/10.1017/CBO9781107415324.004" TargetMode="External" /><Relationship Type="http://schemas.openxmlformats.org/officeDocument/2006/relationships/hyperlink" Id="rId238" Target="https://doi.org/10.1029/2018WR024209" TargetMode="External" /><Relationship Type="http://schemas.openxmlformats.org/officeDocument/2006/relationships/hyperlink" Id="rId163" Target="https://doi.org/10.1029/2020WR028496" TargetMode="External" /><Relationship Type="http://schemas.openxmlformats.org/officeDocument/2006/relationships/hyperlink" Id="rId246" Target="https://doi.org/10.1111/faf.12514" TargetMode="External" /><Relationship Type="http://schemas.openxmlformats.org/officeDocument/2006/relationships/hyperlink" Id="rId248" Target="https://doi.org/10.1111/fwb.13001" TargetMode="External" /><Relationship Type="http://schemas.openxmlformats.org/officeDocument/2006/relationships/hyperlink" Id="rId150" Target="https://doi.org/10.1111/fwb.13048" TargetMode="External" /><Relationship Type="http://schemas.openxmlformats.org/officeDocument/2006/relationships/hyperlink" Id="rId169" Target="https://doi.org/10.1111/fwb.13062" TargetMode="External" /><Relationship Type="http://schemas.openxmlformats.org/officeDocument/2006/relationships/hyperlink" Id="rId140" Target="https://doi.org/10.1111/j.0022-1112.2004.00486.x" TargetMode="External" /><Relationship Type="http://schemas.openxmlformats.org/officeDocument/2006/relationships/hyperlink" Id="rId190" Target="https://doi.org/10.1111/j.1365-2427.2009.02204.x" TargetMode="External" /><Relationship Type="http://schemas.openxmlformats.org/officeDocument/2006/relationships/hyperlink" Id="rId192" Target="https://doi.org/10.1111/j.1365-2427.2009.02272.x" TargetMode="External" /><Relationship Type="http://schemas.openxmlformats.org/officeDocument/2006/relationships/hyperlink" Id="rId242" Target="https://doi.org/10.1111/j.1752-1688.2008.00212.x" TargetMode="External" /><Relationship Type="http://schemas.openxmlformats.org/officeDocument/2006/relationships/hyperlink" Id="rId196" Target="https://doi.org/10.1371/journal.pone.0098392" TargetMode="External" /><Relationship Type="http://schemas.openxmlformats.org/officeDocument/2006/relationships/hyperlink" Id="rId123" Target="https://doi.org/10.1577/1548-8659(1997)126&lt;0049" TargetMode="External" /><Relationship Type="http://schemas.openxmlformats.org/officeDocument/2006/relationships/hyperlink" Id="rId125" Target="https://doi.org/10.1577/1548-8675(1994)014&lt;0237:hdacso&gt;2.3.co;2" TargetMode="External" /><Relationship Type="http://schemas.openxmlformats.org/officeDocument/2006/relationships/hyperlink" Id="rId202" Target="https://doi.org/10.1577/t01-126" TargetMode="External" /><Relationship Type="http://schemas.openxmlformats.org/officeDocument/2006/relationships/hyperlink" Id="rId112" Target="https://doi.org/10.1890/130134" TargetMode="External" /><Relationship Type="http://schemas.openxmlformats.org/officeDocument/2006/relationships/hyperlink" Id="rId115" Target="https://doi.org/10.1890/1540-9295(2006)4[309:IFNISA]2.0.CO;2" TargetMode="External" /><Relationship Type="http://schemas.openxmlformats.org/officeDocument/2006/relationships/hyperlink" Id="rId188"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00" Target="https://doi.org/10.2307/3868443" TargetMode="External" /><Relationship Type="http://schemas.openxmlformats.org/officeDocument/2006/relationships/hyperlink" Id="rId186" Target="https://doi.org/10.3389/fenvs.2021.790667" TargetMode="External" /><Relationship Type="http://schemas.openxmlformats.org/officeDocument/2006/relationships/hyperlink" Id="rId142" Target="https://doi.org/10.3733/ca.v054n06p46" TargetMode="External" /><Relationship Type="http://schemas.openxmlformats.org/officeDocument/2006/relationships/hyperlink" Id="rId148" Target="https://kbifrm.psmfc.org/wp-content/uploads/2016/12/Graham{\_}2012{\_}0010{\_}Klamath-River-Basin-Restoration-Nonuse-Value-Survey-Final-Report.pdf" TargetMode="External" /><Relationship Type="http://schemas.openxmlformats.org/officeDocument/2006/relationships/hyperlink" Id="rId158" Target="https://nrm.dfg.ca.gov/FileHandler.ashx?DocumentID=77836" TargetMode="External" /><Relationship Type="http://schemas.openxmlformats.org/officeDocument/2006/relationships/hyperlink" Id="rId165" Target="https://pubs.usgs.gov/wsp/1462/report.pdf" TargetMode="External" /><Relationship Type="http://schemas.openxmlformats.org/officeDocument/2006/relationships/hyperlink" Id="rId252" Target="https://repository.library.noaa.gov/view/noaa/3483" TargetMode="External" /><Relationship Type="http://schemas.openxmlformats.org/officeDocument/2006/relationships/hyperlink" Id="rId254" Target="https://repository.library.noaa.gov/view/noaa/3609" TargetMode="External" /><Relationship Type="http://schemas.openxmlformats.org/officeDocument/2006/relationships/hyperlink" Id="rId244" Target="https://swfsc-publications.fisheries.noaa.gov/publications/CR/2013/2013Wainwright.pdf" TargetMode="External" /><Relationship Type="http://schemas.openxmlformats.org/officeDocument/2006/relationships/hyperlink" Id="rId144" Target="https://water.ca.gov/Programs/Water-Use-And-Efficiency/Land-And-Water-Use/Agricultural-Land-And-Water-Use-Estimates" TargetMode="External" /><Relationship Type="http://schemas.openxmlformats.org/officeDocument/2006/relationships/hyperlink" Id="rId134" Target="https://wildlife.ca.gov/Conservation/Watersheds/Instream-Flow/Studies/Scott-Shasta-Study" TargetMode="External" /><Relationship Type="http://schemas.openxmlformats.org/officeDocument/2006/relationships/hyperlink" Id="rId209" Target="https://www.co.siskiyou.ca.us/naturalresources/page/scott-valley-gsp-chapters" TargetMode="External" /><Relationship Type="http://schemas.openxmlformats.org/officeDocument/2006/relationships/hyperlink" Id="rId211" Target="https://www.co.siskiyou.ca.us/scottvga/page/scott-valley-groundwater-advisory-committee-meeting-10" TargetMode="External" /><Relationship Type="http://schemas.openxmlformats.org/officeDocument/2006/relationships/hyperlink" Id="rId179" Target="https://www.fisheries.noaa.gov/resource/document/final-recovery-plan-southern-oregon-northern-california-coast-evolutionarily" TargetMode="External" /><Relationship Type="http://schemas.openxmlformats.org/officeDocument/2006/relationships/hyperlink" Id="rId130" Target="https://www.fs.usda.gov/Internet/FSE{\_}DOCUMENTS/stelprd3850544.pdf" TargetMode="External" /><Relationship Type="http://schemas.openxmlformats.org/officeDocument/2006/relationships/hyperlink" Id="rId198" Target="https://www.r-project.org/" TargetMode="External" /><Relationship Type="http://schemas.openxmlformats.org/officeDocument/2006/relationships/hyperlink" Id="rId258" Target="https://www.scottriverwatershedcouncil.com/scott-river-beaver-dam-analogue-coh" TargetMode="External" /><Relationship Type="http://schemas.openxmlformats.org/officeDocument/2006/relationships/hyperlink" Id="rId231" Target="https://www.scottriverwatershedcouncil.com/scott-river-westside-planning-proje" TargetMode="External" /><Relationship Type="http://schemas.openxmlformats.org/officeDocument/2006/relationships/hyperlink" Id="rId204" Target="https://www.scottwatertrust.org/blank" TargetMode="External" /><Relationship Type="http://schemas.openxmlformats.org/officeDocument/2006/relationships/hyperlink" Id="rId194" Target="https://www.siskiyourcd.com/resources" TargetMode="External" /><Relationship Type="http://schemas.openxmlformats.org/officeDocument/2006/relationships/hyperlink" Id="rId137" Target="https://www.waterboards.ca.gov/drought/scott{\_}shasta{\_}rivers/docs/2022/klamath-reg-oal-approval-2022.pdf" TargetMode="External" /><Relationship Type="http://schemas.openxmlformats.org/officeDocument/2006/relationships/hyperlink" Id="rId235" Target="https://www.waterboards.ca.gov/waterrights/board{\_}decisions/adopted{\_}orders/judgments/docs/scottriver{\_}jd.pdf" TargetMode="External" /><Relationship Type="http://schemas.openxmlformats.org/officeDocument/2006/relationships/hyperlink" Id="rId176"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52" Target="http://groundwater.ucdavis.edu/files/136426.pdf" TargetMode="External" /><Relationship Type="http://schemas.openxmlformats.org/officeDocument/2006/relationships/hyperlink" Id="rId146" Target="http://groundwater.ucdavis.edu/files/165395.pdf" TargetMode="External" /><Relationship Type="http://schemas.openxmlformats.org/officeDocument/2006/relationships/hyperlink" Id="rId132" Target="http://www.fgc.ca.gov/meetings/2015/Aug/Exhibits/0805{\_}Item{\_}38{\_}CohoStatusReport.pdf" TargetMode="External" /><Relationship Type="http://schemas.openxmlformats.org/officeDocument/2006/relationships/hyperlink" Id="rId240" Target="https://data.census.gov/cedsci" TargetMode="External" /><Relationship Type="http://schemas.openxmlformats.org/officeDocument/2006/relationships/hyperlink" Id="rId227" Target="https://doi.org/10.1002/eco.1745" TargetMode="External" /><Relationship Type="http://schemas.openxmlformats.org/officeDocument/2006/relationships/hyperlink" Id="rId117" Target="https://doi.org/10.1002/rra" TargetMode="External" /><Relationship Type="http://schemas.openxmlformats.org/officeDocument/2006/relationships/hyperlink" Id="rId256" Target="https://doi.org/10.1002/rra.3575" TargetMode="External" /><Relationship Type="http://schemas.openxmlformats.org/officeDocument/2006/relationships/hyperlink" Id="rId181" Target="https://doi.org/10.1002/rra.700" TargetMode="External" /><Relationship Type="http://schemas.openxmlformats.org/officeDocument/2006/relationships/hyperlink" Id="rId156" Target="https://doi.org/10.1007/978-1-4614-7138-7" TargetMode="External" /><Relationship Type="http://schemas.openxmlformats.org/officeDocument/2006/relationships/hyperlink" Id="rId127" Target="https://doi.org/10.1007/s00267-002-2737-0" TargetMode="External" /><Relationship Type="http://schemas.openxmlformats.org/officeDocument/2006/relationships/hyperlink" Id="rId207" Target="https://doi.org/10.1007/s00267-012-9864-z" TargetMode="External" /><Relationship Type="http://schemas.openxmlformats.org/officeDocument/2006/relationships/hyperlink" Id="rId172" Target="https://doi.org/10.1007/s00267-013-0055-3" TargetMode="External" /><Relationship Type="http://schemas.openxmlformats.org/officeDocument/2006/relationships/hyperlink" Id="rId121" Target="https://doi.org/10.1007/s11160-016-9432-3" TargetMode="External" /><Relationship Type="http://schemas.openxmlformats.org/officeDocument/2006/relationships/hyperlink" Id="rId250" Target="https://doi.org/10.1016/j.scitotenv.2017.06.081" TargetMode="External" /><Relationship Type="http://schemas.openxmlformats.org/officeDocument/2006/relationships/hyperlink" Id="rId183" Target="https://doi.org/10.1017/CBO9781107415324.004" TargetMode="External" /><Relationship Type="http://schemas.openxmlformats.org/officeDocument/2006/relationships/hyperlink" Id="rId238" Target="https://doi.org/10.1029/2018WR024209" TargetMode="External" /><Relationship Type="http://schemas.openxmlformats.org/officeDocument/2006/relationships/hyperlink" Id="rId163" Target="https://doi.org/10.1029/2020WR028496" TargetMode="External" /><Relationship Type="http://schemas.openxmlformats.org/officeDocument/2006/relationships/hyperlink" Id="rId246" Target="https://doi.org/10.1111/faf.12514" TargetMode="External" /><Relationship Type="http://schemas.openxmlformats.org/officeDocument/2006/relationships/hyperlink" Id="rId248" Target="https://doi.org/10.1111/fwb.13001" TargetMode="External" /><Relationship Type="http://schemas.openxmlformats.org/officeDocument/2006/relationships/hyperlink" Id="rId150" Target="https://doi.org/10.1111/fwb.13048" TargetMode="External" /><Relationship Type="http://schemas.openxmlformats.org/officeDocument/2006/relationships/hyperlink" Id="rId169" Target="https://doi.org/10.1111/fwb.13062" TargetMode="External" /><Relationship Type="http://schemas.openxmlformats.org/officeDocument/2006/relationships/hyperlink" Id="rId140" Target="https://doi.org/10.1111/j.0022-1112.2004.00486.x" TargetMode="External" /><Relationship Type="http://schemas.openxmlformats.org/officeDocument/2006/relationships/hyperlink" Id="rId190" Target="https://doi.org/10.1111/j.1365-2427.2009.02204.x" TargetMode="External" /><Relationship Type="http://schemas.openxmlformats.org/officeDocument/2006/relationships/hyperlink" Id="rId192" Target="https://doi.org/10.1111/j.1365-2427.2009.02272.x" TargetMode="External" /><Relationship Type="http://schemas.openxmlformats.org/officeDocument/2006/relationships/hyperlink" Id="rId242" Target="https://doi.org/10.1111/j.1752-1688.2008.00212.x" TargetMode="External" /><Relationship Type="http://schemas.openxmlformats.org/officeDocument/2006/relationships/hyperlink" Id="rId196" Target="https://doi.org/10.1371/journal.pone.0098392" TargetMode="External" /><Relationship Type="http://schemas.openxmlformats.org/officeDocument/2006/relationships/hyperlink" Id="rId123" Target="https://doi.org/10.1577/1548-8659(1997)126&lt;0049" TargetMode="External" /><Relationship Type="http://schemas.openxmlformats.org/officeDocument/2006/relationships/hyperlink" Id="rId125" Target="https://doi.org/10.1577/1548-8675(1994)014&lt;0237:hdacso&gt;2.3.co;2" TargetMode="External" /><Relationship Type="http://schemas.openxmlformats.org/officeDocument/2006/relationships/hyperlink" Id="rId202" Target="https://doi.org/10.1577/t01-126" TargetMode="External" /><Relationship Type="http://schemas.openxmlformats.org/officeDocument/2006/relationships/hyperlink" Id="rId112" Target="https://doi.org/10.1890/130134" TargetMode="External" /><Relationship Type="http://schemas.openxmlformats.org/officeDocument/2006/relationships/hyperlink" Id="rId115" Target="https://doi.org/10.1890/1540-9295(2006)4[309:IFNISA]2.0.CO;2" TargetMode="External" /><Relationship Type="http://schemas.openxmlformats.org/officeDocument/2006/relationships/hyperlink" Id="rId188"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00" Target="https://doi.org/10.2307/3868443" TargetMode="External" /><Relationship Type="http://schemas.openxmlformats.org/officeDocument/2006/relationships/hyperlink" Id="rId186" Target="https://doi.org/10.3389/fenvs.2021.790667" TargetMode="External" /><Relationship Type="http://schemas.openxmlformats.org/officeDocument/2006/relationships/hyperlink" Id="rId142" Target="https://doi.org/10.3733/ca.v054n06p46" TargetMode="External" /><Relationship Type="http://schemas.openxmlformats.org/officeDocument/2006/relationships/hyperlink" Id="rId148" Target="https://kbifrm.psmfc.org/wp-content/uploads/2016/12/Graham{\_}2012{\_}0010{\_}Klamath-River-Basin-Restoration-Nonuse-Value-Survey-Final-Report.pdf" TargetMode="External" /><Relationship Type="http://schemas.openxmlformats.org/officeDocument/2006/relationships/hyperlink" Id="rId158" Target="https://nrm.dfg.ca.gov/FileHandler.ashx?DocumentID=77836" TargetMode="External" /><Relationship Type="http://schemas.openxmlformats.org/officeDocument/2006/relationships/hyperlink" Id="rId165" Target="https://pubs.usgs.gov/wsp/1462/report.pdf" TargetMode="External" /><Relationship Type="http://schemas.openxmlformats.org/officeDocument/2006/relationships/hyperlink" Id="rId252" Target="https://repository.library.noaa.gov/view/noaa/3483" TargetMode="External" /><Relationship Type="http://schemas.openxmlformats.org/officeDocument/2006/relationships/hyperlink" Id="rId254" Target="https://repository.library.noaa.gov/view/noaa/3609" TargetMode="External" /><Relationship Type="http://schemas.openxmlformats.org/officeDocument/2006/relationships/hyperlink" Id="rId244" Target="https://swfsc-publications.fisheries.noaa.gov/publications/CR/2013/2013Wainwright.pdf" TargetMode="External" /><Relationship Type="http://schemas.openxmlformats.org/officeDocument/2006/relationships/hyperlink" Id="rId144" Target="https://water.ca.gov/Programs/Water-Use-And-Efficiency/Land-And-Water-Use/Agricultural-Land-And-Water-Use-Estimates" TargetMode="External" /><Relationship Type="http://schemas.openxmlformats.org/officeDocument/2006/relationships/hyperlink" Id="rId134" Target="https://wildlife.ca.gov/Conservation/Watersheds/Instream-Flow/Studies/Scott-Shasta-Study" TargetMode="External" /><Relationship Type="http://schemas.openxmlformats.org/officeDocument/2006/relationships/hyperlink" Id="rId209" Target="https://www.co.siskiyou.ca.us/naturalresources/page/scott-valley-gsp-chapters" TargetMode="External" /><Relationship Type="http://schemas.openxmlformats.org/officeDocument/2006/relationships/hyperlink" Id="rId211" Target="https://www.co.siskiyou.ca.us/scottvga/page/scott-valley-groundwater-advisory-committee-meeting-10" TargetMode="External" /><Relationship Type="http://schemas.openxmlformats.org/officeDocument/2006/relationships/hyperlink" Id="rId179" Target="https://www.fisheries.noaa.gov/resource/document/final-recovery-plan-southern-oregon-northern-california-coast-evolutionarily" TargetMode="External" /><Relationship Type="http://schemas.openxmlformats.org/officeDocument/2006/relationships/hyperlink" Id="rId130" Target="https://www.fs.usda.gov/Internet/FSE{\_}DOCUMENTS/stelprd3850544.pdf" TargetMode="External" /><Relationship Type="http://schemas.openxmlformats.org/officeDocument/2006/relationships/hyperlink" Id="rId198" Target="https://www.r-project.org/" TargetMode="External" /><Relationship Type="http://schemas.openxmlformats.org/officeDocument/2006/relationships/hyperlink" Id="rId258" Target="https://www.scottriverwatershedcouncil.com/scott-river-beaver-dam-analogue-coh" TargetMode="External" /><Relationship Type="http://schemas.openxmlformats.org/officeDocument/2006/relationships/hyperlink" Id="rId231" Target="https://www.scottriverwatershedcouncil.com/scott-river-westside-planning-proje" TargetMode="External" /><Relationship Type="http://schemas.openxmlformats.org/officeDocument/2006/relationships/hyperlink" Id="rId204" Target="https://www.scottwatertrust.org/blank" TargetMode="External" /><Relationship Type="http://schemas.openxmlformats.org/officeDocument/2006/relationships/hyperlink" Id="rId194" Target="https://www.siskiyourcd.com/resources" TargetMode="External" /><Relationship Type="http://schemas.openxmlformats.org/officeDocument/2006/relationships/hyperlink" Id="rId137" Target="https://www.waterboards.ca.gov/drought/scott{\_}shasta{\_}rivers/docs/2022/klamath-reg-oal-approval-2022.pdf" TargetMode="External" /><Relationship Type="http://schemas.openxmlformats.org/officeDocument/2006/relationships/hyperlink" Id="rId235" Target="https://www.waterboards.ca.gov/waterrights/board{\_}decisions/adopted{\_}orders/judgments/docs/scottriver{\_}jd.pdf" TargetMode="External" /><Relationship Type="http://schemas.openxmlformats.org/officeDocument/2006/relationships/hyperlink" Id="rId176"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2024-03-26T19:15:57Z</dcterms:created>
  <dcterms:modified xsi:type="dcterms:W3CDTF">2024-03-26T19:15:57Z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