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2.png" ContentType="image/png"/>
  <Override PartName="/word/media/rId85.png" ContentType="image/png"/>
  <Override PartName="/word/media/rId25.png" ContentType="image/png"/>
  <Override PartName="/word/media/rId44.png" ContentType="image/png"/>
  <Override PartName="/word/media/rId58.png" ContentType="image/png"/>
  <Override PartName="/word/media/rId61.png" ContentType="image/png"/>
  <Override PartName="/word/media/rId65.png" ContentType="image/png"/>
  <Override PartName="/word/media/rId69.png" ContentType="image/png"/>
  <Override PartName="/word/media/rId73.png" ContentType="image/png"/>
  <Override PartName="/word/media/rId41.png" ContentType="image/png"/>
  <Override PartName="/word/media/rId32.jpg" ContentType="image/jpe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remains poorly quantified in many regions. This work aims to quantify hydrologic conditions that support persistence of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1" w:name="introduction"/>
    <w:p>
      <w:pPr>
        <w:pStyle w:val="Heading1"/>
      </w:pPr>
      <w:r>
        <w:rPr>
          <w:rStyle w:val="SectionNumber"/>
        </w:rPr>
        <w:t xml:space="preserve">1</w:t>
      </w:r>
      <w:r>
        <w:tab/>
      </w:r>
      <w:r>
        <w:t xml:space="preserve">Introduction</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N. L. Poff and Zimmerman 2010; Shenton et al. 2012; Solans and García de Jalón 2016)</w:t>
      </w:r>
      <w:r>
        <w:t xml:space="preserve">, the regional-scale conditions that would maintain biodiversity are as yet unquantified or highly uncertain</w:t>
      </w:r>
      <w:r>
        <w:t xml:space="preserve"> </w:t>
      </w:r>
      <w:r>
        <w:t xml:space="preserve">(N. L. 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(N. L. Poff et al. 1997; N. L. Poff and Zimmerman 2010)</w:t>
      </w:r>
      <w:r>
        <w:t xml:space="preserve">.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ecological services provided by hydrology in different seasons into a single index value per water year. This work sets the stage for a quantitative comparison of competing natural resource management alternatives.</w:t>
      </w:r>
    </w:p>
    <w:bookmarkEnd w:id="21"/>
    <w:bookmarkStart w:id="40" w:name="X64f7ebf8be7aee8f015a7ab48fe88f61a5f7a78"/>
    <w:p>
      <w:pPr>
        <w:pStyle w:val="Heading1"/>
      </w:pPr>
      <w:r>
        <w:rPr>
          <w:rStyle w:val="SectionNumber"/>
        </w:rPr>
        <w:t xml:space="preserve">2</w:t>
      </w:r>
      <w:r>
        <w:tab/>
      </w:r>
      <w:r>
        <w:t xml:space="preserve">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3" name="Picture"/>
            <a:graphic>
              <a:graphicData uri="http://schemas.openxmlformats.org/drawingml/2006/picture">
                <pic:pic>
                  <pic:nvPicPr>
                    <pic:cNvPr descr="Graphics%20and%20Supplements/scott%20valley%20setting.png" id="24" name="Picture"/>
                    <pic:cNvPicPr>
                      <a:picLocks noChangeArrowheads="1" noChangeAspect="1"/>
                    </pic:cNvPicPr>
                  </pic:nvPicPr>
                  <pic:blipFill>
                    <a:blip r:embed="rId22"/>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0" w:name="X36fa6955ee881a3061f3114fd02206899c105b3"/>
    <w:p>
      <w:pPr>
        <w:pStyle w:val="Heading2"/>
      </w:pPr>
      <w:r>
        <w:rPr>
          <w:rStyle w:val="SectionNumber"/>
        </w:rPr>
        <w:t xml:space="preserve">2.1</w:t>
      </w:r>
      <w:r>
        <w:tab/>
      </w:r>
      <w:r>
        <w:t xml:space="preserve">Scott River watershed setting and water use</w:t>
      </w:r>
    </w:p>
    <w:bookmarkStart w:id="28"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To accommodate this precipitation and runoff schedule, water years in California conventionally begin on Oct. 1; they are named for the year in which they end (e.g., water year 2021 begins Oct. 1, 2020 and runs through Sep. 30, 2021).</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6" name="Picture"/>
            <a:graphic>
              <a:graphicData uri="http://schemas.openxmlformats.org/drawingml/2006/picture">
                <pic:pic>
                  <pic:nvPicPr>
                    <pic:cNvPr descr="Graphics%20and%20Supplements/Figure%202.png" id="27" name="Picture"/>
                    <pic:cNvPicPr>
                      <a:picLocks noChangeArrowheads="1" noChangeAspect="1"/>
                    </pic:cNvPicPr>
                  </pic:nvPicPr>
                  <pic:blipFill>
                    <a:blip r:embed="rId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28"/>
    <w:bookmarkStart w:id="29"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29"/>
    <w:bookmarkEnd w:id="30"/>
    <w:bookmarkStart w:id="38"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1"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1"/>
    <w:bookmarkStart w:id="35"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3" name="Picture"/>
            <a:graphic>
              <a:graphicData uri="http://schemas.openxmlformats.org/drawingml/2006/picture">
                <pic:pic>
                  <pic:nvPicPr>
                    <pic:cNvPr descr="Graphics%20and%20Supplements/coho%20life%20cycle%20table_2022.02.03.jpg" id="34" name="Picture"/>
                    <pic:cNvPicPr>
                      <a:picLocks noChangeArrowheads="1" noChangeAspect="1"/>
                    </pic:cNvPicPr>
                  </pic:nvPicPr>
                  <pic:blipFill>
                    <a:blip r:embed="rId32"/>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5"/>
    <w:bookmarkStart w:id="36"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6"/>
    <w:bookmarkStart w:id="37"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7"/>
    <w:bookmarkEnd w:id="38"/>
    <w:bookmarkStart w:id="39" w:name="key-ecological-metrics"/>
    <w:p>
      <w:pPr>
        <w:pStyle w:val="Heading2"/>
      </w:pPr>
      <w:r>
        <w:rPr>
          <w:rStyle w:val="SectionNumber"/>
        </w:rPr>
        <w:t xml:space="preserve">2.3</w:t>
      </w:r>
      <w:r>
        <w:tab/>
      </w:r>
      <w:r>
        <w:t xml:space="preserve">Key ecological metrics</w:t>
      </w:r>
    </w:p>
    <w:p>
      <w:pPr>
        <w:pStyle w:val="FirstParagraph"/>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pStyle w:val="FirstParagraph"/>
      </w:pPr>
      <w:r>
        <w:t xml:space="preserve">In addition to these three metrics, it is possible to calculate a combined metric, the number of salmon smolt produced per spawning female, after monitoring for multiple years to capture both the spawning and outmigrating events for the relevant cohort.</w:t>
      </w:r>
    </w:p>
    <w:bookmarkEnd w:id="39"/>
    <w:bookmarkEnd w:id="40"/>
    <w:bookmarkStart w:id="57" w:name="methods"/>
    <w:p>
      <w:pPr>
        <w:pStyle w:val="Heading1"/>
      </w:pPr>
      <w:r>
        <w:rPr>
          <w:rStyle w:val="SectionNumber"/>
        </w:rPr>
        <w:t xml:space="preserve">3</w:t>
      </w:r>
      <w:r>
        <w:tab/>
      </w:r>
      <w:r>
        <w:t xml:space="preserve">Methods</w:t>
      </w:r>
    </w:p>
    <w:p>
      <w:pPr>
        <w:pStyle w:val="FirstParagraph"/>
      </w:pPr>
      <w:r>
        <w:t xml:space="preserve">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bookmarkStart w:id="47" w:name="X90504e9e9e683c3d6548512a207e58f57862daf"/>
    <w:p>
      <w:pPr>
        <w:pStyle w:val="Heading2"/>
      </w:pPr>
      <w:r>
        <w:rPr>
          <w:rStyle w:val="SectionNumber"/>
        </w:rPr>
        <w:t xml:space="preserve">3.1</w:t>
      </w:r>
      <w:r>
        <w:tab/>
      </w:r>
      <w:r>
        <w:t xml:space="preserve">Flow metrics to describe Scott River flow regime</w:t>
      </w:r>
    </w:p>
    <w:p>
      <w:pPr>
        <w:pStyle w:val="FirstParagraph"/>
      </w:pPr>
      <w:r>
        <w:t xml:space="preserve">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Abbreviations and descriptions are listed in Table</w:t>
      </w:r>
      <w:r>
        <w:t xml:space="preserve"> </w:t>
      </w:r>
      <w:r>
        <w:t xml:space="preserve">1</w:t>
      </w:r>
      <w:r>
        <w:t xml:space="preserve">, and additional information is available in</w:t>
      </w:r>
      <w:r>
        <w:t xml:space="preserve"> </w:t>
      </w:r>
      <w:r>
        <w:t xml:space="preserve">Patterson et al. (2020)</w:t>
      </w:r>
      <w:r>
        <w:t xml:space="preserve"> </w:t>
      </w:r>
      <w:r>
        <w:t xml:space="preserve">and supporting documentation.</w:t>
      </w:r>
    </w:p>
    <w:p>
      <w:pPr>
        <w:pStyle w:val="BodyText"/>
      </w:pPr>
      <w:r>
        <w:t xml:space="preserve">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In addition to the metrics discussed above, we devised two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While these metrics can be somewhat correlated with some of the California-specific functional flows, they add value to this analysis because of their direct relation to fish passage in the watershed.</w:t>
      </w:r>
    </w:p>
    <w:p>
      <w:pPr>
        <w:pStyle w:val="TableCaption"/>
      </w:pPr>
      <w:r>
        <w:t xml:space="preserve">Table 1:</w:t>
      </w:r>
      <w:r>
        <w:t xml:space="preserve"> </w:t>
      </w:r>
      <w:r>
        <w:t xml:space="preserve">Explanation of hydrologic metrics and other terms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2160"/>
        <w:gridCol w:w="50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or 100 cfs) (units of days after Aug. 31).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 or 100 cfs) (units of days after Aug. 31).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(50th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percentile of daily flow within dry season</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 (90th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percentile of daily flow within dry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2" name="Picture"/>
            <a:graphic>
              <a:graphicData uri="http://schemas.openxmlformats.org/drawingml/2006/picture">
                <pic:pic>
                  <pic:nvPicPr>
                    <pic:cNvPr descr="Graphics%20and%20Supplements/Yarnell2020_Fig2.PNG" id="43" name="Picture"/>
                    <pic:cNvPicPr>
                      <a:picLocks noChangeArrowheads="1" noChangeAspect="1"/>
                    </pic:cNvPicPr>
                  </pic:nvPicPr>
                  <pic:blipFill>
                    <a:blip r:embed="rId4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5" name="Picture"/>
            <a:graphic>
              <a:graphicData uri="http://schemas.openxmlformats.org/drawingml/2006/picture">
                <pic:pic>
                  <pic:nvPicPr>
                    <pic:cNvPr descr="Graphics%20and%20Supplements/Figure%204.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7"/>
    <w:bookmarkStart w:id="50" w:name="X7d4930521050a5fc71765e6d3796ea830523cd8"/>
    <w:p>
      <w:pPr>
        <w:pStyle w:val="Heading2"/>
      </w:pPr>
      <w:r>
        <w:rPr>
          <w:rStyle w:val="SectionNumber"/>
        </w:rPr>
        <w:t xml:space="preserve">3.2</w:t>
      </w:r>
      <w:r>
        <w:tab/>
      </w:r>
      <w:r>
        <w:t xml:space="preserve">Data alignment and correlation coefficients between flow metrics and ecological observations</w:t>
      </w:r>
    </w:p>
    <w:p>
      <w:pPr>
        <w:pStyle w:val="FirstParagraph"/>
      </w:pPr>
      <w:r>
        <w:t xml:space="preserve">In the first pass of flow metric predictor selection, potential predictor variables were screened using correlation coefficients. Before the coefficients could be calculated the data was manipulated to assign each cohort’s ecological observations to the metrics of flow phenomena occurring at each life stage. The coho salmon life cycle is largely regular in Scott Valley, with 3 defined cohorts that each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w:t>
      </w:r>
    </w:p>
    <w:bookmarkStart w:id="48" w:name="data-alignment---coho"/>
    <w:p>
      <w:pPr>
        <w:pStyle w:val="Heading3"/>
      </w:pPr>
      <w:r>
        <w:rPr>
          <w:rStyle w:val="SectionNumber"/>
        </w:rPr>
        <w:t xml:space="preserve">3.2.1</w:t>
      </w:r>
      <w:r>
        <w:tab/>
      </w:r>
      <w:r>
        <w:t xml:space="preserve">Data alignment - coho</w:t>
      </w:r>
    </w:p>
    <w:p>
      <w:pPr>
        <w:pStyle w:val="FirstParagraph"/>
      </w:pPr>
      <w:r>
        <w:t xml:space="preserve">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but they will be nevertheless be referred to by these designations for consistency.</w:t>
      </w:r>
    </w:p>
    <w:p>
      <w:pPr>
        <w:pStyle w:val="BodyText"/>
      </w:pPr>
      <w:r>
        <w:t xml:space="preserve">To build empirical relationships between hydrology and biology, we tabulated the flow metrics by Brood Year of the affected cohort</w:t>
      </w:r>
      <w:r>
        <w:t xml:space="preserve"> </w:t>
      </w:r>
      <w:r>
        <w:rPr>
          <w:iCs/>
          <w:i/>
        </w:rPr>
        <w:t xml:space="preserve">(Supplemental Table 1)</w:t>
      </w:r>
      <w:r>
        <w:t xml:space="preserve">. In each record (or row) of this table, multiple</w:t>
      </w:r>
      <w:r>
        <w:t xml:space="preserve"> </w:t>
      </w:r>
      <w:r>
        <w:t xml:space="preserve">“</w:t>
      </w:r>
      <w:r>
        <w:t xml:space="preserve">fish outcome</w:t>
      </w:r>
      <w:r>
        <w:t xml:space="preserve">”</w:t>
      </w:r>
      <w:r>
        <w:t xml:space="preserve"> </w:t>
      </w:r>
      <w:r>
        <w:t xml:space="preserve">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yearlings/outmigrating smolt.</w:t>
      </w:r>
    </w:p>
    <w:bookmarkEnd w:id="48"/>
    <w:bookmarkStart w:id="49" w:name="data-alignment---chinook"/>
    <w:p>
      <w:pPr>
        <w:pStyle w:val="Heading3"/>
      </w:pPr>
      <w:r>
        <w:rPr>
          <w:rStyle w:val="SectionNumber"/>
        </w:rPr>
        <w:t xml:space="preserve">3.2.2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49"/>
    <w:bookmarkEnd w:id="50"/>
    <w:bookmarkStart w:id="51" w:name="X6018d71259a21efbcc9b5e28fcc63c4e048acf0"/>
    <w:p>
      <w:pPr>
        <w:pStyle w:val="Heading2"/>
      </w:pPr>
      <w:r>
        <w:rPr>
          <w:rStyle w:val="SectionNumber"/>
        </w:rPr>
        <w:t xml:space="preserve">3.3</w:t>
      </w:r>
      <w:r>
        <w:tab/>
      </w:r>
      <w:r>
        <w:t xml:space="preserve">Flow-ecology correlations and first pass predictor selection</w:t>
      </w:r>
    </w:p>
    <w:p>
      <w:pPr>
        <w:pStyle w:val="FirstParagraph"/>
      </w:pPr>
      <w:r>
        <w:t xml:space="preserve">After this exercise to align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set consisted of the following:</w:t>
      </w:r>
    </w:p>
    <w:p>
      <w:pPr>
        <w:numPr>
          <w:ilvl w:val="0"/>
          <w:numId w:val="1004"/>
        </w:numPr>
        <w:pStyle w:val="Compact"/>
      </w:pPr>
      <w:r>
        <w:t xml:space="preserve">Reconnection dates, for Brood Year and Rearing Year, for 10, 15, 20, and 100 cfs</w:t>
      </w:r>
    </w:p>
    <w:p>
      <w:pPr>
        <w:numPr>
          <w:ilvl w:val="0"/>
          <w:numId w:val="1004"/>
        </w:numPr>
        <w:pStyle w:val="Compact"/>
      </w:pPr>
      <w:r>
        <w:t xml:space="preserve">Disconnection dates, for the Rearing Year, for 10, 15, 20 and 100 cfs, and for 100 cfs in the Smolt Year</w:t>
      </w:r>
    </w:p>
    <w:p>
      <w:pPr>
        <w:numPr>
          <w:ilvl w:val="0"/>
          <w:numId w:val="1004"/>
        </w:numPr>
        <w:pStyle w:val="Compact"/>
      </w:pPr>
      <w:r>
        <w:t xml:space="preserve">Total flow (i.e., the sum of volumetric flow on all days) in the Brood Year, Rearing Year, Smolt Year, and CFLP periods</w:t>
      </w:r>
    </w:p>
    <w:p>
      <w:pPr>
        <w:numPr>
          <w:ilvl w:val="0"/>
          <w:numId w:val="1004"/>
        </w:numPr>
        <w:pStyle w:val="Compact"/>
      </w:pPr>
      <w:r>
        <w:t xml:space="preserve">Wet season onset timing and baseflow duration, Rearing Year and Smolt Year</w:t>
      </w:r>
    </w:p>
    <w:p>
      <w:pPr>
        <w:numPr>
          <w:ilvl w:val="0"/>
          <w:numId w:val="1004"/>
        </w:numPr>
        <w:pStyle w:val="Compact"/>
      </w:pPr>
      <w:r>
        <w:t xml:space="preserve">Spring recession rate of change, Rearing Year and Smolt Year</w:t>
      </w:r>
    </w:p>
    <w:p>
      <w:pPr>
        <w:numPr>
          <w:ilvl w:val="0"/>
          <w:numId w:val="1004"/>
        </w:numPr>
        <w:pStyle w:val="Compact"/>
      </w:pPr>
      <w:r>
        <w:t xml:space="preserve">Dry season flow magnitude in the Rearing Year (50th and 90th percentiles)</w:t>
      </w:r>
    </w:p>
    <w:bookmarkEnd w:id="51"/>
    <w:bookmarkStart w:id="52" w:name="X9a8b029ebc5b02b7e8c6071856b5ee7a459bfc3"/>
    <w:p>
      <w:pPr>
        <w:pStyle w:val="Heading2"/>
      </w:pPr>
      <w:r>
        <w:rPr>
          <w:rStyle w:val="SectionNumber"/>
        </w:rPr>
        <w:t xml:space="preserve">3.4</w:t>
      </w:r>
      <w:r>
        <w:tab/>
      </w:r>
      <w:r>
        <w:t xml:space="preserve">Selection of ecological response variable and critical flow thresholds for reconnection predictors</w:t>
      </w:r>
    </w:p>
    <w:p>
      <w:pPr>
        <w:pStyle w:val="FirstParagraph"/>
      </w:pPr>
      <w:r>
        <w:t xml:space="preserve">Selected response variables for further analysis:</w:t>
      </w:r>
    </w:p>
    <w:p>
      <w:pPr>
        <w:numPr>
          <w:ilvl w:val="0"/>
          <w:numId w:val="1005"/>
        </w:numPr>
        <w:pStyle w:val="Compact"/>
      </w:pPr>
      <w:r>
        <w:t xml:space="preserve">coho smolt per female (coho spf)</w:t>
      </w:r>
    </w:p>
    <w:p>
      <w:pPr>
        <w:numPr>
          <w:ilvl w:val="0"/>
          <w:numId w:val="1005"/>
        </w:numPr>
        <w:pStyle w:val="Compact"/>
      </w:pPr>
      <w:r>
        <w:t xml:space="preserve">Chinook juvenile per adult (Chinook jpa)</w:t>
      </w:r>
    </w:p>
    <w:p>
      <w:pPr>
        <w:pStyle w:val="FirstParagraph"/>
      </w:pPr>
      <w:r>
        <w:t xml:space="preserve">Selected flow thresholds for river reconnection and disconnection analyses:</w:t>
      </w:r>
    </w:p>
    <w:p>
      <w:pPr>
        <w:numPr>
          <w:ilvl w:val="0"/>
          <w:numId w:val="1006"/>
        </w:numPr>
        <w:pStyle w:val="Compact"/>
      </w:pPr>
      <w:r>
        <w:t xml:space="preserve">10 and 100 cfs</w:t>
      </w:r>
    </w:p>
    <w:p>
      <w:pPr>
        <w:pStyle w:val="FirstParagraph"/>
      </w:pPr>
      <w:r>
        <w:t xml:space="preserve">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w:t>
      </w:r>
      <w:r>
        <w:t xml:space="preserve"> </w:t>
      </w:r>
      <w:r>
        <w:t xml:space="preserve">(CDFW 2021)</w:t>
      </w:r>
      <w:r>
        <w:t xml:space="preserve">. Consequently, all further hydro-ecological modeling for coho uses this coho smolt per female (coho spf) metric as the response variable.</w:t>
      </w:r>
    </w:p>
    <w:p>
      <w:pPr>
        <w:pStyle w:val="BodyText"/>
      </w:pPr>
      <w:r>
        <w:t xml:space="preserve">For Chinook, conversely, none of the three available ecological response variables stood out as being substantially more correlated with hydrologic metrics than the others (see Results, Section 4.2 and</w:t>
      </w:r>
      <w:r>
        <w:t xml:space="preserve"> </w:t>
      </w:r>
      <w:r>
        <w:rPr>
          <w:iCs/>
          <w:i/>
        </w:rPr>
        <w:t xml:space="preserve">Supplemental Figure 1</w:t>
      </w:r>
      <w:r>
        <w:t xml:space="preserve">).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t>
      </w:r>
    </w:p>
    <w:p>
      <w:pPr>
        <w:pStyle w:val="BodyText"/>
      </w:pPr>
      <w:r>
        <w:t xml:space="preserve">To avoid introducing redundant information into the prediction analysis</w:t>
      </w:r>
      <w:r>
        <w:t xml:space="preserve"> </w:t>
      </w:r>
      <w:r>
        <w:t xml:space="preserve">(Olden and Poff 2003)</w:t>
      </w:r>
      <w:r>
        <w:t xml:space="preserve">,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t>
      </w:r>
      <w:r>
        <w:rPr>
          <w:vertAlign w:val="superscript"/>
        </w:rPr>
        <w:t xml:space="preserve">2</w:t>
      </w:r>
      <w:r>
        <w:t xml:space="preserve"> </w:t>
      </w:r>
      <w:r>
        <w:t xml:space="preserve">values), as well as professional judgment and previous work done on salmon passage in the watershed</w:t>
      </w:r>
      <w:r>
        <w:t xml:space="preserve"> </w:t>
      </w:r>
      <w:r>
        <w:t xml:space="preserve">(e.g., SRWC 2018)</w:t>
      </w:r>
      <w:r>
        <w:t xml:space="preserve">.</w:t>
      </w:r>
    </w:p>
    <w:bookmarkEnd w:id="52"/>
    <w:bookmarkStart w:id="53" w:name="X4645f8f4a124565f9d466360a95c2cc73f4432d"/>
    <w:p>
      <w:pPr>
        <w:pStyle w:val="Heading2"/>
      </w:pPr>
      <w:r>
        <w:rPr>
          <w:rStyle w:val="SectionNumber"/>
        </w:rPr>
        <w:t xml:space="preserve">3.5</w:t>
      </w:r>
      <w:r>
        <w:tab/>
      </w:r>
      <w:r>
        <w:t xml:space="preserve">Evaluation of all possible linear models and exclusion of Chinook</w:t>
      </w:r>
    </w:p>
    <w:p>
      <w:pPr>
        <w:pStyle w:val="FirstParagraph"/>
      </w:pPr>
      <w:r>
        <w:t xml:space="preserve">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t>
      </w:r>
    </w:p>
    <w:bookmarkEnd w:id="53"/>
    <w:bookmarkStart w:id="54" w:name="linear-model-selection-for-coho-only"/>
    <w:p>
      <w:pPr>
        <w:pStyle w:val="Heading2"/>
      </w:pPr>
      <w:r>
        <w:rPr>
          <w:rStyle w:val="SectionNumber"/>
        </w:rPr>
        <w:t xml:space="preserve">3.6</w:t>
      </w:r>
      <w:r>
        <w:tab/>
      </w:r>
      <w:r>
        <w:t xml:space="preserve">Linear model selection for coho only</w:t>
      </w:r>
    </w:p>
    <w:p>
      <w:pPr>
        <w:pStyle w:val="FirstParagraph"/>
      </w:pPr>
      <w:r>
        <w:t xml:space="preserve">In the second pass of flow metric predictor selection, a refined set of potential predictor variables was used to make one- and two-predictor linear models of the coho spf response variable.</w:t>
      </w:r>
    </w:p>
    <w:p>
      <w:pPr>
        <w:pStyle w:val="BodyText"/>
      </w:pPr>
      <w:r>
        <w:t xml:space="preserve">With a dataset this small, the risk of overfitting is relatively high</w:t>
      </w:r>
      <w:r>
        <w:t xml:space="preserve"> </w:t>
      </w:r>
      <w:r>
        <w:t xml:space="preserve">(James et al. 2013)</w:t>
      </w:r>
      <w:r>
        <w:t xml:space="preserve">. Consequently linear models with a maximum of two predictors were evaluated. The four best one-predictor models and six of the best two-predictor models are shown in Table</w:t>
      </w:r>
      <w:r>
        <w:t xml:space="preserve"> </w:t>
      </w:r>
      <w:r>
        <w:t xml:space="preserve">2</w:t>
      </w:r>
      <w:r>
        <w:t xml:space="preserve">. Criteria used to make the selection included degree of variability explained by the predictors (R</w:t>
      </w:r>
      <w:r>
        <w:rPr>
          <w:vertAlign w:val="superscript"/>
        </w:rPr>
        <w:t xml:space="preserve">2</w:t>
      </w:r>
      <w:r>
        <w:t xml:space="preserve"> </w:t>
      </w:r>
      <w:r>
        <w:t xml:space="preserve">and adjusted R</w:t>
      </w:r>
      <w:r>
        <w:rPr>
          <w:vertAlign w:val="superscript"/>
        </w:rPr>
        <w:t xml:space="preserve">2</w:t>
      </w:r>
      <w:r>
        <w:t xml:space="preserve">), statistical significance (p-value and F-statistic), the amount of total non-correlated information contained in the set of predictors (corrected AIC, or AIC</w:t>
      </w:r>
      <w:r>
        <w:rPr>
          <w:vertAlign w:val="subscript"/>
        </w:rPr>
        <w:t xml:space="preserve">c</w:t>
      </w:r>
      <w:r>
        <w:t xml:space="preserve">, a statistic used for small sample sizes). For coho, because the predictor BY_recon_10 (Brood Year reconnection date, 10 cfs) performed so much better than all other metrics in the one-predictor model set, all two-predictor models evaluated included that predictor.</w:t>
      </w:r>
    </w:p>
    <w:p>
      <w:pPr>
        <w:pStyle w:val="BodyText"/>
      </w:pPr>
      <w:r>
        <w:t xml:space="preserve">For each of these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These criteria were: adjusted R</w:t>
      </w:r>
      <w:r>
        <w:rPr>
          <w:vertAlign w:val="superscript"/>
        </w:rPr>
        <w:t xml:space="preserve">2</w:t>
      </w:r>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t>
      </w:r>
    </w:p>
    <w:bookmarkEnd w:id="54"/>
    <w:bookmarkStart w:id="55" w:name="X57a52924c851c61a9341e8e93e70bf04d5c1aee"/>
    <w:p>
      <w:pPr>
        <w:pStyle w:val="Heading2"/>
      </w:pPr>
      <w:r>
        <w:rPr>
          <w:rStyle w:val="SectionNumber"/>
        </w:rPr>
        <w:t xml:space="preserve">3.7</w:t>
      </w:r>
      <w:r>
        <w:tab/>
      </w:r>
      <w:r>
        <w:t xml:space="preserve">Proposed formulation of a water year-based Hydrologic Benefit function for coho salmon</w:t>
      </w:r>
    </w:p>
    <w:p>
      <w:pPr>
        <w:pStyle w:val="FirstParagraph"/>
      </w:pPr>
      <w:r>
        <w:t xml:space="preserve">To avoid over-interpreting the results of this small dataset, the coefficients of the three best selected models were averaged into the coefficients of an ensemble model shown in Table</w:t>
      </w:r>
      <w:r>
        <w:t xml:space="preserve"> </w:t>
      </w:r>
      <w:r>
        <w:t xml:space="preserve">4</w:t>
      </w:r>
      <w:r>
        <w:t xml:space="preserve">.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w:t>
      </w:r>
      <w:r>
        <w:t xml:space="preserve"> </w:t>
      </w:r>
      <w:r>
        <w:rPr>
          <w:iCs/>
          <w:i/>
        </w:rPr>
        <w:t xml:space="preserve">Supplemental Table 2</w:t>
      </w:r>
      <w:r>
        <w:t xml:space="preserve">.</w:t>
      </w:r>
    </w:p>
    <w:p>
      <w:pPr>
        <w:pStyle w:val="BodyText"/>
      </w:pPr>
      <w:r>
        <w:t xml:space="preserve">The combined formulation is as follows:</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572"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bl>
    <w:bookmarkEnd w:id="55"/>
    <w:bookmarkStart w:id="56" w:name="X5678042e0e587b4a5ea03a6bcb753fee3274725"/>
    <w:p>
      <w:pPr>
        <w:pStyle w:val="Heading2"/>
      </w:pPr>
      <w:r>
        <w:rPr>
          <w:rStyle w:val="SectionNumber"/>
        </w:rPr>
        <w:t xml:space="preserve">3.8</w:t>
      </w:r>
      <w:r>
        <w:tab/>
      </w:r>
      <w:r>
        <w:t xml:space="preserve">HB function sensitivity to one additional observation</w:t>
      </w:r>
    </w:p>
    <w:p>
      <w:pPr>
        <w:pStyle w:val="FirstParagraph"/>
      </w:pPr>
      <w:r>
        <w:t xml:space="preserve">To further explore the uncertainty associated with such a small dataset, the sensitivity of the predictive model was estimated by adding one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Furthermore, flow conditions in and just before water year 2016 were very dry, and the hydrologic predictors for water year 2016 generated the lowest predicted coho spf value of the entire Fort Jones gauge flow record (-35.9; see Figure</w:t>
      </w:r>
      <w:r>
        <w:t xml:space="preserve"> </w:t>
      </w:r>
      <w:r>
        <w:t xml:space="preserve">12</w:t>
      </w:r>
      <w:r>
        <w:t xml:space="preserve">). The significance of predicted negative coho spf values is described further in Results.</w:t>
      </w:r>
    </w:p>
    <w:p>
      <w:pPr>
        <w:pStyle w:val="BodyText"/>
      </w:pPr>
      <w:r>
        <w:t xml:space="preserve">This missing value for brood year 2015 was replaced by 0, as well as the minimum, mean and maximum values of observed coho spf (5.8, 60.0, and 101.8 coho spf, respectively). The ensemble average coefficients in the HB function were recalculated based on each revised dataset.</w:t>
      </w:r>
    </w:p>
    <w:bookmarkEnd w:id="56"/>
    <w:bookmarkEnd w:id="57"/>
    <w:bookmarkStart w:id="90" w:name="results"/>
    <w:p>
      <w:pPr>
        <w:pStyle w:val="Heading1"/>
      </w:pPr>
      <w:r>
        <w:rPr>
          <w:rStyle w:val="SectionNumber"/>
        </w:rPr>
        <w:t xml:space="preserve">4</w:t>
      </w:r>
      <w:r>
        <w:tab/>
      </w:r>
      <w:r>
        <w:t xml:space="preserve">Results</w:t>
      </w:r>
    </w:p>
    <w:bookmarkStart w:id="64"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onset of the dry season is earlier, and the duration of the dry season has increased (Figure</w:t>
      </w:r>
      <w:r>
        <w:t xml:space="preserve"> </w:t>
      </w:r>
      <w:r>
        <w:t xml:space="preserve">6</w:t>
      </w:r>
      <w:r>
        <w:t xml:space="preserve">).</w:t>
      </w:r>
    </w:p>
    <w:p>
      <w:pPr>
        <w:pStyle w:val="BodyText"/>
      </w:pPr>
      <w:r>
        <w:t xml:space="preserve">The reconnection and disconnection dates also show trends over time, illustrating that since 1942 the wet season has narrowed, in that its (approximate) onset has trended later and the spring flow recession has trended earlier (Figure</w:t>
      </w:r>
      <w:r>
        <w:t xml:space="preserve"> </w:t>
      </w:r>
      <w:r>
        <w:t xml:space="preserve">7</w:t>
      </w:r>
      <w:r>
        <w:t xml:space="preserve">).</w:t>
      </w:r>
    </w:p>
    <w:p>
      <w:pPr>
        <w:pStyle w:val="BodyText"/>
      </w:pPr>
      <w:r>
        <w:t xml:space="preserve">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(Van Kirk and Naman 2008; Drake, Tate, and Carlson 2000)</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59" name="Picture"/>
            <a:graphic>
              <a:graphicData uri="http://schemas.openxmlformats.org/drawingml/2006/picture">
                <pic:pic>
                  <pic:nvPicPr>
                    <pic:cNvPr descr="Graphics%20and%20Supplements/Figure%205.png" id="60" name="Picture"/>
                    <pic:cNvPicPr>
                      <a:picLocks noChangeArrowheads="1" noChangeAspect="1"/>
                    </pic:cNvPicPr>
                  </pic:nvPicPr>
                  <pic:blipFill>
                    <a:blip r:embed="rId58"/>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2" name="Picture"/>
            <a:graphic>
              <a:graphicData uri="http://schemas.openxmlformats.org/drawingml/2006/picture">
                <pic:pic>
                  <pic:nvPicPr>
                    <pic:cNvPr descr="Graphics%20and%20Supplements/Figure%206.png" id="63" name="Picture"/>
                    <pic:cNvPicPr>
                      <a:picLocks noChangeArrowheads="1" noChangeAspect="1"/>
                    </pic:cNvPicPr>
                  </pic:nvPicPr>
                  <pic:blipFill>
                    <a:blip r:embed="rId61"/>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4"/>
    <w:bookmarkStart w:id="77" w:name="utility-of-hydrology-predictors"/>
    <w:p>
      <w:pPr>
        <w:pStyle w:val="Heading2"/>
      </w:pPr>
      <w:r>
        <w:rPr>
          <w:rStyle w:val="SectionNumber"/>
        </w:rPr>
        <w:t xml:space="preserve">4.2</w:t>
      </w:r>
      <w:r>
        <w:tab/>
      </w:r>
      <w:r>
        <w:t xml:space="preserve">Utility of hydrology predictors</w:t>
      </w:r>
    </w:p>
    <w:bookmarkStart w:id="68" w:name="Xecceecfd1ea7e2c3e3274f19f37083719d0f790"/>
    <w:p>
      <w:pPr>
        <w:pStyle w:val="Heading3"/>
      </w:pPr>
      <w:r>
        <w:rPr>
          <w:rStyle w:val="SectionNumber"/>
        </w:rPr>
        <w:t xml:space="preserve">4.2.1</w:t>
      </w:r>
      <w:r>
        <w:tab/>
      </w:r>
      <w:r>
        <w:t xml:space="preserve">Correlation of hydrologic metrics with salmon metrics</w:t>
      </w:r>
    </w:p>
    <w:p>
      <w:pPr>
        <w:pStyle w:val="FirstParagraph"/>
      </w:pPr>
      <w:r>
        <w:t xml:space="preserve">The information in</w:t>
      </w:r>
      <w:r>
        <w:t xml:space="preserve"> </w:t>
      </w:r>
      <w:r>
        <w:rPr>
          <w:iCs/>
          <w:i/>
        </w:rPr>
        <w:t xml:space="preserve">Supplemental Table 1</w:t>
      </w:r>
      <w:r>
        <w:t xml:space="preserve"> </w:t>
      </w:r>
      <w:r>
        <w:t xml:space="preserve">was used to calculate Pearson correlation coefficients between flow metrics and observed ecological quantities: four coho observation types (the number of spawners, number of redds, number of smolt, and the number of smolts produced per female spawner) (Figure</w:t>
      </w:r>
      <w:r>
        <w:t xml:space="preserve"> </w:t>
      </w:r>
      <w:r>
        <w:t xml:space="preserve">8</w:t>
      </w:r>
      <w:r>
        <w:t xml:space="preserve">), and three Chinook observation types (all aforementioned types except number of redds, since local redd monitoring for Chinook has an insufficient record length) (</w:t>
      </w:r>
      <w:r>
        <w:rPr>
          <w:iCs/>
          <w:i/>
        </w:rPr>
        <w:t xml:space="preserve">Supplemental Figure 1</w:t>
      </w:r>
      <w:r>
        <w:t xml:space="preserve">)).</w:t>
      </w:r>
    </w:p>
    <w:p>
      <w:pPr>
        <w:pStyle w:val="BodyText"/>
      </w:pPr>
      <w:r>
        <w:t xml:space="preserve">These correlations were used as a first pass filter to refine the set of variables considered in the linear modeling exercise. A larger number of predictors was evaluated than the set depicted here; the predictors included in Figure</w:t>
      </w:r>
      <w:r>
        <w:t xml:space="preserve"> </w:t>
      </w:r>
      <w:r>
        <w:t xml:space="preserve">8</w:t>
      </w:r>
      <w:r>
        <w:t xml:space="preserve"> </w:t>
      </w:r>
      <w:r>
        <w:t xml:space="preserve">are selected because of a high correlation coefficient or an unexpected result. A full correlation matrix is shown in</w:t>
      </w:r>
      <w:r>
        <w:t xml:space="preserve"> </w:t>
      </w:r>
      <w:r>
        <w:rPr>
          <w:iCs/>
          <w:i/>
        </w:rPr>
        <w:t xml:space="preserve">Supplemental Figure 1</w:t>
      </w:r>
      <w:r>
        <w:t xml:space="preserve">.</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6" name="Picture"/>
            <a:graphic>
              <a:graphicData uri="http://schemas.openxmlformats.org/drawingml/2006/picture">
                <pic:pic>
                  <pic:nvPicPr>
                    <pic:cNvPr descr="Graphics%20and%20Supplements/Figure%207.png" id="67" name="Picture"/>
                    <pic:cNvPicPr>
                      <a:picLocks noChangeArrowheads="1" noChangeAspect="1"/>
                    </pic:cNvPicPr>
                  </pic:nvPicPr>
                  <pic:blipFill>
                    <a:blip r:embed="rId6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p>
      <w:pPr>
        <w:pStyle w:val="BodyText"/>
      </w:pPr>
      <w:r>
        <w:t xml:space="preserve">As mentioned in Methods, the coho salmon indicator that is most correlated with hydrologic metrics is the number of coho smolt produced per spawning female (Figure</w:t>
      </w:r>
      <w:r>
        <w:t xml:space="preserve"> </w:t>
      </w:r>
      <w:r>
        <w:t xml:space="preserve">8</w:t>
      </w:r>
      <w:r>
        <w:t xml:space="preserve">). One reason for this 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t>
      </w:r>
    </w:p>
    <w:p>
      <w:pPr>
        <w:pStyle w:val="BodyText"/>
      </w:pPr>
      <w:r>
        <w:t xml:space="preserve">Furthermore, as mentioned in Methods, ecological observations of Chinook show markedly less correlation with hydrologic metrics than those for coho.</w:t>
      </w:r>
    </w:p>
    <w:bookmarkEnd w:id="68"/>
    <w:bookmarkStart w:id="72" w:name="Xf1a39309103b5b433d86a44c6224ac668194bc2"/>
    <w:p>
      <w:pPr>
        <w:pStyle w:val="Heading3"/>
      </w:pPr>
      <w:r>
        <w:rPr>
          <w:rStyle w:val="SectionNumber"/>
        </w:rPr>
        <w:t xml:space="preserve">4.2.2</w:t>
      </w:r>
      <w:r>
        <w:tab/>
      </w:r>
      <w:r>
        <w:t xml:space="preserve">Selection of 10 and 100 cfs thresholds for fall disconnection dates</w:t>
      </w:r>
    </w:p>
    <w:p>
      <w:pPr>
        <w:pStyle w:val="FirstParagraph"/>
      </w:pPr>
      <w:r>
        <w:t xml:space="preserve">Fall reconnection dates in a cohort’s Brood Year appear strongly correlated with coho spf (Figure</w:t>
      </w:r>
      <w:r>
        <w:t xml:space="preserve"> </w:t>
      </w:r>
      <w:r>
        <w:t xml:space="preserve">8</w:t>
      </w:r>
      <w:r>
        <w:t xml:space="preserve">), and previous work in the region has documented that fall flows are critical for salmon spawning</w:t>
      </w:r>
      <w:r>
        <w:t xml:space="preserve"> </w:t>
      </w:r>
      <w:r>
        <w:t xml:space="preserve">(SRWC and RCD 2003)</w:t>
      </w:r>
      <w:r>
        <w:t xml:space="preserve">.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t>
      </w:r>
    </w:p>
    <w:p>
      <w:pPr>
        <w:pStyle w:val="BodyText"/>
      </w:pPr>
      <w:r>
        <w:t xml:space="preserve">Relationships between the Brood Year reconnection dates for six flow thresholds and coho spf are shown in Figure</w:t>
      </w:r>
      <w:r>
        <w:t xml:space="preserve"> </w:t>
      </w:r>
      <w:r>
        <w:t xml:space="preserve">9</w:t>
      </w:r>
      <w:r>
        <w:t xml:space="preserve">. The trends in slope value and R</w:t>
      </w:r>
      <w:r>
        <w:rPr>
          <w:vertAlign w:val="superscript"/>
        </w:rPr>
        <w:t xml:space="preserve">2</w:t>
      </w:r>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calculated between the three ecological observation types and the Brood Year reconnection dates (i.e., no R</w:t>
      </w:r>
      <w:r>
        <w:rPr>
          <w:vertAlign w:val="superscript"/>
        </w:rPr>
        <w:t xml:space="preserve">2</w:t>
      </w:r>
      <w:r>
        <w:t xml:space="preserve"> </w:t>
      </w:r>
      <w:r>
        <w:t xml:space="preserve">values exceeded 0.1).</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0" name="Picture"/>
            <a:graphic>
              <a:graphicData uri="http://schemas.openxmlformats.org/drawingml/2006/picture">
                <pic:pic>
                  <pic:nvPicPr>
                    <pic:cNvPr descr="Graphics%20and%20Supplements/Figure%208.png" id="71" name="Picture"/>
                    <pic:cNvPicPr>
                      <a:picLocks noChangeArrowheads="1" noChangeAspect="1"/>
                    </pic:cNvPicPr>
                  </pic:nvPicPr>
                  <pic:blipFill>
                    <a:blip r:embed="rId6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p>
      <w:pPr>
        <w:pStyle w:val="BodyText"/>
      </w:pPr>
      <w:r>
        <w:t xml:space="preserve">At reconnection dates for 100 cfs, the R</w:t>
      </w:r>
      <w:r>
        <w:rPr>
          <w:vertAlign w:val="superscript"/>
        </w:rPr>
        <w:t xml:space="preserve">2</w:t>
      </w:r>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 R</w:t>
      </w:r>
      <w:r>
        <w:rPr>
          <w:vertAlign w:val="superscript"/>
        </w:rPr>
        <w:t xml:space="preserve">2</w:t>
      </w:r>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It should be noted that for this metric, at very low flows like 8 and 10 cfs, a data censoring problem emerges, as there are some years where the flow never drops below the threshold, so</w:t>
      </w:r>
      <w:r>
        <w:t xml:space="preserve"> </w:t>
      </w:r>
      <w:r>
        <w:t xml:space="preserve">“</w:t>
      </w:r>
      <w:r>
        <w:t xml:space="preserve">reconnection</w:t>
      </w:r>
      <w:r>
        <w:t xml:space="preserve">”</w:t>
      </w:r>
      <w:r>
        <w:t xml:space="preserve"> </w:t>
      </w:r>
      <w:r>
        <w:t xml:space="preserve">as flows rise above that threshold cannot occur.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Based on the trends shown in Figure</w:t>
      </w:r>
      <w:r>
        <w:t xml:space="preserve"> </w:t>
      </w:r>
      <w:r>
        <w:t xml:space="preserve">9</w:t>
      </w:r>
      <w:r>
        <w:t xml:space="preserve">, we narrowed the reconnection and disconnection date flow thresholds under consideration to 10 cfs and 100 cfs. This decision could be revisited if additional years of data become available.</w:t>
      </w:r>
    </w:p>
    <w:bookmarkEnd w:id="72"/>
    <w:bookmarkStart w:id="76" w:name="X9a84ac41dc4efb39c6d5091fb84b9521b8f3391"/>
    <w:p>
      <w:pPr>
        <w:pStyle w:val="Heading3"/>
      </w:pPr>
      <w:r>
        <w:rPr>
          <w:rStyle w:val="SectionNumber"/>
        </w:rPr>
        <w:t xml:space="preserve">4.2.3</w:t>
      </w:r>
      <w:r>
        <w:tab/>
      </w:r>
      <w:r>
        <w:t xml:space="preserve">All possible linear models for Chinook and coho reproduction</w:t>
      </w:r>
    </w:p>
    <w:p>
      <w:pPr>
        <w:pStyle w:val="FirstParagraph"/>
      </w:pPr>
      <w:r>
        <w:t xml:space="preserve">As described in Methods, we used all hydrologic predictors which passed the first selection filter (based on correlation coefficients) to generate the set of all possible 1- and 2-predictor linear models of the relative reproduction for Chinook (Chinook jpa) and coho (coho spf) salmon. Consistent with other analyses in this document, relative reproduction in Chinook was less predictable than in coho, using the same set of hydrologic predictors (Figure</w:t>
      </w:r>
      <w:r>
        <w:t xml:space="preserve"> </w:t>
      </w:r>
      <w:r>
        <w:t xml:space="preserve">10</w:t>
      </w:r>
      <w:r>
        <w:t xml:space="preserve">). Based on this result, the remaining analysis (predicting salmon outcomes using hydrologic metrics) was conducted only for coho salmon.</w:t>
      </w:r>
    </w:p>
    <w:p>
      <w:pPr>
        <w:pStyle w:val="CaptionedFigure"/>
      </w:pPr>
      <w:r>
        <w:drawing>
          <wp:inline>
            <wp:extent cx="5334000" cy="4572000"/>
            <wp:effectExtent b="0" l="0" r="0" t="0"/>
            <wp:docPr descr="Figure 10: The adjusted R square and P values of all possible linear models (1- and 2-predictors) for Chinook and coho relative reproduction, using metrics identified in the first pass filter step." title="" id="74" name="Picture"/>
            <a:graphic>
              <a:graphicData uri="http://schemas.openxmlformats.org/drawingml/2006/picture">
                <pic:pic>
                  <pic:nvPicPr>
                    <pic:cNvPr descr="Graphics%20and%20Supplements/Figure%209.png" id="75" name="Picture"/>
                    <pic:cNvPicPr>
                      <a:picLocks noChangeArrowheads="1" noChangeAspect="1"/>
                    </pic:cNvPicPr>
                  </pic:nvPicPr>
                  <pic:blipFill>
                    <a:blip r:embed="rId7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10: The adjusted R square and P values of all possible linear models (1- and 2-predictors) for Chinook and coho relative reproduction, using metrics identified in the first pass filter step.</w:t>
      </w:r>
    </w:p>
    <w:bookmarkEnd w:id="76"/>
    <w:bookmarkEnd w:id="77"/>
    <w:bookmarkStart w:id="81" w:name="linear-model-predictions"/>
    <w:p>
      <w:pPr>
        <w:pStyle w:val="Heading2"/>
      </w:pPr>
      <w:r>
        <w:rPr>
          <w:rStyle w:val="SectionNumber"/>
        </w:rPr>
        <w:t xml:space="preserve">4.3</w:t>
      </w:r>
      <w:r>
        <w:tab/>
      </w:r>
      <w:r>
        <w:t xml:space="preserve">Linear model predictions</w:t>
      </w:r>
    </w:p>
    <w:p>
      <w:pPr>
        <w:pStyle w:val="FirstParagraph"/>
      </w:pPr>
      <w:r>
        <w:t xml:space="preserve">Coho reproduction rates appear to be correlated with some hydrologic metrics, based on the hydrologic conditions and coho observations in water years 2007-2020 (though these linear models should not be overinterpreted, given the small sample size). The best single-predictor models (Brood Year reconnection dates for 10 and 100 cfs, or BY_recon_10 and BY_recon_100) are both related to the timing of rising fall flows in the Brood Year of each salmon cohort (Table</w:t>
      </w:r>
      <w:r>
        <w:t xml:space="preserve"> </w:t>
      </w:r>
      <w:r>
        <w:t xml:space="preserve">2</w:t>
      </w:r>
      <w:r>
        <w:t xml:space="preserve">).</w:t>
      </w:r>
    </w:p>
    <w:p>
      <w:pPr>
        <w:pStyle w:val="BodyText"/>
      </w:pPr>
      <w:r>
        <w:t xml:space="preserve">The predictor BY_FA_Mag, or the magnitude of the Brood Year fall pulse, was also highly correlated with coho spf (Figure</w:t>
      </w:r>
      <w:r>
        <w:t xml:space="preserve"> </w:t>
      </w:r>
      <w:r>
        <w:t xml:space="preserve">8</w:t>
      </w:r>
      <w:r>
        <w:t xml:space="preserve">). However, because a distinct fall pulse does not occur every year, including it would reduced the sample size to an unacceptable level (i.e., a total of six water years with a complete set of predictors and response observations). Because of this sample size limitation, and because some of the information about this pulse was carried in the reconnection date metric, FA_Mag was excluded from the set of potential predictors.</w:t>
      </w:r>
    </w:p>
    <w:p>
      <w:pPr>
        <w:pStyle w:val="BodyText"/>
      </w:pPr>
      <w:r>
        <w:t xml:space="preserve">The addition of a second predictor clearly improves model performance in terms of predictive power and test error. This is evident in the greater abundance of 2-predictor models with higher R</w:t>
      </w:r>
      <w:r>
        <w:rPr>
          <w:vertAlign w:val="superscript"/>
        </w:rPr>
        <w:t xml:space="preserve">2</w:t>
      </w:r>
      <w:r>
        <w:t xml:space="preserve"> </w:t>
      </w:r>
      <w:r>
        <w:t xml:space="preserve">and lower p-values (Figure</w:t>
      </w:r>
      <w:r>
        <w:t xml:space="preserve"> </w:t>
      </w:r>
      <w:r>
        <w:t xml:space="preserve">10</w:t>
      </w:r>
      <w:r>
        <w:t xml:space="preserve">), as well as in the increased R</w:t>
      </w:r>
      <w:r>
        <w:rPr>
          <w:vertAlign w:val="superscript"/>
        </w:rPr>
        <w:t xml:space="preserve">2</w:t>
      </w:r>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(Tabulated in Tables</w:t>
      </w:r>
      <w:r>
        <w:t xml:space="preserve"> </w:t>
      </w:r>
      <w:r>
        <w:t xml:space="preserve">2</w:t>
      </w:r>
      <w:r>
        <w:t xml:space="preserve"> </w:t>
      </w:r>
      <w:r>
        <w:t xml:space="preserve">and</w:t>
      </w:r>
      <w:r>
        <w:t xml:space="preserve"> </w:t>
      </w:r>
      <w:r>
        <w:t xml:space="preserve">3</w:t>
      </w:r>
      <w:r>
        <w:t xml:space="preserve">; with observed and predicted values shown in Figure</w:t>
      </w:r>
      <w:r>
        <w:t xml:space="preserve"> </w:t>
      </w:r>
      <w:r>
        <w:t xml:space="preserve">11</w:t>
      </w:r>
      <w:r>
        <w:t xml:space="preserve">). The three best two-predictor models included the Brood Year reconnection date for 10 cfs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79" name="Picture"/>
            <a:graphic>
              <a:graphicData uri="http://schemas.openxmlformats.org/drawingml/2006/picture">
                <pic:pic>
                  <pic:nvPicPr>
                    <pic:cNvPr descr="Graphics%20and%20Supplements/Figure%2010.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1"/>
    <w:bookmarkStart w:id="88" w:name="Xb93654a19f263e3fab1f6c524eff053919a9335"/>
    <w:p>
      <w:pPr>
        <w:pStyle w:val="Heading2"/>
      </w:pPr>
      <w:r>
        <w:rPr>
          <w:rStyle w:val="SectionNumber"/>
        </w:rPr>
        <w:t xml:space="preserve">4.4</w:t>
      </w:r>
      <w:r>
        <w:tab/>
      </w:r>
      <w:r>
        <w:t xml:space="preserve">Hydrologic Benefit value over time and component contributions</w:t>
      </w:r>
    </w:p>
    <w:p>
      <w:pPr>
        <w:pStyle w:val="FirstParagraph"/>
      </w:pPr>
      <w:r>
        <w:t xml:space="preserve">Matching the historical flow trends discussed above,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lower-than-40 predicted coho spf.</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is obviously not possible, we chose to retain these impossible values to visually represent uncertainty associated with this modeling exercise (see Discussion for more information).</w:t>
      </w:r>
    </w:p>
    <w:p>
      <w:pPr>
        <w:pStyle w:val="BodyText"/>
      </w:pPr>
      <w:r>
        <w:t xml:space="preserve">The relative contributions of each hydrologic metric to predicted Hydrologic Benefit values (except the intercept term, which is excluded for ease of visualization) is shown in Figure</w:t>
      </w:r>
      <w:r>
        <w:t xml:space="preserve"> </w:t>
      </w:r>
      <w:r>
        <w:t xml:space="preserve">13</w:t>
      </w:r>
      <w:r>
        <w:t xml:space="preserve">.</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1.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6" name="Picture"/>
            <a:graphic>
              <a:graphicData uri="http://schemas.openxmlformats.org/drawingml/2006/picture">
                <pic:pic>
                  <pic:nvPicPr>
                    <pic:cNvPr descr="Graphics%20and%20Supplements/Figure%2012.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88"/>
    <w:bookmarkStart w:id="89" w:name="X47683ace934ce23e483b771e9cbdb6913140c98"/>
    <w:p>
      <w:pPr>
        <w:pStyle w:val="Heading2"/>
      </w:pPr>
      <w:r>
        <w:rPr>
          <w:rStyle w:val="SectionNumber"/>
        </w:rPr>
        <w:t xml:space="preserve">4.5</w:t>
      </w:r>
      <w:r>
        <w:tab/>
      </w:r>
      <w:r>
        <w:t xml:space="preserve">Sensitivity of the Hydrologic Benefit function to one additional data point</w:t>
      </w:r>
    </w:p>
    <w:p>
      <w:pPr>
        <w:pStyle w:val="FirstParagraph"/>
      </w:pPr>
      <w:r>
        <w:t xml:space="preserve">The best-fit HB function weights are relatively sensitive to the addition of one new data point, as can be expected for a small dataset. Assigning a coho spf value of 0 to the missing 2016 observation (brood year 2015)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89"/>
    <w:bookmarkEnd w:id="90"/>
    <w:bookmarkStart w:id="97" w:name="discussion"/>
    <w:p>
      <w:pPr>
        <w:pStyle w:val="Heading1"/>
      </w:pPr>
      <w:r>
        <w:rPr>
          <w:rStyle w:val="SectionNumber"/>
        </w:rPr>
        <w:t xml:space="preserve">5</w:t>
      </w:r>
      <w:r>
        <w:tab/>
      </w:r>
      <w:r>
        <w:t xml:space="preserve">Discussion</w:t>
      </w:r>
    </w:p>
    <w:bookmarkStart w:id="91"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N. Leroy Poff et al. 2010)</w:t>
      </w:r>
      <w:r>
        <w:t xml:space="preserve">. Consequently, a diversity of methods have been used to predict regional ecological responses to changes in key flow metrics. Many regional case studies predict ecological responses in terms of species richness or macroinvertebrate composition at dozens or hundreds of bioassessment sites</w:t>
      </w:r>
      <w:r>
        <w:t xml:space="preserve"> </w:t>
      </w:r>
      <w:r>
        <w:t xml:space="preserve">(e.g., Mazor et al. 2018; McManamay et al. 2013; Hain et al. 2018; White et al. 2018; Larsen et al. 2021; Peek et al. 2022)</w:t>
      </w:r>
      <w:r>
        <w:t xml:space="preserve">, and the temporal framework is often a snapshot of the biological changes between natural and altered flow conditions</w:t>
      </w:r>
      <w:r>
        <w:t xml:space="preserve"> </w:t>
      </w:r>
      <w:r>
        <w:t xml:space="preserve">(Wheeler, Wenger, and Freeman 2018; Peek et al. 2022)</w:t>
      </w:r>
      <w:r>
        <w:t xml:space="preserve">. Methods of generating the predictive models include boosted regression trees</w:t>
      </w:r>
      <w:r>
        <w:t xml:space="preserve"> </w:t>
      </w:r>
      <w:r>
        <w:t xml:space="preserve">(Mazor et al. 2018; Hain et al. 2018)</w:t>
      </w:r>
      <w:r>
        <w:t xml:space="preserve">, stochastic matrix models</w:t>
      </w:r>
      <w:r>
        <w:t xml:space="preserve"> </w:t>
      </w:r>
      <w:r>
        <w:t xml:space="preserve">(Sakaris and Irwin 2010)</w:t>
      </w:r>
      <w:r>
        <w:t xml:space="preserve">, and probabilistic Bayesian Network models</w:t>
      </w:r>
      <w:r>
        <w:t xml:space="preserve"> </w:t>
      </w:r>
      <w:r>
        <w:t xml:space="preserve">(Bestgen et al. 2020)</w:t>
      </w:r>
      <w:r>
        <w:t xml:space="preserve">, among others.</w:t>
      </w:r>
    </w:p>
    <w:p>
      <w:pPr>
        <w:pStyle w:val="BodyText"/>
      </w:pPr>
      <w:r>
        <w:t xml:space="preserve">In most of these studies,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1"/>
    <w:bookmarkStart w:id="92"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2"/>
    <w:bookmarkStart w:id="93"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7"/>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3"/>
    <w:bookmarkStart w:id="94"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4"/>
    <w:bookmarkStart w:id="95"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5"/>
    <w:bookmarkStart w:id="96"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8"/>
        </w:numPr>
        <w:pStyle w:val="Compact"/>
      </w:pPr>
      <w:r>
        <w:t xml:space="preserve">Effective population size</w:t>
      </w:r>
    </w:p>
    <w:p>
      <w:pPr>
        <w:numPr>
          <w:ilvl w:val="0"/>
          <w:numId w:val="1008"/>
        </w:numPr>
        <w:pStyle w:val="Compact"/>
      </w:pPr>
      <w:r>
        <w:t xml:space="preserve">Population size per generation</w:t>
      </w:r>
    </w:p>
    <w:p>
      <w:pPr>
        <w:numPr>
          <w:ilvl w:val="0"/>
          <w:numId w:val="1008"/>
        </w:numPr>
        <w:pStyle w:val="Compact"/>
      </w:pPr>
      <w:r>
        <w:t xml:space="preserve">Population decline (rate of decline)</w:t>
      </w:r>
    </w:p>
    <w:p>
      <w:pPr>
        <w:numPr>
          <w:ilvl w:val="0"/>
          <w:numId w:val="1008"/>
        </w:numPr>
        <w:pStyle w:val="Compact"/>
      </w:pPr>
      <w:r>
        <w:t xml:space="preserve">Catastrophic decline (order of magnitude decline within 1 generation)</w:t>
      </w:r>
    </w:p>
    <w:p>
      <w:pPr>
        <w:numPr>
          <w:ilvl w:val="0"/>
          <w:numId w:val="1008"/>
        </w:numPr>
        <w:pStyle w:val="Compact"/>
      </w:pPr>
      <w:r>
        <w:t xml:space="preserve">Spawner density</w:t>
      </w:r>
    </w:p>
    <w:p>
      <w:pPr>
        <w:numPr>
          <w:ilvl w:val="0"/>
          <w:numId w:val="1008"/>
        </w:numPr>
        <w:pStyle w:val="Compact"/>
      </w:pPr>
      <w:r>
        <w:t xml:space="preserve">Potential spatial habitat capacity, in units of Intrinsic Potential (IP)</w:t>
      </w:r>
    </w:p>
    <w:p>
      <w:pPr>
        <w:numPr>
          <w:ilvl w:val="0"/>
          <w:numId w:val="1008"/>
        </w:numPr>
        <w:pStyle w:val="Compact"/>
      </w:pPr>
      <w:r>
        <w:t xml:space="preserve">Hatchery influence</w:t>
      </w:r>
    </w:p>
    <w:p>
      <w:pPr>
        <w:numPr>
          <w:ilvl w:val="0"/>
          <w:numId w:val="1008"/>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6"/>
    <w:bookmarkEnd w:id="97"/>
    <w:bookmarkStart w:id="250"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49" w:name="refs"/>
    <w:bookmarkStart w:id="9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98">
        <w:r>
          <w:rPr>
            <w:rStyle w:val="Hyperlink"/>
          </w:rPr>
          <w:t xml:space="preserve">https://doi.org/10.1890/130134</w:t>
        </w:r>
      </w:hyperlink>
      <w:r>
        <w:t xml:space="preserve">.</w:t>
      </w:r>
    </w:p>
    <w:bookmarkEnd w:id="99"/>
    <w:bookmarkStart w:id="100"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0"/>
    <w:bookmarkStart w:id="102"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1">
        <w:r>
          <w:rPr>
            <w:rStyle w:val="Hyperlink"/>
          </w:rPr>
          <w:t xml:space="preserve">https://doi.org/10.1890/1540-9295(2006)4[309:IFNISA]2.0.CO;2</w:t>
        </w:r>
      </w:hyperlink>
      <w:r>
        <w:t xml:space="preserve">.</w:t>
      </w:r>
    </w:p>
    <w:bookmarkEnd w:id="102"/>
    <w:bookmarkStart w:id="104"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3">
        <w:r>
          <w:rPr>
            <w:rStyle w:val="Hyperlink"/>
          </w:rPr>
          <w:t xml:space="preserve">https://doi.org/10.1002/rra</w:t>
        </w:r>
      </w:hyperlink>
      <w:r>
        <w:t xml:space="preserve">.</w:t>
      </w:r>
    </w:p>
    <w:bookmarkEnd w:id="104"/>
    <w:bookmarkStart w:id="106" w:name="ref-Bestgen2020"/>
    <w:p>
      <w:pPr>
        <w:pStyle w:val="Bibliography"/>
      </w:pPr>
      <w:r>
        <w:t xml:space="preserve">Bestgen, Kevin R., N. Le Roy Poff, Daniel W. Baker, Brian P. Bledsoe, David M. Merritt, Mark Lorie, Gregor T. Auble, John S. Sanderson, and Boris C. Kondratieff. 2020.</w:t>
      </w:r>
      <w:r>
        <w:t xml:space="preserve"> </w:t>
      </w:r>
      <w:r>
        <w:t xml:space="preserve">“</w:t>
      </w:r>
      <w:r>
        <w:t xml:space="preserve">Designing flows to enhance ecosystem functioning in heavily altered rivers</w:t>
      </w:r>
      <w:r>
        <w:t xml:space="preserve">.”</w:t>
      </w:r>
      <w:r>
        <w:t xml:space="preserve"> </w:t>
      </w:r>
      <w:r>
        <w:rPr>
          <w:iCs/>
          <w:i/>
        </w:rPr>
        <w:t xml:space="preserve">Ecological Applications</w:t>
      </w:r>
      <w:r>
        <w:t xml:space="preserve"> </w:t>
      </w:r>
      <w:r>
        <w:t xml:space="preserve">30 (1): 1–19.</w:t>
      </w:r>
      <w:r>
        <w:t xml:space="preserve"> </w:t>
      </w:r>
      <w:hyperlink r:id="rId105">
        <w:r>
          <w:rPr>
            <w:rStyle w:val="Hyperlink"/>
          </w:rPr>
          <w:t xml:space="preserve">https://doi.org/10.1002/eap.2005</w:t>
        </w:r>
      </w:hyperlink>
      <w:r>
        <w:t xml:space="preserve">.</w:t>
      </w:r>
    </w:p>
    <w:bookmarkEnd w:id="106"/>
    <w:bookmarkStart w:id="108"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7">
        <w:r>
          <w:rPr>
            <w:rStyle w:val="Hyperlink"/>
          </w:rPr>
          <w:t xml:space="preserve">https://doi.org/10.2307/1446234</w:t>
        </w:r>
      </w:hyperlink>
      <w:r>
        <w:t xml:space="preserve">.</w:t>
      </w:r>
    </w:p>
    <w:bookmarkEnd w:id="108"/>
    <w:bookmarkStart w:id="110"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09">
        <w:r>
          <w:rPr>
            <w:rStyle w:val="Hyperlink"/>
          </w:rPr>
          <w:t xml:space="preserve">https://doi.org/10.1007/s11160-016-9432-3</w:t>
        </w:r>
      </w:hyperlink>
      <w:r>
        <w:t xml:space="preserve">.</w:t>
      </w:r>
    </w:p>
    <w:bookmarkEnd w:id="110"/>
    <w:bookmarkStart w:id="112"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1">
        <w:r>
          <w:rPr>
            <w:rStyle w:val="Hyperlink"/>
          </w:rPr>
          <w:t xml:space="preserve">https://doi.org/10.1577/1548-8659(1997)126&lt;0049</w:t>
        </w:r>
      </w:hyperlink>
      <w:r>
        <w:t xml:space="preserve">.</w:t>
      </w:r>
    </w:p>
    <w:bookmarkEnd w:id="112"/>
    <w:bookmarkStart w:id="11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3">
        <w:r>
          <w:rPr>
            <w:rStyle w:val="Hyperlink"/>
          </w:rPr>
          <w:t xml:space="preserve">https://doi.org/10.1577/1548-8675(1994)014&lt;0237:hdacso&gt;2.3.co;2</w:t>
        </w:r>
      </w:hyperlink>
      <w:r>
        <w:t xml:space="preserve">.</w:t>
      </w:r>
    </w:p>
    <w:bookmarkEnd w:id="114"/>
    <w:bookmarkStart w:id="116" w:name="ref-Bunn2002"/>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5">
        <w:r>
          <w:rPr>
            <w:rStyle w:val="Hyperlink"/>
          </w:rPr>
          <w:t xml:space="preserve">https://doi.org/10.1007/s00267-002-2737-0</w:t>
        </w:r>
      </w:hyperlink>
      <w:r>
        <w:t xml:space="preserve">.</w:t>
      </w:r>
    </w:p>
    <w:bookmarkEnd w:id="116"/>
    <w:bookmarkStart w:id="117"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7"/>
    <w:bookmarkStart w:id="119"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18">
        <w:r>
          <w:rPr>
            <w:rStyle w:val="Hyperlink"/>
          </w:rPr>
          <w:t xml:space="preserve">https://www.fs.usda.gov/Internet/FSE{\_}DOCUMENTS/stelprd3850544.pdf</w:t>
        </w:r>
      </w:hyperlink>
      <w:r>
        <w:t xml:space="preserve">.</w:t>
      </w:r>
    </w:p>
    <w:bookmarkEnd w:id="119"/>
    <w:bookmarkStart w:id="121"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0">
        <w:r>
          <w:rPr>
            <w:rStyle w:val="Hyperlink"/>
          </w:rPr>
          <w:t xml:space="preserve">http://www.fgc.ca.gov/meetings/2015/Aug/Exhibits/0805{\_}Item{\_}38{\_}CohoStatusReport.pdf</w:t>
        </w:r>
      </w:hyperlink>
      <w:r>
        <w:t xml:space="preserve">.</w:t>
      </w:r>
    </w:p>
    <w:bookmarkEnd w:id="121"/>
    <w:bookmarkStart w:id="123"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2">
        <w:r>
          <w:rPr>
            <w:rStyle w:val="Hyperlink"/>
          </w:rPr>
          <w:t xml:space="preserve">https://wildlife.ca.gov/Conservation/Watersheds/Instream-Flow/Studies/Scott-Shasta-Study</w:t>
        </w:r>
      </w:hyperlink>
      <w:r>
        <w:t xml:space="preserve">.</w:t>
      </w:r>
    </w:p>
    <w:bookmarkEnd w:id="123"/>
    <w:bookmarkStart w:id="124"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4"/>
    <w:bookmarkStart w:id="126"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5">
        <w:r>
          <w:rPr>
            <w:rStyle w:val="Hyperlink"/>
          </w:rPr>
          <w:t xml:space="preserve">https://www.waterboards.ca.gov/drought/scott{\_}shasta{\_}rivers/docs/2022/klamath-reg-oal-approval-2022.pdf</w:t>
        </w:r>
      </w:hyperlink>
      <w:r>
        <w:t xml:space="preserve">.</w:t>
      </w:r>
    </w:p>
    <w:bookmarkEnd w:id="126"/>
    <w:bookmarkStart w:id="127"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7"/>
    <w:bookmarkStart w:id="129"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28">
        <w:r>
          <w:rPr>
            <w:rStyle w:val="Hyperlink"/>
          </w:rPr>
          <w:t xml:space="preserve">https://doi.org/10.1111/j.0022-1112.2004.00486.x</w:t>
        </w:r>
      </w:hyperlink>
      <w:r>
        <w:t xml:space="preserve">.</w:t>
      </w:r>
    </w:p>
    <w:bookmarkEnd w:id="129"/>
    <w:bookmarkStart w:id="13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0">
        <w:r>
          <w:rPr>
            <w:rStyle w:val="Hyperlink"/>
          </w:rPr>
          <w:t xml:space="preserve">https://doi.org/10.3733/ca.v054n06p46</w:t>
        </w:r>
      </w:hyperlink>
      <w:r>
        <w:t xml:space="preserve">.</w:t>
      </w:r>
    </w:p>
    <w:bookmarkEnd w:id="131"/>
    <w:bookmarkStart w:id="13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2">
        <w:r>
          <w:rPr>
            <w:rStyle w:val="Hyperlink"/>
          </w:rPr>
          <w:t xml:space="preserve">https://water.ca.gov/Programs/Water-Use-And-Efficiency/Land-And-Water-Use/Agricultural-Land-And-Water-Use-Estimates</w:t>
        </w:r>
      </w:hyperlink>
      <w:r>
        <w:t xml:space="preserve">.</w:t>
      </w:r>
    </w:p>
    <w:bookmarkEnd w:id="133"/>
    <w:bookmarkStart w:id="13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4">
        <w:r>
          <w:rPr>
            <w:rStyle w:val="Hyperlink"/>
          </w:rPr>
          <w:t xml:space="preserve">http://groundwater.ucdavis.edu/files/165395.pdf</w:t>
        </w:r>
      </w:hyperlink>
      <w:r>
        <w:t xml:space="preserve">.</w:t>
      </w:r>
    </w:p>
    <w:bookmarkEnd w:id="135"/>
    <w:bookmarkStart w:id="137"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6">
        <w:r>
          <w:rPr>
            <w:rStyle w:val="Hyperlink"/>
          </w:rPr>
          <w:t xml:space="preserve">https://kbifrm.psmfc.org/wp-content/uploads/2016/12/Graham{\_}2012{\_}0010{\_}Klamath-River-Basin-Restoration-Nonuse-Value-Survey-Final-Report.pdf</w:t>
        </w:r>
      </w:hyperlink>
      <w:r>
        <w:t xml:space="preserve">.</w:t>
      </w:r>
    </w:p>
    <w:bookmarkEnd w:id="137"/>
    <w:bookmarkStart w:id="13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38">
        <w:r>
          <w:rPr>
            <w:rStyle w:val="Hyperlink"/>
          </w:rPr>
          <w:t xml:space="preserve">https://doi.org/10.1111/fwb.13048</w:t>
        </w:r>
      </w:hyperlink>
      <w:r>
        <w:t xml:space="preserve">.</w:t>
      </w:r>
    </w:p>
    <w:bookmarkEnd w:id="139"/>
    <w:bookmarkStart w:id="141"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0">
        <w:r>
          <w:rPr>
            <w:rStyle w:val="Hyperlink"/>
          </w:rPr>
          <w:t xml:space="preserve">http://groundwater.ucdavis.edu/files/136426.pdf</w:t>
        </w:r>
      </w:hyperlink>
      <w:r>
        <w:t xml:space="preserve">.</w:t>
      </w:r>
    </w:p>
    <w:bookmarkEnd w:id="141"/>
    <w:bookmarkStart w:id="142"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2"/>
    <w:bookmarkStart w:id="143"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3"/>
    <w:bookmarkStart w:id="145"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4">
        <w:r>
          <w:rPr>
            <w:rStyle w:val="Hyperlink"/>
          </w:rPr>
          <w:t xml:space="preserve">https://doi.org/10.1007/978-1-4614-7138-7</w:t>
        </w:r>
      </w:hyperlink>
      <w:r>
        <w:t xml:space="preserve">.</w:t>
      </w:r>
    </w:p>
    <w:bookmarkEnd w:id="145"/>
    <w:bookmarkStart w:id="147"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6">
        <w:r>
          <w:rPr>
            <w:rStyle w:val="Hyperlink"/>
          </w:rPr>
          <w:t xml:space="preserve">https://nrm.dfg.ca.gov/FileHandler.ashx?DocumentID=77836</w:t>
        </w:r>
      </w:hyperlink>
      <w:r>
        <w:t xml:space="preserve">.</w:t>
      </w:r>
    </w:p>
    <w:bookmarkEnd w:id="147"/>
    <w:bookmarkStart w:id="148"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48"/>
    <w:bookmarkStart w:id="149"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49"/>
    <w:bookmarkStart w:id="150"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3">
        <w:r>
          <w:rPr>
            <w:rStyle w:val="Hyperlink"/>
          </w:rPr>
          <w:t xml:space="preserve">https://doi.org/10.1002/rra</w:t>
        </w:r>
      </w:hyperlink>
      <w:r>
        <w:t xml:space="preserve">.</w:t>
      </w:r>
    </w:p>
    <w:bookmarkEnd w:id="150"/>
    <w:bookmarkStart w:id="152"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1">
        <w:r>
          <w:rPr>
            <w:rStyle w:val="Hyperlink"/>
          </w:rPr>
          <w:t xml:space="preserve">https://doi.org/10.1029/2020WR028496</w:t>
        </w:r>
      </w:hyperlink>
      <w:r>
        <w:t xml:space="preserve">.</w:t>
      </w:r>
    </w:p>
    <w:bookmarkEnd w:id="152"/>
    <w:bookmarkStart w:id="15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3">
        <w:r>
          <w:rPr>
            <w:rStyle w:val="Hyperlink"/>
          </w:rPr>
          <w:t xml:space="preserve">https://pubs.usgs.gov/wsp/1462/report.pdf</w:t>
        </w:r>
      </w:hyperlink>
      <w:r>
        <w:t xml:space="preserve">.</w:t>
      </w:r>
    </w:p>
    <w:bookmarkEnd w:id="154"/>
    <w:bookmarkStart w:id="15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5"/>
    <w:bookmarkStart w:id="15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6"/>
    <w:bookmarkStart w:id="15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7">
        <w:r>
          <w:rPr>
            <w:rStyle w:val="Hyperlink"/>
          </w:rPr>
          <w:t xml:space="preserve">https://doi.org/10.1111/fwb.13062</w:t>
        </w:r>
      </w:hyperlink>
      <w:r>
        <w:t xml:space="preserve">.</w:t>
      </w:r>
    </w:p>
    <w:bookmarkEnd w:id="158"/>
    <w:bookmarkStart w:id="15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59"/>
    <w:bookmarkStart w:id="16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0">
        <w:r>
          <w:rPr>
            <w:rStyle w:val="Hyperlink"/>
          </w:rPr>
          <w:t xml:space="preserve">https://doi.org/10.1007/s00267-013-0055-3</w:t>
        </w:r>
      </w:hyperlink>
      <w:r>
        <w:t xml:space="preserve">.</w:t>
      </w:r>
    </w:p>
    <w:bookmarkEnd w:id="161"/>
    <w:bookmarkStart w:id="16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2"/>
    <w:bookmarkStart w:id="16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3">
        <w:r>
          <w:rPr>
            <w:rStyle w:val="Hyperlink"/>
          </w:rPr>
          <w:t xml:space="preserve">https://doi.org/10.1002/rra</w:t>
        </w:r>
      </w:hyperlink>
      <w:r>
        <w:t xml:space="preserve">.</w:t>
      </w:r>
    </w:p>
    <w:bookmarkEnd w:id="163"/>
    <w:bookmarkStart w:id="165"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4">
        <w:r>
          <w:rPr>
            <w:rStyle w:val="Hyperlink"/>
          </w:rPr>
          <w:t xml:space="preserve">https://www.waterboards.ca.gov/water{\_}issues/programs/tmdl/records/region{\_}1/2010/ref3872.pdf</w:t>
        </w:r>
      </w:hyperlink>
      <w:r>
        <w:t xml:space="preserve">.</w:t>
      </w:r>
    </w:p>
    <w:bookmarkEnd w:id="165"/>
    <w:bookmarkStart w:id="16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6"/>
    <w:bookmarkStart w:id="168"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7">
        <w:r>
          <w:rPr>
            <w:rStyle w:val="Hyperlink"/>
          </w:rPr>
          <w:t xml:space="preserve">https://www.fisheries.noaa.gov/resource/document/final-recovery-plan-southern-oregon-northern-california-coast-evolutionarily</w:t>
        </w:r>
      </w:hyperlink>
      <w:r>
        <w:t xml:space="preserve">.</w:t>
      </w:r>
    </w:p>
    <w:bookmarkEnd w:id="168"/>
    <w:bookmarkStart w:id="170"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69">
        <w:r>
          <w:rPr>
            <w:rStyle w:val="Hyperlink"/>
          </w:rPr>
          <w:t xml:space="preserve">https://doi.org/10.1002/rra.700</w:t>
        </w:r>
      </w:hyperlink>
      <w:r>
        <w:t xml:space="preserve">.</w:t>
      </w:r>
    </w:p>
    <w:bookmarkEnd w:id="170"/>
    <w:bookmarkStart w:id="17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1">
        <w:r>
          <w:rPr>
            <w:rStyle w:val="Hyperlink"/>
          </w:rPr>
          <w:t xml:space="preserve">https://doi.org/10.1017/CBO9781107415324.004</w:t>
        </w:r>
      </w:hyperlink>
      <w:r>
        <w:t xml:space="preserve">.</w:t>
      </w:r>
    </w:p>
    <w:bookmarkEnd w:id="172"/>
    <w:bookmarkStart w:id="17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3"/>
    <w:bookmarkStart w:id="175"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4">
        <w:r>
          <w:rPr>
            <w:rStyle w:val="Hyperlink"/>
          </w:rPr>
          <w:t xml:space="preserve">https://doi.org/10.3389/fenvs.2021.790667</w:t>
        </w:r>
      </w:hyperlink>
      <w:r>
        <w:t xml:space="preserve">.</w:t>
      </w:r>
    </w:p>
    <w:bookmarkEnd w:id="175"/>
    <w:bookmarkStart w:id="177"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6">
        <w:r>
          <w:rPr>
            <w:rStyle w:val="Hyperlink"/>
          </w:rPr>
          <w:t xml:space="preserve">https://doi.org/10.2307/1313099</w:t>
        </w:r>
      </w:hyperlink>
      <w:r>
        <w:t xml:space="preserve">.</w:t>
      </w:r>
    </w:p>
    <w:bookmarkEnd w:id="177"/>
    <w:bookmarkStart w:id="179" w:name="ref-Poff2010"/>
    <w:p>
      <w:pPr>
        <w:pStyle w:val="Bibliography"/>
      </w:pPr>
      <w:r>
        <w:t xml:space="preserve">Poff, N. Leroy,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78">
        <w:r>
          <w:rPr>
            <w:rStyle w:val="Hyperlink"/>
          </w:rPr>
          <w:t xml:space="preserve">https://doi.org/10.1111/j.1365-2427.2009.02204.x</w:t>
        </w:r>
      </w:hyperlink>
      <w:r>
        <w:t xml:space="preserve">.</w:t>
      </w:r>
    </w:p>
    <w:bookmarkEnd w:id="179"/>
    <w:bookmarkStart w:id="18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78">
        <w:r>
          <w:rPr>
            <w:rStyle w:val="Hyperlink"/>
          </w:rPr>
          <w:t xml:space="preserve">https://doi.org/10.1111/j.1365-2427.2009.02204.x</w:t>
        </w:r>
      </w:hyperlink>
      <w:r>
        <w:t xml:space="preserve">.</w:t>
      </w:r>
    </w:p>
    <w:bookmarkEnd w:id="180"/>
    <w:bookmarkStart w:id="18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1">
        <w:r>
          <w:rPr>
            <w:rStyle w:val="Hyperlink"/>
          </w:rPr>
          <w:t xml:space="preserve">https://doi.org/10.1111/j.1365-2427.2009.02272.x</w:t>
        </w:r>
      </w:hyperlink>
      <w:r>
        <w:t xml:space="preserve">.</w:t>
      </w:r>
    </w:p>
    <w:bookmarkEnd w:id="182"/>
    <w:bookmarkStart w:id="184"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3">
        <w:r>
          <w:rPr>
            <w:rStyle w:val="Hyperlink"/>
          </w:rPr>
          <w:t xml:space="preserve">https://www.siskiyourcd.com/resources</w:t>
        </w:r>
      </w:hyperlink>
      <w:r>
        <w:t xml:space="preserve">.</w:t>
      </w:r>
    </w:p>
    <w:bookmarkEnd w:id="184"/>
    <w:bookmarkStart w:id="186"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5">
        <w:r>
          <w:rPr>
            <w:rStyle w:val="Hyperlink"/>
          </w:rPr>
          <w:t xml:space="preserve">https://doi.org/10.1371/journal.pone.0098392</w:t>
        </w:r>
      </w:hyperlink>
      <w:r>
        <w:t xml:space="preserve">.</w:t>
      </w:r>
    </w:p>
    <w:bookmarkEnd w:id="186"/>
    <w:bookmarkStart w:id="188"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87">
        <w:r>
          <w:rPr>
            <w:rStyle w:val="Hyperlink"/>
          </w:rPr>
          <w:t xml:space="preserve">https://doi.org/10.2307/3868443</w:t>
        </w:r>
      </w:hyperlink>
      <w:r>
        <w:t xml:space="preserve">.</w:t>
      </w:r>
    </w:p>
    <w:bookmarkEnd w:id="188"/>
    <w:bookmarkStart w:id="190"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89">
        <w:r>
          <w:rPr>
            <w:rStyle w:val="Hyperlink"/>
          </w:rPr>
          <w:t xml:space="preserve">https://doi.org/10.1577/t01-126</w:t>
        </w:r>
      </w:hyperlink>
      <w:r>
        <w:t xml:space="preserve">.</w:t>
      </w:r>
    </w:p>
    <w:bookmarkEnd w:id="190"/>
    <w:bookmarkStart w:id="192" w:name="ref-Sakaris2010a"/>
    <w:p>
      <w:pPr>
        <w:pStyle w:val="Bibliography"/>
      </w:pPr>
      <w:r>
        <w:t xml:space="preserve">Sakaris, Peter C., and Elise R. Irwin. 2010.</w:t>
      </w:r>
      <w:r>
        <w:t xml:space="preserve"> </w:t>
      </w:r>
      <w:r>
        <w:t xml:space="preserve">“</w:t>
      </w:r>
      <w:r>
        <w:t xml:space="preserve">Tuning stochastic matrix models with hydrologic data to predict the population dynamics of a riverine fish</w:t>
      </w:r>
      <w:r>
        <w:t xml:space="preserve">.”</w:t>
      </w:r>
      <w:r>
        <w:t xml:space="preserve"> </w:t>
      </w:r>
      <w:r>
        <w:rPr>
          <w:iCs/>
          <w:i/>
        </w:rPr>
        <w:t xml:space="preserve">Ecological Applications</w:t>
      </w:r>
      <w:r>
        <w:t xml:space="preserve"> </w:t>
      </w:r>
      <w:r>
        <w:t xml:space="preserve">20 (2): 483–96.</w:t>
      </w:r>
      <w:r>
        <w:t xml:space="preserve"> </w:t>
      </w:r>
      <w:hyperlink r:id="rId191">
        <w:r>
          <w:rPr>
            <w:rStyle w:val="Hyperlink"/>
          </w:rPr>
          <w:t xml:space="preserve">https://doi.org/10.1890/08-0305.1</w:t>
        </w:r>
      </w:hyperlink>
      <w:r>
        <w:t xml:space="preserve">.</w:t>
      </w:r>
    </w:p>
    <w:bookmarkEnd w:id="192"/>
    <w:bookmarkStart w:id="194"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3">
        <w:r>
          <w:rPr>
            <w:rStyle w:val="Hyperlink"/>
          </w:rPr>
          <w:t xml:space="preserve">https://www.scottwatertrust.org/blank</w:t>
        </w:r>
      </w:hyperlink>
      <w:r>
        <w:t xml:space="preserve">.</w:t>
      </w:r>
    </w:p>
    <w:bookmarkEnd w:id="194"/>
    <w:bookmarkStart w:id="19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5"/>
    <w:bookmarkStart w:id="19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6">
        <w:r>
          <w:rPr>
            <w:rStyle w:val="Hyperlink"/>
          </w:rPr>
          <w:t xml:space="preserve">https://doi.org/10.1007/s00267-012-9864-z</w:t>
        </w:r>
      </w:hyperlink>
      <w:r>
        <w:t xml:space="preserve">.</w:t>
      </w:r>
    </w:p>
    <w:bookmarkEnd w:id="197"/>
    <w:bookmarkStart w:id="199"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8">
        <w:r>
          <w:rPr>
            <w:rStyle w:val="Hyperlink"/>
          </w:rPr>
          <w:t xml:space="preserve">https://www.co.siskiyou.ca.us/naturalresources/page/scott-valley-gsp-chapters</w:t>
        </w:r>
      </w:hyperlink>
      <w:r>
        <w:t xml:space="preserve">.</w:t>
      </w:r>
    </w:p>
    <w:bookmarkEnd w:id="199"/>
    <w:bookmarkStart w:id="201"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0">
        <w:r>
          <w:rPr>
            <w:rStyle w:val="Hyperlink"/>
          </w:rPr>
          <w:t xml:space="preserve">https://www.co.siskiyou.ca.us/scottvga/page/scott-valley-groundwater-advisory-committee-meeting-10</w:t>
        </w:r>
      </w:hyperlink>
      <w:r>
        <w:t xml:space="preserve">.</w:t>
      </w:r>
    </w:p>
    <w:bookmarkEnd w:id="201"/>
    <w:bookmarkStart w:id="20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2"/>
    <w:bookmarkStart w:id="20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3">
        <w:r>
          <w:rPr>
            <w:rStyle w:val="Hyperlink"/>
          </w:rPr>
          <w:t xml:space="preserve">https://www.siskiyourcd.com/resources</w:t>
        </w:r>
      </w:hyperlink>
      <w:r>
        <w:t xml:space="preserve">.</w:t>
      </w:r>
    </w:p>
    <w:bookmarkEnd w:id="203"/>
    <w:bookmarkStart w:id="20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3">
        <w:r>
          <w:rPr>
            <w:rStyle w:val="Hyperlink"/>
          </w:rPr>
          <w:t xml:space="preserve">https://www.siskiyourcd.com/resources</w:t>
        </w:r>
      </w:hyperlink>
      <w:r>
        <w:t xml:space="preserve">.</w:t>
      </w:r>
    </w:p>
    <w:bookmarkEnd w:id="204"/>
    <w:bookmarkStart w:id="20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3">
        <w:r>
          <w:rPr>
            <w:rStyle w:val="Hyperlink"/>
          </w:rPr>
          <w:t xml:space="preserve">https://www.siskiyourcd.com/resources</w:t>
        </w:r>
      </w:hyperlink>
      <w:r>
        <w:t xml:space="preserve">.</w:t>
      </w:r>
    </w:p>
    <w:bookmarkEnd w:id="205"/>
    <w:bookmarkStart w:id="20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3">
        <w:r>
          <w:rPr>
            <w:rStyle w:val="Hyperlink"/>
          </w:rPr>
          <w:t xml:space="preserve">https://www.siskiyourcd.com/resources</w:t>
        </w:r>
      </w:hyperlink>
      <w:r>
        <w:t xml:space="preserve">.</w:t>
      </w:r>
    </w:p>
    <w:bookmarkEnd w:id="206"/>
    <w:bookmarkStart w:id="20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3">
        <w:r>
          <w:rPr>
            <w:rStyle w:val="Hyperlink"/>
          </w:rPr>
          <w:t xml:space="preserve">https://www.siskiyourcd.com/resources</w:t>
        </w:r>
      </w:hyperlink>
      <w:r>
        <w:t xml:space="preserve">.</w:t>
      </w:r>
    </w:p>
    <w:bookmarkEnd w:id="207"/>
    <w:bookmarkStart w:id="20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3">
        <w:r>
          <w:rPr>
            <w:rStyle w:val="Hyperlink"/>
          </w:rPr>
          <w:t xml:space="preserve">https://www.siskiyourcd.com/resources</w:t>
        </w:r>
      </w:hyperlink>
      <w:r>
        <w:t xml:space="preserve">.</w:t>
      </w:r>
    </w:p>
    <w:bookmarkEnd w:id="208"/>
    <w:bookmarkStart w:id="20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3">
        <w:r>
          <w:rPr>
            <w:rStyle w:val="Hyperlink"/>
          </w:rPr>
          <w:t xml:space="preserve">https://www.siskiyourcd.com/resources</w:t>
        </w:r>
      </w:hyperlink>
      <w:r>
        <w:t xml:space="preserve">.</w:t>
      </w:r>
    </w:p>
    <w:bookmarkEnd w:id="209"/>
    <w:bookmarkStart w:id="21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3">
        <w:r>
          <w:rPr>
            <w:rStyle w:val="Hyperlink"/>
          </w:rPr>
          <w:t xml:space="preserve">https://www.siskiyourcd.com/resources</w:t>
        </w:r>
      </w:hyperlink>
      <w:r>
        <w:t xml:space="preserve">.</w:t>
      </w:r>
    </w:p>
    <w:bookmarkEnd w:id="210"/>
    <w:bookmarkStart w:id="21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3">
        <w:r>
          <w:rPr>
            <w:rStyle w:val="Hyperlink"/>
          </w:rPr>
          <w:t xml:space="preserve">https://www.siskiyourcd.com/resources</w:t>
        </w:r>
      </w:hyperlink>
      <w:r>
        <w:t xml:space="preserve">.</w:t>
      </w:r>
    </w:p>
    <w:bookmarkEnd w:id="211"/>
    <w:bookmarkStart w:id="21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3">
        <w:r>
          <w:rPr>
            <w:rStyle w:val="Hyperlink"/>
          </w:rPr>
          <w:t xml:space="preserve">https://www.siskiyourcd.com/resources</w:t>
        </w:r>
      </w:hyperlink>
      <w:r>
        <w:t xml:space="preserve">.</w:t>
      </w:r>
    </w:p>
    <w:bookmarkEnd w:id="212"/>
    <w:bookmarkStart w:id="21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3">
        <w:r>
          <w:rPr>
            <w:rStyle w:val="Hyperlink"/>
          </w:rPr>
          <w:t xml:space="preserve">https://www.siskiyourcd.com/resources</w:t>
        </w:r>
      </w:hyperlink>
      <w:r>
        <w:t xml:space="preserve">.</w:t>
      </w:r>
    </w:p>
    <w:bookmarkEnd w:id="213"/>
    <w:bookmarkStart w:id="21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3">
        <w:r>
          <w:rPr>
            <w:rStyle w:val="Hyperlink"/>
          </w:rPr>
          <w:t xml:space="preserve">https://www.siskiyourcd.com/resources</w:t>
        </w:r>
      </w:hyperlink>
      <w:r>
        <w:t xml:space="preserve">.</w:t>
      </w:r>
    </w:p>
    <w:bookmarkEnd w:id="214"/>
    <w:bookmarkStart w:id="21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3">
        <w:r>
          <w:rPr>
            <w:rStyle w:val="Hyperlink"/>
          </w:rPr>
          <w:t xml:space="preserve">https://www.siskiyourcd.com/resources</w:t>
        </w:r>
      </w:hyperlink>
      <w:r>
        <w:t xml:space="preserve">.</w:t>
      </w:r>
    </w:p>
    <w:bookmarkEnd w:id="215"/>
    <w:bookmarkStart w:id="21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6">
        <w:r>
          <w:rPr>
            <w:rStyle w:val="Hyperlink"/>
          </w:rPr>
          <w:t xml:space="preserve">https://doi.org/10.1002/eco.1745</w:t>
        </w:r>
      </w:hyperlink>
      <w:r>
        <w:t xml:space="preserve">.</w:t>
      </w:r>
    </w:p>
    <w:bookmarkEnd w:id="217"/>
    <w:bookmarkStart w:id="21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8"/>
    <w:bookmarkStart w:id="219"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19"/>
    <w:bookmarkStart w:id="221"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0">
        <w:r>
          <w:rPr>
            <w:rStyle w:val="Hyperlink"/>
          </w:rPr>
          <w:t xml:space="preserve">https://www.scottriverwatershedcouncil.com/scott-river-westside-planning-proje</w:t>
        </w:r>
      </w:hyperlink>
      <w:r>
        <w:t xml:space="preserve">.</w:t>
      </w:r>
    </w:p>
    <w:bookmarkEnd w:id="221"/>
    <w:bookmarkStart w:id="222" w:name="ref-CRMP2000"/>
    <w:p>
      <w:pPr>
        <w:pStyle w:val="Bibliography"/>
      </w:pPr>
      <w:r>
        <w:t xml:space="preserve">SRWC-CRMP. 2000.</w:t>
      </w:r>
      <w:r>
        <w:t xml:space="preserve"> </w:t>
      </w:r>
      <w:r>
        <w:t xml:space="preserve">“</w:t>
      </w:r>
      <w:r>
        <w:t xml:space="preserve">Final Report</w:t>
      </w:r>
      <w:r>
        <w:t xml:space="preserve">.”</w:t>
      </w:r>
    </w:p>
    <w:bookmarkEnd w:id="222"/>
    <w:bookmarkStart w:id="223"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3"/>
    <w:bookmarkStart w:id="225"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4">
        <w:r>
          <w:rPr>
            <w:rStyle w:val="Hyperlink"/>
          </w:rPr>
          <w:t xml:space="preserve">https://www.waterboards.ca.gov/waterrights/board{\_}decisions/adopted{\_}orders/judgments/docs/scottriver{\_}jd.pdf</w:t>
        </w:r>
      </w:hyperlink>
      <w:r>
        <w:t xml:space="preserve">.</w:t>
      </w:r>
    </w:p>
    <w:bookmarkEnd w:id="225"/>
    <w:bookmarkStart w:id="226"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6"/>
    <w:bookmarkStart w:id="228"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7">
        <w:r>
          <w:rPr>
            <w:rStyle w:val="Hyperlink"/>
          </w:rPr>
          <w:t xml:space="preserve">https://doi.org/10.1029/2018WR024209</w:t>
        </w:r>
      </w:hyperlink>
      <w:r>
        <w:t xml:space="preserve">.</w:t>
      </w:r>
    </w:p>
    <w:bookmarkEnd w:id="228"/>
    <w:bookmarkStart w:id="230"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29">
        <w:r>
          <w:rPr>
            <w:rStyle w:val="Hyperlink"/>
          </w:rPr>
          <w:t xml:space="preserve">https://data.census.gov/cedsci</w:t>
        </w:r>
      </w:hyperlink>
      <w:r>
        <w:t xml:space="preserve">.</w:t>
      </w:r>
    </w:p>
    <w:bookmarkEnd w:id="230"/>
    <w:bookmarkStart w:id="232"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1">
        <w:r>
          <w:rPr>
            <w:rStyle w:val="Hyperlink"/>
          </w:rPr>
          <w:t xml:space="preserve">https://doi.org/10.1111/j.1752-1688.2008.00212.x</w:t>
        </w:r>
      </w:hyperlink>
      <w:r>
        <w:t xml:space="preserve">.</w:t>
      </w:r>
    </w:p>
    <w:bookmarkEnd w:id="232"/>
    <w:bookmarkStart w:id="234"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3">
        <w:r>
          <w:rPr>
            <w:rStyle w:val="Hyperlink"/>
          </w:rPr>
          <w:t xml:space="preserve">https://swfsc-publications.fisheries.noaa.gov/publications/CR/2013/2013Wainwright.pdf</w:t>
        </w:r>
      </w:hyperlink>
      <w:r>
        <w:t xml:space="preserve">.</w:t>
      </w:r>
    </w:p>
    <w:bookmarkEnd w:id="234"/>
    <w:bookmarkStart w:id="236"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5">
        <w:r>
          <w:rPr>
            <w:rStyle w:val="Hyperlink"/>
          </w:rPr>
          <w:t xml:space="preserve">https://doi.org/10.1111/faf.12514</w:t>
        </w:r>
      </w:hyperlink>
      <w:r>
        <w:t xml:space="preserve">.</w:t>
      </w:r>
    </w:p>
    <w:bookmarkEnd w:id="236"/>
    <w:bookmarkStart w:id="238"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7">
        <w:r>
          <w:rPr>
            <w:rStyle w:val="Hyperlink"/>
          </w:rPr>
          <w:t xml:space="preserve">https://doi.org/10.1111/fwb.13001</w:t>
        </w:r>
      </w:hyperlink>
      <w:r>
        <w:t xml:space="preserve">.</w:t>
      </w:r>
    </w:p>
    <w:bookmarkEnd w:id="238"/>
    <w:bookmarkStart w:id="240"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39">
        <w:r>
          <w:rPr>
            <w:rStyle w:val="Hyperlink"/>
          </w:rPr>
          <w:t xml:space="preserve">https://doi.org/10.1016/j.scitotenv.2017.06.081</w:t>
        </w:r>
      </w:hyperlink>
      <w:r>
        <w:t xml:space="preserve">.</w:t>
      </w:r>
    </w:p>
    <w:bookmarkEnd w:id="240"/>
    <w:bookmarkStart w:id="242"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1">
        <w:r>
          <w:rPr>
            <w:rStyle w:val="Hyperlink"/>
          </w:rPr>
          <w:t xml:space="preserve">https://repository.library.noaa.gov/view/noaa/3483</w:t>
        </w:r>
      </w:hyperlink>
      <w:r>
        <w:t xml:space="preserve">.</w:t>
      </w:r>
    </w:p>
    <w:bookmarkEnd w:id="242"/>
    <w:bookmarkStart w:id="244"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3">
        <w:r>
          <w:rPr>
            <w:rStyle w:val="Hyperlink"/>
          </w:rPr>
          <w:t xml:space="preserve">https://repository.library.noaa.gov/view/noaa/3609</w:t>
        </w:r>
      </w:hyperlink>
      <w:r>
        <w:t xml:space="preserve">.</w:t>
      </w:r>
    </w:p>
    <w:bookmarkEnd w:id="244"/>
    <w:bookmarkStart w:id="24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5">
        <w:r>
          <w:rPr>
            <w:rStyle w:val="Hyperlink"/>
          </w:rPr>
          <w:t xml:space="preserve">https://doi.org/10.1002/rra.3575</w:t>
        </w:r>
      </w:hyperlink>
      <w:r>
        <w:t xml:space="preserve">.</w:t>
      </w:r>
    </w:p>
    <w:bookmarkEnd w:id="246"/>
    <w:bookmarkStart w:id="24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7">
        <w:r>
          <w:rPr>
            <w:rStyle w:val="Hyperlink"/>
          </w:rPr>
          <w:t xml:space="preserve">https://www.scottriverwatershedcouncil.com/scott-river-beaver-dam-analogue-coh</w:t>
        </w:r>
      </w:hyperlink>
      <w:r>
        <w:t xml:space="preserve">.</w:t>
      </w:r>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41" Target="media/rId41.png" /><Relationship Type="http://schemas.openxmlformats.org/officeDocument/2006/relationships/image" Id="rId32" Target="media/rId32.jpg" /><Relationship Type="http://schemas.openxmlformats.org/officeDocument/2006/relationships/image" Id="rId22" Target="media/rId22.png" /><Relationship Type="http://schemas.openxmlformats.org/officeDocument/2006/relationships/hyperlink" Id="rId140" Target="http://groundwater.ucdavis.edu/files/136426.pdf" TargetMode="External" /><Relationship Type="http://schemas.openxmlformats.org/officeDocument/2006/relationships/hyperlink" Id="rId134" Target="http://groundwater.ucdavis.edu/files/165395.pdf" TargetMode="External" /><Relationship Type="http://schemas.openxmlformats.org/officeDocument/2006/relationships/hyperlink" Id="rId120" Target="http://www.fgc.ca.gov/meetings/2015/Aug/Exhibits/0805{\_}Item{\_}38{\_}CohoStatusReport.pdf" TargetMode="External" /><Relationship Type="http://schemas.openxmlformats.org/officeDocument/2006/relationships/hyperlink" Id="rId229" Target="https://data.census.gov/cedsci" TargetMode="External" /><Relationship Type="http://schemas.openxmlformats.org/officeDocument/2006/relationships/hyperlink" Id="rId105" Target="https://doi.org/10.1002/eap.2005" TargetMode="External" /><Relationship Type="http://schemas.openxmlformats.org/officeDocument/2006/relationships/hyperlink" Id="rId216" Target="https://doi.org/10.1002/eco.1745" TargetMode="External" /><Relationship Type="http://schemas.openxmlformats.org/officeDocument/2006/relationships/hyperlink" Id="rId103" Target="https://doi.org/10.1002/rra" TargetMode="External" /><Relationship Type="http://schemas.openxmlformats.org/officeDocument/2006/relationships/hyperlink" Id="rId245" Target="https://doi.org/10.1002/rra.3575" TargetMode="External" /><Relationship Type="http://schemas.openxmlformats.org/officeDocument/2006/relationships/hyperlink" Id="rId169" Target="https://doi.org/10.1002/rra.700" TargetMode="External" /><Relationship Type="http://schemas.openxmlformats.org/officeDocument/2006/relationships/hyperlink" Id="rId144" Target="https://doi.org/10.1007/978-1-4614-7138-7" TargetMode="External" /><Relationship Type="http://schemas.openxmlformats.org/officeDocument/2006/relationships/hyperlink" Id="rId115" Target="https://doi.org/10.1007/s00267-002-2737-0" TargetMode="External" /><Relationship Type="http://schemas.openxmlformats.org/officeDocument/2006/relationships/hyperlink" Id="rId196" Target="https://doi.org/10.1007/s00267-012-9864-z" TargetMode="External" /><Relationship Type="http://schemas.openxmlformats.org/officeDocument/2006/relationships/hyperlink" Id="rId160" Target="https://doi.org/10.1007/s00267-013-0055-3" TargetMode="External" /><Relationship Type="http://schemas.openxmlformats.org/officeDocument/2006/relationships/hyperlink" Id="rId109" Target="https://doi.org/10.1007/s11160-016-9432-3" TargetMode="External" /><Relationship Type="http://schemas.openxmlformats.org/officeDocument/2006/relationships/hyperlink" Id="rId239" Target="https://doi.org/10.1016/j.scitotenv.2017.06.081" TargetMode="External" /><Relationship Type="http://schemas.openxmlformats.org/officeDocument/2006/relationships/hyperlink" Id="rId171" Target="https://doi.org/10.1017/CBO9781107415324.004" TargetMode="External" /><Relationship Type="http://schemas.openxmlformats.org/officeDocument/2006/relationships/hyperlink" Id="rId227" Target="https://doi.org/10.1029/2018WR024209" TargetMode="External" /><Relationship Type="http://schemas.openxmlformats.org/officeDocument/2006/relationships/hyperlink" Id="rId151" Target="https://doi.org/10.1029/2020WR028496" TargetMode="External" /><Relationship Type="http://schemas.openxmlformats.org/officeDocument/2006/relationships/hyperlink" Id="rId235" Target="https://doi.org/10.1111/faf.12514" TargetMode="External" /><Relationship Type="http://schemas.openxmlformats.org/officeDocument/2006/relationships/hyperlink" Id="rId237" Target="https://doi.org/10.1111/fwb.13001" TargetMode="External" /><Relationship Type="http://schemas.openxmlformats.org/officeDocument/2006/relationships/hyperlink" Id="rId138" Target="https://doi.org/10.1111/fwb.13048" TargetMode="External" /><Relationship Type="http://schemas.openxmlformats.org/officeDocument/2006/relationships/hyperlink" Id="rId157" Target="https://doi.org/10.1111/fwb.13062" TargetMode="External" /><Relationship Type="http://schemas.openxmlformats.org/officeDocument/2006/relationships/hyperlink" Id="rId128" Target="https://doi.org/10.1111/j.0022-1112.2004.00486.x" TargetMode="External" /><Relationship Type="http://schemas.openxmlformats.org/officeDocument/2006/relationships/hyperlink" Id="rId178" Target="https://doi.org/10.1111/j.1365-2427.2009.02204.x" TargetMode="External" /><Relationship Type="http://schemas.openxmlformats.org/officeDocument/2006/relationships/hyperlink" Id="rId181" Target="https://doi.org/10.1111/j.1365-2427.2009.02272.x" TargetMode="External" /><Relationship Type="http://schemas.openxmlformats.org/officeDocument/2006/relationships/hyperlink" Id="rId231" Target="https://doi.org/10.1111/j.1752-1688.2008.00212.x" TargetMode="External" /><Relationship Type="http://schemas.openxmlformats.org/officeDocument/2006/relationships/hyperlink" Id="rId185" Target="https://doi.org/10.1371/journal.pone.0098392" TargetMode="External" /><Relationship Type="http://schemas.openxmlformats.org/officeDocument/2006/relationships/hyperlink" Id="rId111" Target="https://doi.org/10.1577/1548-8659(1997)126&lt;0049" TargetMode="External" /><Relationship Type="http://schemas.openxmlformats.org/officeDocument/2006/relationships/hyperlink" Id="rId113" Target="https://doi.org/10.1577/1548-8675(1994)014&lt;0237:hdacso&gt;2.3.co;2" TargetMode="External" /><Relationship Type="http://schemas.openxmlformats.org/officeDocument/2006/relationships/hyperlink" Id="rId189" Target="https://doi.org/10.1577/t01-126" TargetMode="External" /><Relationship Type="http://schemas.openxmlformats.org/officeDocument/2006/relationships/hyperlink" Id="rId191" Target="https://doi.org/10.1890/08-0305.1" TargetMode="External" /><Relationship Type="http://schemas.openxmlformats.org/officeDocument/2006/relationships/hyperlink" Id="rId98" Target="https://doi.org/10.1890/130134" TargetMode="External" /><Relationship Type="http://schemas.openxmlformats.org/officeDocument/2006/relationships/hyperlink" Id="rId101" Target="https://doi.org/10.1890/1540-9295(2006)4[309:IFNISA]2.0.CO;2" TargetMode="External" /><Relationship Type="http://schemas.openxmlformats.org/officeDocument/2006/relationships/hyperlink" Id="rId176" Target="https://doi.org/10.2307/1313099" TargetMode="External" /><Relationship Type="http://schemas.openxmlformats.org/officeDocument/2006/relationships/hyperlink" Id="rId107" Target="https://doi.org/10.2307/1446234" TargetMode="External" /><Relationship Type="http://schemas.openxmlformats.org/officeDocument/2006/relationships/hyperlink" Id="rId187" Target="https://doi.org/10.2307/3868443" TargetMode="External" /><Relationship Type="http://schemas.openxmlformats.org/officeDocument/2006/relationships/hyperlink" Id="rId174" Target="https://doi.org/10.3389/fenvs.2021.790667" TargetMode="External" /><Relationship Type="http://schemas.openxmlformats.org/officeDocument/2006/relationships/hyperlink" Id="rId130" Target="https://doi.org/10.3733/ca.v054n06p46" TargetMode="External" /><Relationship Type="http://schemas.openxmlformats.org/officeDocument/2006/relationships/hyperlink" Id="rId136" Target="https://kbifrm.psmfc.org/wp-content/uploads/2016/12/Graham{\_}2012{\_}0010{\_}Klamath-River-Basin-Restoration-Nonuse-Value-Survey-Final-Report.pdf" TargetMode="External" /><Relationship Type="http://schemas.openxmlformats.org/officeDocument/2006/relationships/hyperlink" Id="rId146" Target="https://nrm.dfg.ca.gov/FileHandler.ashx?DocumentID=77836" TargetMode="External" /><Relationship Type="http://schemas.openxmlformats.org/officeDocument/2006/relationships/hyperlink" Id="rId153" Target="https://pubs.usgs.gov/wsp/1462/report.pdf" TargetMode="External" /><Relationship Type="http://schemas.openxmlformats.org/officeDocument/2006/relationships/hyperlink" Id="rId241" Target="https://repository.library.noaa.gov/view/noaa/3483" TargetMode="External" /><Relationship Type="http://schemas.openxmlformats.org/officeDocument/2006/relationships/hyperlink" Id="rId243" Target="https://repository.library.noaa.gov/view/noaa/3609" TargetMode="External" /><Relationship Type="http://schemas.openxmlformats.org/officeDocument/2006/relationships/hyperlink" Id="rId233" Target="https://swfsc-publications.fisheries.noaa.gov/publications/CR/2013/2013Wainwright.pdf" TargetMode="External" /><Relationship Type="http://schemas.openxmlformats.org/officeDocument/2006/relationships/hyperlink" Id="rId132" Target="https://water.ca.gov/Programs/Water-Use-And-Efficiency/Land-And-Water-Use/Agricultural-Land-And-Water-Use-Estimates" TargetMode="External" /><Relationship Type="http://schemas.openxmlformats.org/officeDocument/2006/relationships/hyperlink" Id="rId122" Target="https://wildlife.ca.gov/Conservation/Watersheds/Instream-Flow/Studies/Scott-Shasta-Study" TargetMode="External" /><Relationship Type="http://schemas.openxmlformats.org/officeDocument/2006/relationships/hyperlink" Id="rId198" Target="https://www.co.siskiyou.ca.us/naturalresources/page/scott-valley-gsp-chapters" TargetMode="External" /><Relationship Type="http://schemas.openxmlformats.org/officeDocument/2006/relationships/hyperlink" Id="rId200" Target="https://www.co.siskiyou.ca.us/scottvga/page/scott-valley-groundwater-advisory-committee-meeting-10" TargetMode="External" /><Relationship Type="http://schemas.openxmlformats.org/officeDocument/2006/relationships/hyperlink" Id="rId167" Target="https://www.fisheries.noaa.gov/resource/document/final-recovery-plan-southern-oregon-northern-california-coast-evolutionarily" TargetMode="External" /><Relationship Type="http://schemas.openxmlformats.org/officeDocument/2006/relationships/hyperlink" Id="rId118" Target="https://www.fs.usda.gov/Internet/FSE{\_}DOCUMENTS/stelprd3850544.pdf" TargetMode="External" /><Relationship Type="http://schemas.openxmlformats.org/officeDocument/2006/relationships/hyperlink" Id="rId247" Target="https://www.scottriverwatershedcouncil.com/scott-river-beaver-dam-analogue-coh" TargetMode="External" /><Relationship Type="http://schemas.openxmlformats.org/officeDocument/2006/relationships/hyperlink" Id="rId220" Target="https://www.scottriverwatershedcouncil.com/scott-river-westside-planning-proje" TargetMode="External" /><Relationship Type="http://schemas.openxmlformats.org/officeDocument/2006/relationships/hyperlink" Id="rId193" Target="https://www.scottwatertrust.org/blank" TargetMode="External" /><Relationship Type="http://schemas.openxmlformats.org/officeDocument/2006/relationships/hyperlink" Id="rId183" Target="https://www.siskiyourcd.com/resources" TargetMode="External" /><Relationship Type="http://schemas.openxmlformats.org/officeDocument/2006/relationships/hyperlink" Id="rId125" Target="https://www.waterboards.ca.gov/drought/scott{\_}shasta{\_}rivers/docs/2022/klamath-reg-oal-approval-2022.pdf" TargetMode="External" /><Relationship Type="http://schemas.openxmlformats.org/officeDocument/2006/relationships/hyperlink" Id="rId224" Target="https://www.waterboards.ca.gov/waterrights/board{\_}decisions/adopted{\_}orders/judgments/docs/scottriver{\_}jd.pdf" TargetMode="External" /><Relationship Type="http://schemas.openxmlformats.org/officeDocument/2006/relationships/hyperlink" Id="rId164"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0" Target="http://groundwater.ucdavis.edu/files/136426.pdf" TargetMode="External" /><Relationship Type="http://schemas.openxmlformats.org/officeDocument/2006/relationships/hyperlink" Id="rId134" Target="http://groundwater.ucdavis.edu/files/165395.pdf" TargetMode="External" /><Relationship Type="http://schemas.openxmlformats.org/officeDocument/2006/relationships/hyperlink" Id="rId120" Target="http://www.fgc.ca.gov/meetings/2015/Aug/Exhibits/0805{\_}Item{\_}38{\_}CohoStatusReport.pdf" TargetMode="External" /><Relationship Type="http://schemas.openxmlformats.org/officeDocument/2006/relationships/hyperlink" Id="rId229" Target="https://data.census.gov/cedsci" TargetMode="External" /><Relationship Type="http://schemas.openxmlformats.org/officeDocument/2006/relationships/hyperlink" Id="rId105" Target="https://doi.org/10.1002/eap.2005" TargetMode="External" /><Relationship Type="http://schemas.openxmlformats.org/officeDocument/2006/relationships/hyperlink" Id="rId216" Target="https://doi.org/10.1002/eco.1745" TargetMode="External" /><Relationship Type="http://schemas.openxmlformats.org/officeDocument/2006/relationships/hyperlink" Id="rId103" Target="https://doi.org/10.1002/rra" TargetMode="External" /><Relationship Type="http://schemas.openxmlformats.org/officeDocument/2006/relationships/hyperlink" Id="rId245" Target="https://doi.org/10.1002/rra.3575" TargetMode="External" /><Relationship Type="http://schemas.openxmlformats.org/officeDocument/2006/relationships/hyperlink" Id="rId169" Target="https://doi.org/10.1002/rra.700" TargetMode="External" /><Relationship Type="http://schemas.openxmlformats.org/officeDocument/2006/relationships/hyperlink" Id="rId144" Target="https://doi.org/10.1007/978-1-4614-7138-7" TargetMode="External" /><Relationship Type="http://schemas.openxmlformats.org/officeDocument/2006/relationships/hyperlink" Id="rId115" Target="https://doi.org/10.1007/s00267-002-2737-0" TargetMode="External" /><Relationship Type="http://schemas.openxmlformats.org/officeDocument/2006/relationships/hyperlink" Id="rId196" Target="https://doi.org/10.1007/s00267-012-9864-z" TargetMode="External" /><Relationship Type="http://schemas.openxmlformats.org/officeDocument/2006/relationships/hyperlink" Id="rId160" Target="https://doi.org/10.1007/s00267-013-0055-3" TargetMode="External" /><Relationship Type="http://schemas.openxmlformats.org/officeDocument/2006/relationships/hyperlink" Id="rId109" Target="https://doi.org/10.1007/s11160-016-9432-3" TargetMode="External" /><Relationship Type="http://schemas.openxmlformats.org/officeDocument/2006/relationships/hyperlink" Id="rId239" Target="https://doi.org/10.1016/j.scitotenv.2017.06.081" TargetMode="External" /><Relationship Type="http://schemas.openxmlformats.org/officeDocument/2006/relationships/hyperlink" Id="rId171" Target="https://doi.org/10.1017/CBO9781107415324.004" TargetMode="External" /><Relationship Type="http://schemas.openxmlformats.org/officeDocument/2006/relationships/hyperlink" Id="rId227" Target="https://doi.org/10.1029/2018WR024209" TargetMode="External" /><Relationship Type="http://schemas.openxmlformats.org/officeDocument/2006/relationships/hyperlink" Id="rId151" Target="https://doi.org/10.1029/2020WR028496" TargetMode="External" /><Relationship Type="http://schemas.openxmlformats.org/officeDocument/2006/relationships/hyperlink" Id="rId235" Target="https://doi.org/10.1111/faf.12514" TargetMode="External" /><Relationship Type="http://schemas.openxmlformats.org/officeDocument/2006/relationships/hyperlink" Id="rId237" Target="https://doi.org/10.1111/fwb.13001" TargetMode="External" /><Relationship Type="http://schemas.openxmlformats.org/officeDocument/2006/relationships/hyperlink" Id="rId138" Target="https://doi.org/10.1111/fwb.13048" TargetMode="External" /><Relationship Type="http://schemas.openxmlformats.org/officeDocument/2006/relationships/hyperlink" Id="rId157" Target="https://doi.org/10.1111/fwb.13062" TargetMode="External" /><Relationship Type="http://schemas.openxmlformats.org/officeDocument/2006/relationships/hyperlink" Id="rId128" Target="https://doi.org/10.1111/j.0022-1112.2004.00486.x" TargetMode="External" /><Relationship Type="http://schemas.openxmlformats.org/officeDocument/2006/relationships/hyperlink" Id="rId178" Target="https://doi.org/10.1111/j.1365-2427.2009.02204.x" TargetMode="External" /><Relationship Type="http://schemas.openxmlformats.org/officeDocument/2006/relationships/hyperlink" Id="rId181" Target="https://doi.org/10.1111/j.1365-2427.2009.02272.x" TargetMode="External" /><Relationship Type="http://schemas.openxmlformats.org/officeDocument/2006/relationships/hyperlink" Id="rId231" Target="https://doi.org/10.1111/j.1752-1688.2008.00212.x" TargetMode="External" /><Relationship Type="http://schemas.openxmlformats.org/officeDocument/2006/relationships/hyperlink" Id="rId185" Target="https://doi.org/10.1371/journal.pone.0098392" TargetMode="External" /><Relationship Type="http://schemas.openxmlformats.org/officeDocument/2006/relationships/hyperlink" Id="rId111" Target="https://doi.org/10.1577/1548-8659(1997)126&lt;0049" TargetMode="External" /><Relationship Type="http://schemas.openxmlformats.org/officeDocument/2006/relationships/hyperlink" Id="rId113" Target="https://doi.org/10.1577/1548-8675(1994)014&lt;0237:hdacso&gt;2.3.co;2" TargetMode="External" /><Relationship Type="http://schemas.openxmlformats.org/officeDocument/2006/relationships/hyperlink" Id="rId189" Target="https://doi.org/10.1577/t01-126" TargetMode="External" /><Relationship Type="http://schemas.openxmlformats.org/officeDocument/2006/relationships/hyperlink" Id="rId191" Target="https://doi.org/10.1890/08-0305.1" TargetMode="External" /><Relationship Type="http://schemas.openxmlformats.org/officeDocument/2006/relationships/hyperlink" Id="rId98" Target="https://doi.org/10.1890/130134" TargetMode="External" /><Relationship Type="http://schemas.openxmlformats.org/officeDocument/2006/relationships/hyperlink" Id="rId101" Target="https://doi.org/10.1890/1540-9295(2006)4[309:IFNISA]2.0.CO;2" TargetMode="External" /><Relationship Type="http://schemas.openxmlformats.org/officeDocument/2006/relationships/hyperlink" Id="rId176" Target="https://doi.org/10.2307/1313099" TargetMode="External" /><Relationship Type="http://schemas.openxmlformats.org/officeDocument/2006/relationships/hyperlink" Id="rId107" Target="https://doi.org/10.2307/1446234" TargetMode="External" /><Relationship Type="http://schemas.openxmlformats.org/officeDocument/2006/relationships/hyperlink" Id="rId187" Target="https://doi.org/10.2307/3868443" TargetMode="External" /><Relationship Type="http://schemas.openxmlformats.org/officeDocument/2006/relationships/hyperlink" Id="rId174" Target="https://doi.org/10.3389/fenvs.2021.790667" TargetMode="External" /><Relationship Type="http://schemas.openxmlformats.org/officeDocument/2006/relationships/hyperlink" Id="rId130" Target="https://doi.org/10.3733/ca.v054n06p46" TargetMode="External" /><Relationship Type="http://schemas.openxmlformats.org/officeDocument/2006/relationships/hyperlink" Id="rId136" Target="https://kbifrm.psmfc.org/wp-content/uploads/2016/12/Graham{\_}2012{\_}0010{\_}Klamath-River-Basin-Restoration-Nonuse-Value-Survey-Final-Report.pdf" TargetMode="External" /><Relationship Type="http://schemas.openxmlformats.org/officeDocument/2006/relationships/hyperlink" Id="rId146" Target="https://nrm.dfg.ca.gov/FileHandler.ashx?DocumentID=77836" TargetMode="External" /><Relationship Type="http://schemas.openxmlformats.org/officeDocument/2006/relationships/hyperlink" Id="rId153" Target="https://pubs.usgs.gov/wsp/1462/report.pdf" TargetMode="External" /><Relationship Type="http://schemas.openxmlformats.org/officeDocument/2006/relationships/hyperlink" Id="rId241" Target="https://repository.library.noaa.gov/view/noaa/3483" TargetMode="External" /><Relationship Type="http://schemas.openxmlformats.org/officeDocument/2006/relationships/hyperlink" Id="rId243" Target="https://repository.library.noaa.gov/view/noaa/3609" TargetMode="External" /><Relationship Type="http://schemas.openxmlformats.org/officeDocument/2006/relationships/hyperlink" Id="rId233" Target="https://swfsc-publications.fisheries.noaa.gov/publications/CR/2013/2013Wainwright.pdf" TargetMode="External" /><Relationship Type="http://schemas.openxmlformats.org/officeDocument/2006/relationships/hyperlink" Id="rId132" Target="https://water.ca.gov/Programs/Water-Use-And-Efficiency/Land-And-Water-Use/Agricultural-Land-And-Water-Use-Estimates" TargetMode="External" /><Relationship Type="http://schemas.openxmlformats.org/officeDocument/2006/relationships/hyperlink" Id="rId122" Target="https://wildlife.ca.gov/Conservation/Watersheds/Instream-Flow/Studies/Scott-Shasta-Study" TargetMode="External" /><Relationship Type="http://schemas.openxmlformats.org/officeDocument/2006/relationships/hyperlink" Id="rId198" Target="https://www.co.siskiyou.ca.us/naturalresources/page/scott-valley-gsp-chapters" TargetMode="External" /><Relationship Type="http://schemas.openxmlformats.org/officeDocument/2006/relationships/hyperlink" Id="rId200" Target="https://www.co.siskiyou.ca.us/scottvga/page/scott-valley-groundwater-advisory-committee-meeting-10" TargetMode="External" /><Relationship Type="http://schemas.openxmlformats.org/officeDocument/2006/relationships/hyperlink" Id="rId167" Target="https://www.fisheries.noaa.gov/resource/document/final-recovery-plan-southern-oregon-northern-california-coast-evolutionarily" TargetMode="External" /><Relationship Type="http://schemas.openxmlformats.org/officeDocument/2006/relationships/hyperlink" Id="rId118" Target="https://www.fs.usda.gov/Internet/FSE{\_}DOCUMENTS/stelprd3850544.pdf" TargetMode="External" /><Relationship Type="http://schemas.openxmlformats.org/officeDocument/2006/relationships/hyperlink" Id="rId247" Target="https://www.scottriverwatershedcouncil.com/scott-river-beaver-dam-analogue-coh" TargetMode="External" /><Relationship Type="http://schemas.openxmlformats.org/officeDocument/2006/relationships/hyperlink" Id="rId220" Target="https://www.scottriverwatershedcouncil.com/scott-river-westside-planning-proje" TargetMode="External" /><Relationship Type="http://schemas.openxmlformats.org/officeDocument/2006/relationships/hyperlink" Id="rId193" Target="https://www.scottwatertrust.org/blank" TargetMode="External" /><Relationship Type="http://schemas.openxmlformats.org/officeDocument/2006/relationships/hyperlink" Id="rId183" Target="https://www.siskiyourcd.com/resources" TargetMode="External" /><Relationship Type="http://schemas.openxmlformats.org/officeDocument/2006/relationships/hyperlink" Id="rId125" Target="https://www.waterboards.ca.gov/drought/scott{\_}shasta{\_}rivers/docs/2022/klamath-reg-oal-approval-2022.pdf" TargetMode="External" /><Relationship Type="http://schemas.openxmlformats.org/officeDocument/2006/relationships/hyperlink" Id="rId224" Target="https://www.waterboards.ca.gov/waterrights/board{\_}decisions/adopted{\_}orders/judgments/docs/scottriver{\_}jd.pdf" TargetMode="External" /><Relationship Type="http://schemas.openxmlformats.org/officeDocument/2006/relationships/hyperlink" Id="rId164"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2024-02-28T16:57:55Z</dcterms:created>
  <dcterms:modified xsi:type="dcterms:W3CDTF">2024-02-28T16:57:55Z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