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png" ContentType="image/png"/>
  <Override PartName="/word/media/rId37.png" ContentType="image/png"/>
  <Override PartName="/word/media/rId49.png" ContentType="image/png"/>
  <Override PartName="/word/media/rId54.png" ContentType="image/png"/>
  <Override PartName="/word/media/rId63.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w:t>
      </w: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r>
        <w:t xml:space="preserve">”</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6" w:name="X36fa6955ee881a3061f3114fd02206899c105b3"/>
    <w:p>
      <w:pPr>
        <w:pStyle w:val="Heading1"/>
      </w:pPr>
      <w:r>
        <w:rPr>
          <w:rStyle w:val="SectionNumber"/>
        </w:rPr>
        <w:t xml:space="preserve">1</w:t>
      </w:r>
      <w:r>
        <w:tab/>
      </w:r>
      <w:r>
        <w:t xml:space="preserve">Scott River watershed setting and water use</w:t>
      </w:r>
    </w:p>
    <w:bookmarkStart w:id="24" w:name="geography-climate-and-hydrology"/>
    <w:p>
      <w:pPr>
        <w:pStyle w:val="Heading2"/>
      </w:pPr>
      <w:r>
        <w:rPr>
          <w:rStyle w:val="SectionNumber"/>
        </w:rPr>
        <w:t xml:space="preserve">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w:t>
      </w:r>
      <w:r>
        <w:t xml:space="preserve">). The Scott is a major tributary to the Klamath, which drains an area spanning sections of Northern California and Southern Oregon (Figure</w:t>
      </w:r>
      <w:r>
        <w:t xml:space="preserve"> </w:t>
      </w:r>
      <w:r>
        <w:t xml:space="preserve">??</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1</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1" name="Picture"/>
            <a:graphic>
              <a:graphicData uri="http://schemas.openxmlformats.org/drawingml/2006/picture">
                <pic:pic>
                  <pic:nvPicPr>
                    <pic:cNvPr descr="Graphics%20and%20Supplements/Figure%20100.png" id="22" name="Picture"/>
                    <pic:cNvPicPr>
                      <a:picLocks noChangeArrowheads="1" noChangeAspect="1"/>
                    </pic:cNvPicPr>
                  </pic:nvPicPr>
                  <pic:blipFill>
                    <a:blip r:embed="rId2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23" w:name="fig:fjFlowFigure"/>
      <w:bookmarkEnd w:id="23"/>
      <w:r>
        <w:t xml:space="preserve">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24"/>
    <w:bookmarkStart w:id="25" w:name="water-uses-and-management-objectives"/>
    <w:p>
      <w:pPr>
        <w:pStyle w:val="Heading2"/>
      </w:pPr>
      <w:r>
        <w:rPr>
          <w:rStyle w:val="SectionNumber"/>
        </w:rPr>
        <w:t xml:space="preserve">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(Mansfield et al. 2012)</w:t>
      </w:r>
      <w:r>
        <w:t xml:space="preserve">.</w:t>
      </w:r>
    </w:p>
    <w:bookmarkEnd w:id="25"/>
    <w:bookmarkEnd w:id="26"/>
    <w:bookmarkStart w:id="29" w:name="X0bd3016bee80ab9702328ff78f59e4e0f8fa9fc"/>
    <w:p>
      <w:pPr>
        <w:pStyle w:val="Heading1"/>
      </w:pPr>
      <w:r>
        <w:rPr>
          <w:rStyle w:val="SectionNumber"/>
        </w:rPr>
        <w:t xml:space="preserve">2</w:t>
      </w:r>
      <w:r>
        <w:tab/>
      </w:r>
      <w:r>
        <w:t xml:space="preserve">Species of concern - coho and Chinook salmon</w:t>
      </w:r>
    </w:p>
    <w:bookmarkStart w:id="27" w:name="X136f33e79e427ef0f7f53ec015635d638b8a303"/>
    <w:p>
      <w:pPr>
        <w:pStyle w:val="Heading3"/>
      </w:pPr>
      <w:r>
        <w:rPr>
          <w:rStyle w:val="SectionNumber"/>
        </w:rPr>
        <w:t xml:space="preserve">2.0.1</w:t>
      </w:r>
      <w:r>
        <w:tab/>
      </w:r>
      <w:r>
        <w:t xml:space="preserve">Life cycle and status of coho salmon (</w:t>
      </w:r>
      <w:r>
        <w:rPr>
          <w:i/>
          <w:iCs/>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(SRCD 2004)</w:t>
      </w:r>
      <w:r>
        <w:t xml:space="preserve">.</w:t>
      </w:r>
    </w:p>
    <w:p>
      <w:pPr>
        <w:pStyle w:val="BodyText"/>
      </w:pPr>
      <w:r>
        <w:t xml:space="preserve">In previous studies, the strongest predictor of juvenile coho abundance in a stream system was spatial habitat</w:t>
      </w:r>
      <w:r>
        <w:t xml:space="preserve"> </w:t>
      </w:r>
      <w:r>
        <w:t xml:space="preserve">(Bradford, Taylor, and Allan 1997;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2020)</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bookmarkEnd w:id="27"/>
    <w:bookmarkStart w:id="28" w:name="X1f6deda8747bb62c369b257f1af857aca7ccbda"/>
    <w:p>
      <w:pPr>
        <w:pStyle w:val="Heading3"/>
      </w:pPr>
      <w:r>
        <w:rPr>
          <w:rStyle w:val="SectionNumber"/>
        </w:rPr>
        <w:t xml:space="preserve">2.0.2</w:t>
      </w:r>
      <w:r>
        <w:tab/>
      </w:r>
      <w:r>
        <w:t xml:space="preserve">Life cycle and status of Chinook salmon (</w:t>
      </w:r>
      <w:r>
        <w:rPr>
          <w:i/>
          <w:iCs/>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Magranet 2015, 2017)</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(Groot and Margolis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(Groot and Margolis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28"/>
    <w:bookmarkEnd w:id="29"/>
    <w:bookmarkStart w:id="35" w:name="functional-flows-background"/>
    <w:p>
      <w:pPr>
        <w:pStyle w:val="Heading1"/>
      </w:pPr>
      <w:r>
        <w:rPr>
          <w:rStyle w:val="SectionNumber"/>
        </w:rPr>
        <w:t xml:space="preserve">3</w:t>
      </w:r>
      <w:r>
        <w:tab/>
      </w:r>
      <w:r>
        <w:t xml:space="preserve">Functional Flows Background</w:t>
      </w:r>
    </w:p>
    <w:p>
      <w:pPr>
        <w:pStyle w:val="TableCaption"/>
      </w:pPr>
      <w:bookmarkStart w:id="30" w:name="tab:funcFlowTermsTab"/>
      <w:bookmarkEnd w:id="30"/>
      <w:r>
        <w:t xml:space="preserve">Table 1:</w:t>
      </w:r>
      <w:r>
        <w:t xml:space="preserve"> </w:t>
      </w:r>
      <w:r>
        <w:t xml:space="preserve">TO UPDATE. 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2"/>
        <w:gridCol w:w="2160"/>
        <w:gridCol w:w="1440"/>
        <w:gridCol w:w="44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(modified)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between peak fall pulse discharge and dry season median discharge (Baruch et al. 2024).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10th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times that flow crosses over the threshold values for the 2-, 5- and 10-year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high-flow event in a water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exceedance of threshold value for the 2-, 5- and 10-year flow (50%, 20% and 10% exceedance values),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Single value for each threshold corresponding to the 2-, 5- and 10- year flow exceedance values, in cfs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 elapsed from the start date of the spring recession until the start date of the following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 magnitude on the start date of the spring recession (the "peak" of the snowmelt pulse).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Annual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daily flow rate over a full water year.</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 Year Category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 of water year (Dry, Moderate, Wet)</w:t>
            </w:r>
          </w:p>
        </w:tc>
      </w:tr>
    </w:tbl>
    <w:p>
      <w:pPr>
        <w:pStyle w:val="SourceCode"/>
      </w:pPr>
      <w:r>
        <w:rPr>
          <w:rStyle w:val="VerbatimChar"/>
        </w:rPr>
        <w:t xml:space="preserve">## [1] FALSE</w:t>
      </w:r>
    </w:p>
    <w:p>
      <w:pPr>
        <w:pStyle w:val="CaptionedFigure"/>
      </w:pPr>
      <w:r>
        <w:drawing>
          <wp:inline>
            <wp:extent cx="5009989" cy="5932073"/>
            <wp:effectExtent b="0" l="0" r="0" t="0"/>
            <wp:docPr descr="Figure 2: Figure 2 from Yarnell et al., 2020. Illustration of five functional flow categories identified for a mixed rain-snowmelt runoff river in California." title="" id="32" name="Picture"/>
            <a:graphic>
              <a:graphicData uri="http://schemas.openxmlformats.org/drawingml/2006/picture">
                <pic:pic>
                  <pic:nvPicPr>
                    <pic:cNvPr descr="Graphics%20and%20Supplements/Figure%20101.png" id="33" name="Picture"/>
                    <pic:cNvPicPr>
                      <a:picLocks noChangeArrowheads="1" noChangeAspect="1"/>
                    </pic:cNvPicPr>
                  </pic:nvPicPr>
                  <pic:blipFill>
                    <a:blip r:embed="rId31"/>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34" w:name="fig:fig2Yarnell2020"/>
      <w:bookmarkEnd w:id="34"/>
      <w:r>
        <w:t xml:space="preserve">Figure 2: Figure 2 from Yarnell et al., 2020. Illustration of five functional flow categories identified for a mixed rain-snowmelt runoff river in California.</w:t>
      </w:r>
    </w:p>
    <w:bookmarkEnd w:id="35"/>
    <w:bookmarkStart w:id="41" w:name="X4a0b1fd30caa3903d668a37fc55f7e74f86f272"/>
    <w:p>
      <w:pPr>
        <w:pStyle w:val="Heading1"/>
      </w:pPr>
      <w:r>
        <w:rPr>
          <w:rStyle w:val="SectionNumber"/>
        </w:rPr>
        <w:t xml:space="preserve">4</w:t>
      </w:r>
      <w:r>
        <w:tab/>
      </w:r>
      <w:r>
        <w:t xml:space="preserve">Hydrologic Metrics Designed for This Study</w:t>
      </w:r>
    </w:p>
    <w:p>
      <w:pPr>
        <w:pStyle w:val="TableCaption"/>
      </w:pPr>
      <w:bookmarkStart w:id="36" w:name="tab:customHydroMetricsTab"/>
      <w:bookmarkEnd w:id="36"/>
      <w:r>
        <w:t xml:space="preserve">Table 2:</w:t>
      </w:r>
      <w:r>
        <w:t xml:space="preserve"> </w:t>
      </w:r>
      <w:r>
        <w:t xml:space="preserve">Explanation of custom hydrologic metrics designed for this study, which are less complex than functional flows in that they do not rely on signal processing techniques. Each type of metric, for each threshold value (e.g., 120 cfs), produces one value per water year. Metric names used in predictive modeling also include abbreviations for salmon life periods (Table 3 below); e.g., f1_recon_120, referring to the timing of flow exceeding 120 cfs in a ohort's first fall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20 cfs) (units of days after Aug. 31). Assigned to a salmon lifestage using a season identifier such as f1 (first fall, experienced by a cohort's spawning parents). Example: f1_recon_20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120 cfs) (units of days after Aug. 31). Assigned to a salmon lifestage using a season identifier such as s2 (second spring, experienced as outmigrating smolt). Example: s2_discon_120</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 water year in which the FJ daily average flow exceeded the 90th percentile flowrate in the full FJ Gauge record.</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 title="" id="38" name="Picture"/>
            <a:graphic>
              <a:graphicData uri="http://schemas.openxmlformats.org/drawingml/2006/picture">
                <pic:pic>
                  <pic:nvPicPr>
                    <pic:cNvPr descr="Graphics%20and%20Supplements/Figure%20102.png" id="39" name="Picture"/>
                    <pic:cNvPicPr>
                      <a:picLocks noChangeArrowheads="1" noChangeAspect="1"/>
                    </pic:cNvPicPr>
                  </pic:nvPicPr>
                  <pic:blipFill>
                    <a:blip r:embed="rId3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40" w:name="fig:reconnectExplainerHydrograph"/>
      <w:bookmarkEnd w:id="40"/>
      <w:r>
        <w:t xml:space="preserve">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w:t>
      </w:r>
    </w:p>
    <w:bookmarkEnd w:id="41"/>
    <w:bookmarkStart w:id="47" w:name="screening-predictors-for-collinearity"/>
    <w:p>
      <w:pPr>
        <w:pStyle w:val="Heading1"/>
      </w:pPr>
      <w:r>
        <w:rPr>
          <w:rStyle w:val="SectionNumber"/>
        </w:rPr>
        <w:t xml:space="preserve">5</w:t>
      </w:r>
      <w:r>
        <w:tab/>
      </w:r>
      <w:r>
        <w:t xml:space="preserve">Screening Predictors for Collinearity</w:t>
      </w:r>
    </w:p>
    <w:p>
      <w:pPr>
        <w:pStyle w:val="TableCaption"/>
      </w:pPr>
      <w:bookmarkStart w:id="42" w:name="tab:predCorrScreeningTable"/>
      <w:bookmarkEnd w:id="42"/>
      <w:r>
        <w:t xml:space="preserve">Table 3:</w:t>
      </w:r>
      <w:r>
        <w:t xml:space="preserve"> </w:t>
      </w:r>
      <w:r>
        <w:t xml:space="preserve">Groups of collinear predictors (absolute value of R greater than 0.7), interpretation of their hydrologic significance, and the predictor selected from each group to reduce collinearity.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32"/>
        <w:gridCol w:w="2880"/>
        <w:gridCol w:w="259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 of Collinear 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Significance (Coho Life 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Selected from Group</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wy1_Mean_Ann_Flow, s1_discon_20, s1_discon_40, s1_discon_120, f2_recon_20, f2_recon_40, w1_Wet_BFL_Mag_10, w1_Wet_BFL_Mag_50, s1_SP_Dur, s1_SP_Mag, wy1_WY_Cat, d2_DS_Tim, d2_DS_Mag_50, d2_DS_Mag_90, w1_num_days_gt_90_pctile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1, as eggs and fry)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wy2_Mean_Ann_Flow, s2_discon_120, w2_Wet_BFL_Mag_10, w2_Wet_BFL_Mag_50, s2_SP_Dur, s2_SP_Mag, wy2_WY_Cat, w2_num_days_gt_90_pctile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wet was the wet season? (year 2,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d1_DS_Tim, f1_recon_20, f1_recon_40, d1_DS_Dur_WS, 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dry was the dry season? (pre-spawning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 d2_DS_Dur_WS, f2_FA_Tim, w2_Wet_BFL_Dur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to wet season transition timing (as rearing juv.)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 w1_Wet_Tim, s1_SP_Tim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long was the wet season (as eggs and fry)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f1_FA_Mag, 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(parents' spawning)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f2_FA_Mag, 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(rearing juv.)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r>
    </w:tbl>
    <w:bookmarkStart w:id="43" w:name="groups-1-and-2"/>
    <w:p>
      <w:pPr>
        <w:pStyle w:val="Heading2"/>
      </w:pPr>
      <w:r>
        <w:rPr>
          <w:rStyle w:val="SectionNumber"/>
        </w:rPr>
        <w:t xml:space="preserve">5.1</w:t>
      </w:r>
      <w:r>
        <w:tab/>
      </w:r>
      <w:r>
        <w:t xml:space="preserve">Groups 1 and 2</w:t>
      </w:r>
    </w:p>
    <w:p>
      <w:pPr>
        <w:pStyle w:val="FirstParagraph"/>
      </w:pPr>
      <w:r>
        <w:t xml:space="preserve">These metrics describe the magnitude and timing of wet-season flows (years 1 and 2), effectively characterized by the question, how wet was the wet season?. We selected</w:t>
      </w:r>
      <w:r>
        <w:t xml:space="preserve"> </w:t>
      </w:r>
      <w:r>
        <w:rPr>
          <w:rStyle w:val="VerbatimChar"/>
        </w:rPr>
        <w:t xml:space="preserve">w1_Wet_BFL_Mag_50</w:t>
      </w:r>
      <w:r>
        <w:t xml:space="preserve"> </w:t>
      </w:r>
      <w:r>
        <w:t xml:space="preserve">and</w:t>
      </w:r>
      <w:r>
        <w:t xml:space="preserve"> </w:t>
      </w:r>
      <w:r>
        <w:rPr>
          <w:rStyle w:val="VerbatimChar"/>
        </w:rPr>
        <w:t xml:space="preserve">w2_Wet_BFL_Mag_50</w:t>
      </w:r>
      <w:r>
        <w:t xml:space="preserve"> </w:t>
      </w:r>
      <w:r>
        <w:t xml:space="preserve">as the most conceptually central metric to represent the amount of water passing through the watershed during two wet seasons:</w:t>
      </w:r>
      <w:r>
        <w:t xml:space="preserve"> </w:t>
      </w:r>
      <w:r>
        <w:rPr>
          <w:rStyle w:val="VerbatimChar"/>
        </w:rPr>
        <w:t xml:space="preserve">w1</w:t>
      </w:r>
      <w:r>
        <w:t xml:space="preserve">, the first wet season, experienced by a cohort as eggs and newly-hatched alevin and fry, and</w:t>
      </w:r>
      <w:r>
        <w:t xml:space="preserve"> </w:t>
      </w:r>
      <w:r>
        <w:rPr>
          <w:rStyle w:val="VerbatimChar"/>
        </w:rPr>
        <w:t xml:space="preserve">w2</w:t>
      </w:r>
      <w:r>
        <w:t xml:space="preserve">, experienced by the cohort as overwintering parr.</w:t>
      </w:r>
    </w:p>
    <w:bookmarkEnd w:id="43"/>
    <w:bookmarkStart w:id="44" w:name="group-3"/>
    <w:p>
      <w:pPr>
        <w:pStyle w:val="Heading2"/>
      </w:pPr>
      <w:r>
        <w:rPr>
          <w:rStyle w:val="SectionNumber"/>
        </w:rPr>
        <w:t xml:space="preserve">5.2</w:t>
      </w:r>
      <w:r>
        <w:tab/>
      </w:r>
      <w:r>
        <w:t xml:space="preserve">Group 3</w:t>
      </w:r>
    </w:p>
    <w:p>
      <w:pPr>
        <w:pStyle w:val="FirstParagraph"/>
      </w:pPr>
      <w:r>
        <w:t xml:space="preserve">These metrics describe the magnitude and timing of dry-season flows before the cohort’s spawning. We selected</w:t>
      </w:r>
      <w:r>
        <w:t xml:space="preserve"> </w:t>
      </w:r>
      <w:r>
        <w:rPr>
          <w:rStyle w:val="VerbatimChar"/>
        </w:rPr>
        <w:t xml:space="preserve">d1_DS_Mag_50</w:t>
      </w:r>
      <w:r>
        <w:t xml:space="preserve"> </w:t>
      </w:r>
      <w:r>
        <w:t xml:space="preserve">as the most conceptually central metric to represent the amount of water passing through the watershed during the dry season before a cohort’s parents’ spawning.</w:t>
      </w:r>
    </w:p>
    <w:bookmarkEnd w:id="44"/>
    <w:bookmarkStart w:id="45" w:name="groups-4-and-5"/>
    <w:p>
      <w:pPr>
        <w:pStyle w:val="Heading2"/>
      </w:pPr>
      <w:r>
        <w:rPr>
          <w:rStyle w:val="SectionNumber"/>
        </w:rPr>
        <w:t xml:space="preserve">5.3</w:t>
      </w:r>
      <w:r>
        <w:tab/>
      </w:r>
      <w:r>
        <w:t xml:space="preserve">Groups 4 and 5</w:t>
      </w:r>
    </w:p>
    <w:p>
      <w:pPr>
        <w:pStyle w:val="FirstParagraph"/>
      </w:pPr>
      <w:r>
        <w:t xml:space="preserve">These metrics quantify the timing of the wet season onset and duration (year 2). We selected</w:t>
      </w:r>
      <w:r>
        <w:t xml:space="preserve"> </w:t>
      </w:r>
      <w:r>
        <w:rPr>
          <w:rStyle w:val="VerbatimChar"/>
        </w:rPr>
        <w:t xml:space="preserve">w2_Wet_Tim</w:t>
      </w:r>
      <w:r>
        <w:t xml:space="preserve">, the timing of the onset of the second wet season, and</w:t>
      </w:r>
      <w:r>
        <w:t xml:space="preserve"> </w:t>
      </w:r>
      <w:r>
        <w:rPr>
          <w:rStyle w:val="VerbatimChar"/>
        </w:rPr>
        <w:t xml:space="preserve">w2_Wet_BFL_Dur</w:t>
      </w:r>
      <w:r>
        <w:t xml:space="preserve">, the duration of wet season baseflow, to characterize the timing of the wet season experienced by a cohort of coho as overwintering juveniles.</w:t>
      </w:r>
    </w:p>
    <w:bookmarkEnd w:id="45"/>
    <w:bookmarkStart w:id="46" w:name="groups-6-and-7"/>
    <w:p>
      <w:pPr>
        <w:pStyle w:val="Heading2"/>
      </w:pPr>
      <w:r>
        <w:rPr>
          <w:rStyle w:val="SectionNumber"/>
        </w:rPr>
        <w:t xml:space="preserve">5.4</w:t>
      </w:r>
      <w:r>
        <w:tab/>
      </w:r>
      <w:r>
        <w:t xml:space="preserve">Groups 6 and 7:</w:t>
      </w:r>
    </w:p>
    <w:p>
      <w:pPr>
        <w:pStyle w:val="FirstParagraph"/>
      </w:pPr>
      <w:r>
        <w:t xml:space="preserve">These metrics quantify the magnitude of the fall pulse flow (years 1 and 2). Although</w:t>
      </w:r>
      <w:r>
        <w:t xml:space="preserve"> </w:t>
      </w:r>
      <w:r>
        <w:rPr>
          <w:rStyle w:val="VerbatimChar"/>
        </w:rPr>
        <w:t xml:space="preserve">FA_num_diff</w:t>
      </w:r>
      <w:r>
        <w:t xml:space="preserve"> </w:t>
      </w:r>
      <w:r>
        <w:t xml:space="preserve">had a higher sample size, we selected</w:t>
      </w:r>
      <w:r>
        <w:t xml:space="preserve"> </w:t>
      </w:r>
      <w:r>
        <w:rPr>
          <w:rStyle w:val="VerbatimChar"/>
        </w:rPr>
        <w:t xml:space="preserve">f1_FA_Mag</w:t>
      </w:r>
      <w:r>
        <w:t xml:space="preserve"> </w:t>
      </w:r>
      <w:r>
        <w:t xml:space="preserve">and</w:t>
      </w:r>
      <w:r>
        <w:t xml:space="preserve"> </w:t>
      </w:r>
      <w:r>
        <w:rPr>
          <w:rStyle w:val="VerbatimChar"/>
        </w:rPr>
        <w:t xml:space="preserve">f2_FA_Mag</w:t>
      </w:r>
      <w:r>
        <w:t xml:space="preserve"> </w:t>
      </w:r>
      <w:r>
        <w:t xml:space="preserve">to better reflect the years in which an identifiable fall pulse occurred before the onset of the wet season.</w:t>
      </w:r>
    </w:p>
    <w:bookmarkEnd w:id="46"/>
    <w:bookmarkEnd w:id="47"/>
    <w:bookmarkStart w:id="53" w:name="ecological-data-features"/>
    <w:p>
      <w:pPr>
        <w:pStyle w:val="Heading1"/>
      </w:pPr>
      <w:r>
        <w:rPr>
          <w:rStyle w:val="SectionNumber"/>
        </w:rPr>
        <w:t xml:space="preserve">6</w:t>
      </w:r>
      <w:r>
        <w:tab/>
      </w:r>
      <w:r>
        <w:t xml:space="preserve">Ecological Data Features</w:t>
      </w:r>
    </w:p>
    <w:p>
      <w:pPr>
        <w:pStyle w:val="FirstParagraph"/>
      </w:pPr>
      <w:r>
        <w:t xml:space="preserve">Plot spawners vs juveniles and spawners vs redds (color coded by year?)</w:t>
      </w:r>
    </w:p>
    <w:p>
      <w:pPr>
        <w:pStyle w:val="BodyText"/>
      </w:pPr>
      <w:r>
        <w:t xml:space="preserve">Plot ACF for each eco record</w:t>
      </w:r>
    </w:p>
    <w:p>
      <w:pPr>
        <w:pStyle w:val="TableCaption"/>
      </w:pPr>
      <w:bookmarkStart w:id="48" w:name="tab:ecoMetricsMonitoringTab"/>
      <w:bookmarkEnd w:id="48"/>
      <w:r>
        <w:t xml:space="preserve">Table 4:</w:t>
      </w:r>
      <w:r>
        <w:t xml:space="preserve"> </w:t>
      </w:r>
      <w:r>
        <w:t xml:space="preserve">Description and source information for ecological observations of the two salmonid species of concern.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160"/>
        <w:gridCol w:w="2160"/>
        <w:gridCol w:w="2160"/>
        <w:gridCol w:w="1728"/>
        <w:gridCol w:w="10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Obs.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Monitoring Details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 Seasons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coho spawners (escapement)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coho_redds_in_brood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obs. coho redds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Spawning ground surveys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Sources in Section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coho_smolt_abun_est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 num. coho smolt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Scott River Fish Counting Facility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chinook_spawner_old_method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spawners (escapement)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Temporary fish marking weir, 1985-1991; capture-recapture method, 1992-2012; video fish counting facility post-2012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Chesney 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chinook_juvenile_abundance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 Chinook juveniles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Rotary Screw Trap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Romero and Robinson, 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coho_smolt_per_fem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smolt per fem. spawner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(C/A) for relevant cohort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 d2, f2, w2, s2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chinook_juv_per_adult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juv. per adult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(F/D) for relevant cohort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Knechtle and Guidice 2023, CDFW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 f1, w1, s1</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4: Autocorrelation function estimates for all available ecological outcome records." title="" id="50" name="Picture"/>
            <a:graphic>
              <a:graphicData uri="http://schemas.openxmlformats.org/drawingml/2006/picture">
                <pic:pic>
                  <pic:nvPicPr>
                    <pic:cNvPr descr="Graphics%20and%20Supplements/Figure%20103.png" id="51" name="Picture"/>
                    <pic:cNvPicPr>
                      <a:picLocks noChangeArrowheads="1" noChangeAspect="1"/>
                    </pic:cNvPicPr>
                  </pic:nvPicPr>
                  <pic:blipFill>
                    <a:blip r:embed="rId49"/>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2" w:name="fig:acfEcoRecords"/>
      <w:bookmarkEnd w:id="52"/>
      <w:r>
        <w:t xml:space="preserve">Figure 4: Autocorrelation function estimates for all available ecological outcome records.</w:t>
      </w:r>
    </w:p>
    <w:bookmarkEnd w:id="53"/>
    <w:bookmarkStart w:id="74" w:name="statistical-method-details"/>
    <w:p>
      <w:pPr>
        <w:pStyle w:val="Heading1"/>
      </w:pPr>
      <w:r>
        <w:rPr>
          <w:rStyle w:val="SectionNumber"/>
        </w:rPr>
        <w:t xml:space="preserve">7</w:t>
      </w:r>
      <w:r>
        <w:tab/>
      </w:r>
      <w:r>
        <w:t xml:space="preserve">Statistical Method Details</w:t>
      </w:r>
    </w:p>
    <w:bookmarkStart w:id="60" w:name="Xfc2d1ced897537195bf2f5f2d2af574edf25252"/>
    <w:p>
      <w:pPr>
        <w:pStyle w:val="Heading2"/>
      </w:pPr>
      <w:r>
        <w:rPr>
          <w:rStyle w:val="SectionNumber"/>
        </w:rPr>
        <w:t xml:space="preserve">7.1</w:t>
      </w:r>
      <w:r>
        <w:tab/>
      </w:r>
      <w:r>
        <w:t xml:space="preserve">Lasso Regression, juvenile abundance on hydro. and spawners</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55" name="Picture"/>
            <a:graphic>
              <a:graphicData uri="http://schemas.openxmlformats.org/drawingml/2006/picture">
                <pic:pic>
                  <pic:nvPicPr>
                    <pic:cNvPr descr="Graphics%20and%20Supplements/Figure%20104.png" id="56" name="Picture"/>
                    <pic:cNvPicPr>
                      <a:picLocks noChangeArrowheads="1" noChangeAspect="1"/>
                    </pic:cNvPicPr>
                  </pic:nvPicPr>
                  <pic:blipFill>
                    <a:blip r:embed="rId54"/>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7" w:name="fig:jpsLassoCohoChinook"/>
      <w:bookmarkEnd w:id="57"/>
      <w:r>
        <w:t xml:space="preserve">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58" w:name="tab:jpsCoefTableCoho"/>
      <w:bookmarkEnd w:id="58"/>
      <w:r>
        <w:t xml:space="preserve">Table 5:</w:t>
      </w:r>
      <w:r>
        <w:t xml:space="preserve"> </w:t>
      </w:r>
      <w:r>
        <w:t xml:space="preserve">Values for the intercept and coefficient terms in the Hydrologic Benefit function for estimated coho_smolt_abun_est,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spring recession (as recent hatchlings)</w:t>
            </w:r>
          </w:p>
        </w:tc>
      </w:tr>
    </w:tbl>
    <w:p>
      <w:pPr>
        <w:pStyle w:val="TableCaption"/>
      </w:pPr>
      <w:bookmarkStart w:id="59" w:name="tab:jpsCoefTableChinook"/>
      <w:bookmarkEnd w:id="59"/>
      <w:r>
        <w:t xml:space="preserve">Table 6:</w:t>
      </w:r>
      <w:r>
        <w:t xml:space="preserve"> </w:t>
      </w:r>
      <w:r>
        <w:t xml:space="preserve">Values for the intercept and coefficient terms in the Hydrologic Benefit function for estimatedchinook_juvenile_abundance,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chinook_spawners_zscored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 of spawners (parents of designated cohort)</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baseflow duration (as eggs and hatchlings)</w:t>
            </w:r>
          </w:p>
        </w:tc>
      </w:tr>
    </w:tbl>
    <w:bookmarkEnd w:id="60"/>
    <w:bookmarkStart w:id="73" w:name="marss-models"/>
    <w:p>
      <w:pPr>
        <w:pStyle w:val="Heading2"/>
      </w:pPr>
      <w:r>
        <w:rPr>
          <w:rStyle w:val="SectionNumber"/>
        </w:rPr>
        <w:t xml:space="preserve">7.2</w:t>
      </w:r>
      <w:r>
        <w:tab/>
      </w:r>
      <w:r>
        <w:t xml:space="preserve">MARSS Models</w:t>
      </w:r>
    </w:p>
    <w:bookmarkStart w:id="67" w:name="X53ba3ae59a0a1d3d9001f54a4c1d9c8ec796c14"/>
    <w:p>
      <w:pPr>
        <w:pStyle w:val="Heading3"/>
      </w:pPr>
      <w:r>
        <w:rPr>
          <w:rStyle w:val="SectionNumber"/>
        </w:rPr>
        <w:t xml:space="preserve">7.2.1</w:t>
      </w:r>
      <w:r>
        <w:tab/>
      </w:r>
      <w:r>
        <w:t xml:space="preserve">MARSS models of juveniles per spawner, single hydrologic covariate</w:t>
      </w:r>
    </w:p>
    <w:p>
      <w:pPr>
        <w:pStyle w:val="FirstParagraph"/>
      </w:pPr>
      <w:r>
        <w:t xml:space="preserve">Multi-variate autoregressive state-space (MARSS) models are often used to model time series data (in which )</w:t>
      </w:r>
    </w:p>
    <w:p>
      <w:pPr>
        <w:pStyle w:val="TableCaption"/>
      </w:pPr>
      <w:bookmarkStart w:id="61" w:name="tab:MARSSSingleCovarTableCoho"/>
      <w:bookmarkEnd w:id="61"/>
      <w:r>
        <w:t xml:space="preserve">Table 7:</w:t>
      </w:r>
      <w:r>
        <w:t xml:space="preserve"> </w:t>
      </w:r>
      <w:r>
        <w:t xml:space="preserve">Each row corresponds to a MARSS model predicting the time series of coho spf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spf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27.74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62" w:name="tab:MARSSSingleCovarTableChinook"/>
      <w:bookmarkEnd w:id="62"/>
      <w:r>
        <w:t xml:space="preserve">Table 8:</w:t>
      </w:r>
      <w:r>
        <w:t xml:space="preserve"> </w:t>
      </w:r>
      <w:r>
        <w:t xml:space="preserve">Each row corresponds to a MARSS model predicting the time series of Chinook jpa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jpa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6: Results of the three best single-hydrologic-covariate MARSS models to predict log-transformed Chinook and coho outcomes with Z-scored hydrologic metrics." title="" id="64" name="Picture"/>
            <a:graphic>
              <a:graphicData uri="http://schemas.openxmlformats.org/drawingml/2006/picture">
                <pic:pic>
                  <pic:nvPicPr>
                    <pic:cNvPr descr="Graphics%20and%20Supplements/Figure%20105.png" id="65" name="Picture"/>
                    <pic:cNvPicPr>
                      <a:picLocks noChangeArrowheads="1" noChangeAspect="1"/>
                    </pic:cNvPicPr>
                  </pic:nvPicPr>
                  <pic:blipFill>
                    <a:blip r:embed="rId63"/>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6" w:name="fig:MARSSSingleCovars"/>
      <w:bookmarkEnd w:id="66"/>
      <w:r>
        <w:t xml:space="preserve">Figure 6: Results of the three best single-hydrologic-covariate MARSS models to predict log-transformed Chinook and coho outcomes with Z-scored hydrologic metrics.</w:t>
      </w:r>
    </w:p>
    <w:bookmarkEnd w:id="67"/>
    <w:bookmarkStart w:id="72" w:name="Xc8a2b3538a05b09314eb37a2c4f11d2e1ddb61e"/>
    <w:p>
      <w:pPr>
        <w:pStyle w:val="Heading3"/>
      </w:pPr>
      <w:r>
        <w:rPr>
          <w:rStyle w:val="SectionNumber"/>
        </w:rPr>
        <w:t xml:space="preserve">7.2.2</w:t>
      </w:r>
      <w:r>
        <w:tab/>
      </w:r>
      <w:r>
        <w:t xml:space="preserve">MARSS models, two covariates (spawner abundance and one hydrologic)</w:t>
      </w:r>
    </w:p>
    <w:p>
      <w:pPr>
        <w:pStyle w:val="FirstParagraph"/>
      </w:pPr>
      <w:r>
        <w:t xml:space="preserve">As another technique, we could attempt to model observed juvenile abundance using each hydrologic metric paired with the observed spawner abundance among the parents of a given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HtoS_ratio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Results of MARSS to predict log-transformed Chinook outcomes with Z-scored hydrologic metrics plus spawner data." title="" id="69" name="Picture"/>
            <a:graphic>
              <a:graphicData uri="http://schemas.openxmlformats.org/drawingml/2006/picture">
                <pic:pic>
                  <pic:nvPicPr>
                    <pic:cNvPr descr="Graphics%20and%20Supplements/Figure%20106.png" id="70" name="Picture"/>
                    <pic:cNvPicPr>
                      <a:picLocks noChangeArrowheads="1" noChangeAspect="1"/>
                    </pic:cNvPicPr>
                  </pic:nvPicPr>
                  <pic:blipFill>
                    <a:blip r:embed="rId68"/>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1" w:name="fig:MARSSHydroPlusSpawn"/>
      <w:bookmarkEnd w:id="71"/>
      <w:r>
        <w:t xml:space="preserve">Figure 7: Results of MARSS to predict log-transformed Chinook outcomes with Z-scored hydrologic metrics plus spawner data.</w:t>
      </w:r>
    </w:p>
    <w:bookmarkEnd w:id="72"/>
    <w:bookmarkEnd w:id="73"/>
    <w:bookmarkEnd w:id="74"/>
    <w:bookmarkStart w:id="111" w:name="references"/>
    <w:p>
      <w:pPr>
        <w:pStyle w:val="Heading1"/>
      </w:pPr>
      <w:r>
        <w:t xml:space="preserve">References</w:t>
      </w:r>
    </w:p>
    <w:bookmarkStart w:id="110" w:name="refs"/>
    <w:bookmarkStart w:id="75"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75"/>
    <w:bookmarkStart w:id="77"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76">
        <w:r>
          <w:rPr>
            <w:rStyle w:val="Hyperlink"/>
          </w:rPr>
          <w:t xml:space="preserve">https://doi.org/10.1007/s11160-016-9432-3</w:t>
        </w:r>
      </w:hyperlink>
      <w:r>
        <w:t xml:space="preserve">.</w:t>
      </w:r>
    </w:p>
    <w:bookmarkEnd w:id="77"/>
    <w:bookmarkStart w:id="79"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78">
        <w:r>
          <w:rPr>
            <w:rStyle w:val="Hyperlink"/>
          </w:rPr>
          <w:t xml:space="preserve">https://doi.org/10.1577/1548-8659(1997)126&lt;0049:EROCSS&gt;2.3.CO;2</w:t>
        </w:r>
      </w:hyperlink>
      <w:r>
        <w:t xml:space="preserve">.</w:t>
      </w:r>
    </w:p>
    <w:bookmarkEnd w:id="79"/>
    <w:bookmarkStart w:id="81"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80">
        <w:r>
          <w:rPr>
            <w:rStyle w:val="Hyperlink"/>
          </w:rPr>
          <w:t xml:space="preserve">https://doi.org/10.1577/1548-8675(1994)014&lt;0237:HDACSO&gt;2.3.CO;2</w:t>
        </w:r>
      </w:hyperlink>
      <w:r>
        <w:t xml:space="preserve">.</w:t>
      </w:r>
    </w:p>
    <w:bookmarkEnd w:id="81"/>
    <w:bookmarkStart w:id="83" w:name="ref-BustardNarverAspects1975"/>
    <w:p>
      <w:pPr>
        <w:pStyle w:val="Bibliography"/>
      </w:pPr>
      <w:r>
        <w:t xml:space="preserve">Bustard, David R., and David W. Narver. 1975.</w:t>
      </w:r>
      <w:r>
        <w:t xml:space="preserve"> </w:t>
      </w:r>
      <w:r>
        <w:t xml:space="preserve">“Aspects Ofthe</w:t>
      </w:r>
      <w:r>
        <w:t xml:space="preserve"> </w:t>
      </w:r>
      <w:r>
        <w:t xml:space="preserve">Winter Ecology</w:t>
      </w:r>
      <w:r>
        <w:t xml:space="preserve"> </w:t>
      </w:r>
      <w:r>
        <w:t xml:space="preserve">of</w:t>
      </w:r>
      <w:r>
        <w:t xml:space="preserve"> </w:t>
      </w:r>
      <w:r>
        <w:t xml:space="preserve">Juvenile Coho Sahnon</w:t>
      </w:r>
      <w:r>
        <w:t xml:space="preserve"> </w:t>
      </w:r>
      <w:r>
        <w:t xml:space="preserve">(</w:t>
      </w:r>
      <w:r>
        <w:t xml:space="preserve">Oncorhynchus</w:t>
      </w:r>
      <w:r>
        <w:t xml:space="preserve"> </w:t>
      </w:r>
      <w:r>
        <w:t xml:space="preserve">Kisutch) and</w:t>
      </w:r>
      <w:r>
        <w:t xml:space="preserve"> </w:t>
      </w:r>
      <w:r>
        <w:t xml:space="preserve">Steelhead Trout</w:t>
      </w:r>
      <w:r>
        <w:t xml:space="preserve"> </w:t>
      </w:r>
      <w:r>
        <w:t xml:space="preserve">(</w:t>
      </w:r>
      <w:r>
        <w:t xml:space="preserve">Salmo</w:t>
      </w:r>
      <w:r>
        <w:t xml:space="preserve"> </w:t>
      </w:r>
      <w:r>
        <w:t xml:space="preserve">Gairdneri).”</w:t>
      </w:r>
      <w:r>
        <w:t xml:space="preserve"> </w:t>
      </w:r>
      <w:r>
        <w:rPr>
          <w:i/>
          <w:iCs/>
        </w:rPr>
        <w:t xml:space="preserve">Journal of the Fisheries Resources Board of Canada</w:t>
      </w:r>
      <w:r>
        <w:t xml:space="preserve"> </w:t>
      </w:r>
      <w:r>
        <w:t xml:space="preserve">32 (5): 667–80.</w:t>
      </w:r>
      <w:r>
        <w:t xml:space="preserve"> </w:t>
      </w:r>
      <w:hyperlink r:id="rId82">
        <w:r>
          <w:rPr>
            <w:rStyle w:val="Hyperlink"/>
          </w:rPr>
          <w:t xml:space="preserve">https://doi.org/10.1139/f75-086</w:t>
        </w:r>
      </w:hyperlink>
      <w:r>
        <w:t xml:space="preserve">.</w:t>
      </w:r>
    </w:p>
    <w:bookmarkEnd w:id="83"/>
    <w:bookmarkStart w:id="84" w:name="Xb4d3db7e7294d8bf7c69eeac4e89233dc761402"/>
    <w:p>
      <w:pPr>
        <w:pStyle w:val="Bibliography"/>
      </w:pPr>
      <w:r>
        <w:t xml:space="preserve">California Department of Fish and Wildlife.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84"/>
    <w:bookmarkStart w:id="85" w:name="ref-GrootMargolisLife1991"/>
    <w:p>
      <w:pPr>
        <w:pStyle w:val="Bibliography"/>
      </w:pPr>
      <w:r>
        <w:t xml:space="preserve">Groot, Cornelis, and Leo Margolis, eds. 1991.</w:t>
      </w:r>
      <w:r>
        <w:t xml:space="preserve"> </w:t>
      </w:r>
      <w:r>
        <w:t xml:space="preserve">“Life</w:t>
      </w:r>
      <w:r>
        <w:t xml:space="preserve"> </w:t>
      </w:r>
      <w:r>
        <w:t xml:space="preserve">History</w:t>
      </w:r>
      <w:r>
        <w:t xml:space="preserve"> </w:t>
      </w:r>
      <w:r>
        <w:t xml:space="preserve">of</w:t>
      </w:r>
      <w:r>
        <w:t xml:space="preserve"> </w:t>
      </w:r>
      <w:r>
        <w:t xml:space="preserve">Chinook Salmon</w:t>
      </w:r>
      <w:r>
        <w:t xml:space="preserve"> </w:t>
      </w:r>
      <w:r>
        <w:t xml:space="preserve">(</w:t>
      </w:r>
      <w:r>
        <w:t xml:space="preserve">Onchorhynchus</w:t>
      </w:r>
      <w:r>
        <w:t xml:space="preserve"> </w:t>
      </w:r>
      <w:r>
        <w:t xml:space="preserve">Tshawytscha).”</w:t>
      </w:r>
      <w:r>
        <w:t xml:space="preserve"> </w:t>
      </w:r>
      <w:r>
        <w:t xml:space="preserve">In</w:t>
      </w:r>
      <w:r>
        <w:t xml:space="preserve"> </w:t>
      </w:r>
      <w:r>
        <w:rPr>
          <w:i/>
          <w:iCs/>
        </w:rPr>
        <w:t xml:space="preserve">Pacific Salmon Life Histories</w:t>
      </w:r>
      <w:r>
        <w:t xml:space="preserve">. Vancouver: UBC Press.</w:t>
      </w:r>
    </w:p>
    <w:bookmarkEnd w:id="85"/>
    <w:bookmarkStart w:id="86" w:name="ref-HarterHinesSCOTT2008"/>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University of California, Davis.</w:t>
      </w:r>
    </w:p>
    <w:bookmarkEnd w:id="86"/>
    <w:bookmarkStart w:id="87" w:name="ref-HuntEtAlOceanic1999"/>
    <w:p>
      <w:pPr>
        <w:pStyle w:val="Bibliography"/>
      </w:pPr>
      <w:r>
        <w:t xml:space="preserve">Hunt, Sharon L, Timothy J Mulligan, and Kenichiro Komori. 1999.</w:t>
      </w:r>
      <w:r>
        <w:t xml:space="preserve"> </w:t>
      </w:r>
      <w:r>
        <w:t xml:space="preserve">“Oceanic Feeding Habits of Chinook Salmon,</w:t>
      </w:r>
      <w:r>
        <w:t xml:space="preserve"> </w:t>
      </w:r>
      <w:r>
        <w:t xml:space="preserve">Oncorhynchus</w:t>
      </w:r>
      <w:r>
        <w:t xml:space="preserve"> </w:t>
      </w:r>
      <w:r>
        <w:t xml:space="preserve">Tshawytscha, Off Northern</w:t>
      </w:r>
      <w:r>
        <w:t xml:space="preserve"> </w:t>
      </w:r>
      <w:r>
        <w:t xml:space="preserve">Californi</w:t>
      </w:r>
      <w:r>
        <w:t xml:space="preserve">.”</w:t>
      </w:r>
      <w:r>
        <w:t xml:space="preserve"> </w:t>
      </w:r>
      <w:r>
        <w:rPr>
          <w:i/>
          <w:iCs/>
        </w:rPr>
        <w:t xml:space="preserve">Fishery Bulletin</w:t>
      </w:r>
      <w:r>
        <w:t xml:space="preserve"> </w:t>
      </w:r>
      <w:r>
        <w:t xml:space="preserve">97 (3): 717–21.</w:t>
      </w:r>
    </w:p>
    <w:bookmarkEnd w:id="87"/>
    <w:bookmarkStart w:id="88"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88"/>
    <w:bookmarkStart w:id="90" w:name="ref-MackGeology1958"/>
    <w:p>
      <w:pPr>
        <w:pStyle w:val="Bibliography"/>
      </w:pPr>
      <w:r>
        <w:t xml:space="preserve">Mack, Seymour. 1958.</w:t>
      </w:r>
      <w:r>
        <w:t xml:space="preserve"> </w:t>
      </w:r>
      <w:r>
        <w:t xml:space="preserve">“Geology and Ground-Water Features of</w:t>
      </w:r>
      <w:r>
        <w:t xml:space="preserve"> </w:t>
      </w:r>
      <w:r>
        <w:t xml:space="preserve">Scott Valley</w:t>
      </w:r>
      <w:r>
        <w:t xml:space="preserve">,</w:t>
      </w:r>
      <w:r>
        <w:t xml:space="preserve"> </w:t>
      </w:r>
      <w:r>
        <w:t xml:space="preserve">Siskiyou County</w:t>
      </w:r>
      <w:r>
        <w:t xml:space="preserve">,</w:t>
      </w:r>
      <w:r>
        <w:t xml:space="preserve"> </w:t>
      </w:r>
      <w:r>
        <w:t xml:space="preserve">California</w:t>
      </w:r>
      <w:r>
        <w:t xml:space="preserve">.”</w:t>
      </w:r>
      <w:r>
        <w:t xml:space="preserve"> </w:t>
      </w:r>
      <w:r>
        <w:t xml:space="preserve">Geological {{Survey Water-Supply Paper}} 1462. United States Geological Survey.</w:t>
      </w:r>
      <w:r>
        <w:t xml:space="preserve"> </w:t>
      </w:r>
      <w:hyperlink r:id="rId89">
        <w:r>
          <w:rPr>
            <w:rStyle w:val="Hyperlink"/>
          </w:rPr>
          <w:t xml:space="preserve">https://doi.org/10.3133/wsp1462</w:t>
        </w:r>
      </w:hyperlink>
      <w:r>
        <w:t xml:space="preserve">.</w:t>
      </w:r>
    </w:p>
    <w:bookmarkEnd w:id="90"/>
    <w:bookmarkStart w:id="91" w:name="ref-MagranetScott2015a"/>
    <w:p>
      <w:pPr>
        <w:pStyle w:val="Bibliography"/>
      </w:pPr>
      <w:r>
        <w:t xml:space="preserve">Magranet, Lindsay. 2015.</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91"/>
    <w:bookmarkStart w:id="92"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92"/>
    <w:bookmarkStart w:id="93" w:name="ref-MansfieldEtAlKlamath2012"/>
    <w:p>
      <w:pPr>
        <w:pStyle w:val="Bibliography"/>
      </w:pPr>
      <w:r>
        <w:t xml:space="preserve">Mansfield, Carol, George Van Houtven, Amy Hendershott, Patrick Chen, Jeremy Porter, Vesall Nourani, and Vikram Kilambi. 2012.</w:t>
      </w:r>
      <w:r>
        <w:t xml:space="preserve"> </w:t>
      </w:r>
      <w:r>
        <w:t xml:space="preserve">“Klamath</w:t>
      </w:r>
      <w:r>
        <w:t xml:space="preserve"> </w:t>
      </w:r>
      <w:r>
        <w:t xml:space="preserve">River Basin Restoration Nonuse Value Survey</w:t>
      </w:r>
      <w:r>
        <w:t xml:space="preserve">.”</w:t>
      </w:r>
    </w:p>
    <w:bookmarkEnd w:id="93"/>
    <w:bookmarkStart w:id="94"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94"/>
    <w:bookmarkStart w:id="95" w:name="ref-MoyleCoho2002"/>
    <w:p>
      <w:pPr>
        <w:pStyle w:val="Bibliography"/>
      </w:pPr>
      <w:r>
        <w:t xml:space="preserve">Moyle, Peter.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95"/>
    <w:bookmarkStart w:id="97" w:name="ref-NickelsonEtAlSeasonal1992"/>
    <w:p>
      <w:pPr>
        <w:pStyle w:val="Bibliography"/>
      </w:pPr>
      <w:r>
        <w:t xml:space="preserve">Nickelson, Thomas E., Jeffrey D. Rodgers, Steven L. Johnson, and Mario F. Solazzi. 1992.</w:t>
      </w:r>
      <w:r>
        <w:t xml:space="preserve"> </w:t>
      </w:r>
      <w:r>
        <w:t xml:space="preserve">“Seasonal</w:t>
      </w:r>
      <w:r>
        <w:t xml:space="preserve"> </w:t>
      </w:r>
      <w:r>
        <w:t xml:space="preserve">Changes</w:t>
      </w:r>
      <w:r>
        <w:t xml:space="preserve"> </w:t>
      </w:r>
      <w:r>
        <w:t xml:space="preserve">in</w:t>
      </w:r>
      <w:r>
        <w:t xml:space="preserve"> </w:t>
      </w:r>
      <w:r>
        <w:t xml:space="preserve">Habitat Use</w:t>
      </w:r>
      <w:r>
        <w:t xml:space="preserve"> </w:t>
      </w:r>
      <w:r>
        <w:t xml:space="preserve">by</w:t>
      </w:r>
      <w:r>
        <w:t xml:space="preserve"> </w:t>
      </w:r>
      <w:r>
        <w:t xml:space="preserve">Juvenile Coho Salmon</w:t>
      </w:r>
      <w:r>
        <w:t xml:space="preserve"> </w:t>
      </w:r>
      <w:r>
        <w:t xml:space="preserve">(</w:t>
      </w:r>
      <w:r>
        <w:t xml:space="preserve">Oncorhynchus</w:t>
      </w:r>
      <w:r>
        <w:t xml:space="preserve"> </w:t>
      </w:r>
      <w:r>
        <w:t xml:space="preserve">Kisutch) in</w:t>
      </w:r>
      <w:r>
        <w:t xml:space="preserve"> </w:t>
      </w:r>
      <w:r>
        <w:t xml:space="preserve">Oregon Coastal Streams</w:t>
      </w:r>
      <w:r>
        <w:t xml:space="preserve">.”</w:t>
      </w:r>
      <w:r>
        <w:t xml:space="preserve"> </w:t>
      </w:r>
      <w:r>
        <w:rPr>
          <w:i/>
          <w:iCs/>
        </w:rPr>
        <w:t xml:space="preserve">Canadian Journal of Fisheries and Aquatic Sciences</w:t>
      </w:r>
      <w:r>
        <w:t xml:space="preserve"> </w:t>
      </w:r>
      <w:r>
        <w:t xml:space="preserve">49 (4): 783–89.</w:t>
      </w:r>
      <w:r>
        <w:t xml:space="preserve"> </w:t>
      </w:r>
      <w:hyperlink r:id="rId96">
        <w:r>
          <w:rPr>
            <w:rStyle w:val="Hyperlink"/>
          </w:rPr>
          <w:t xml:space="preserve">https://doi.org/10.1139/f92-088</w:t>
        </w:r>
      </w:hyperlink>
      <w:r>
        <w:t xml:space="preserve">.</w:t>
      </w:r>
    </w:p>
    <w:bookmarkEnd w:id="97"/>
    <w:bookmarkStart w:id="98" w:name="Xe2c8612023dd6e3571677294fc089e407644bae"/>
    <w:p>
      <w:pPr>
        <w:pStyle w:val="Bibliography"/>
      </w:pPr>
      <w:r>
        <w:t xml:space="preserve">North Coast Regional Water Quality Control Board. 2005.</w:t>
      </w:r>
      <w:r>
        <w:t xml:space="preserve"> </w:t>
      </w:r>
      <w:r>
        <w:t xml:space="preserve">“Staff</w:t>
      </w:r>
      <w:r>
        <w:t xml:space="preserve"> </w:t>
      </w:r>
      <w:r>
        <w:t xml:space="preserve">Report</w:t>
      </w:r>
      <w:r>
        <w:t xml:space="preserve"> </w:t>
      </w:r>
      <w:r>
        <w:t xml:space="preserve">for the</w:t>
      </w:r>
      <w:r>
        <w:t xml:space="preserve"> </w:t>
      </w:r>
      <w:r>
        <w:t xml:space="preserve">Action Plan</w:t>
      </w:r>
      <w:r>
        <w:t xml:space="preserve"> </w:t>
      </w:r>
      <w:r>
        <w:t xml:space="preserve">for the</w:t>
      </w:r>
      <w:r>
        <w:t xml:space="preserve"> </w:t>
      </w:r>
      <w:r>
        <w:t xml:space="preserve">Scott River Watershed Sediment</w:t>
      </w:r>
      <w:r>
        <w:t xml:space="preserve"> </w:t>
      </w:r>
      <w:r>
        <w:t xml:space="preserve">and</w:t>
      </w:r>
      <w:r>
        <w:t xml:space="preserve"> </w:t>
      </w:r>
      <w:r>
        <w:t xml:space="preserve">Temperature Total Maximum Daily Loads</w:t>
      </w:r>
      <w:r>
        <w:t xml:space="preserve">.”</w:t>
      </w:r>
      <w:r>
        <w:t xml:space="preserve"> </w:t>
      </w:r>
      <w:r>
        <w:t xml:space="preserve">Santa Rosa, CA.</w:t>
      </w:r>
    </w:p>
    <w:bookmarkEnd w:id="98"/>
    <w:bookmarkStart w:id="99" w:name="X1108f2f3feec4f73e473bf3810dce174cd46930"/>
    <w:p>
      <w:pPr>
        <w:pStyle w:val="Bibliography"/>
      </w:pPr>
      <w:r>
        <w:t xml:space="preserve">———. 2006.</w:t>
      </w:r>
      <w:r>
        <w:t xml:space="preserve"> </w:t>
      </w:r>
      <w:r>
        <w:t xml:space="preserve">“</w:t>
      </w:r>
      <w:r>
        <w:t xml:space="preserve">ACTION PLAN FOR THE SCOTT RIVER SEDIMENT AND TEMPERATURE TOTAL</w:t>
      </w:r>
      <w:r>
        <w:t xml:space="preserve"> </w:t>
      </w:r>
      <w:r>
        <w:t xml:space="preserve">MAXIMUM DAILY LOADS</w:t>
      </w:r>
      <w:r>
        <w:t xml:space="preserve">.”</w:t>
      </w:r>
      <w:r>
        <w:t xml:space="preserve"> </w:t>
      </w:r>
      <w:r>
        <w:rPr>
          <w:i/>
          <w:iCs/>
        </w:rPr>
        <w:t xml:space="preserve">Basin Plan Language</w:t>
      </w:r>
      <w:r>
        <w:t xml:space="preserve">. https://www.waterboards.ca.gov/northcoast/water_issues/programs/tmdls/scott_river/060307/bpl/Basin_Plan_Language.pdf.</w:t>
      </w:r>
    </w:p>
    <w:bookmarkEnd w:id="99"/>
    <w:bookmarkStart w:id="101" w:name="ref-QuinonesEtAlPotential2014"/>
    <w:p>
      <w:pPr>
        <w:pStyle w:val="Bibliography"/>
      </w:pPr>
      <w:r>
        <w:t xml:space="preserve">Quiñones, Rebecca M., Marcel Holyoak, Michael L. Johnson, and Peter B. Moyle. 2014.</w:t>
      </w:r>
      <w:r>
        <w:t xml:space="preserve"> </w:t>
      </w:r>
      <w:r>
        <w:t xml:space="preserve">“Potential</w:t>
      </w:r>
      <w:r>
        <w:t xml:space="preserve"> </w:t>
      </w:r>
      <w:r>
        <w:t xml:space="preserve">Factors Affecting Survival Differ</w:t>
      </w:r>
      <w:r>
        <w:t xml:space="preserve"> </w:t>
      </w:r>
      <w:r>
        <w:t xml:space="preserve">by</w:t>
      </w:r>
      <w:r>
        <w:t xml:space="preserve"> </w:t>
      </w:r>
      <w:r>
        <w:t xml:space="preserve">Run-Timing</w:t>
      </w:r>
      <w:r>
        <w:t xml:space="preserve"> </w:t>
      </w:r>
      <w:r>
        <w:t xml:space="preserve">and</w:t>
      </w:r>
      <w:r>
        <w:t xml:space="preserve"> </w:t>
      </w:r>
      <w:r>
        <w:t xml:space="preserve">Location</w:t>
      </w:r>
      <w:r>
        <w:t xml:space="preserve">:</w:t>
      </w:r>
      <w:r>
        <w:t xml:space="preserve"> </w:t>
      </w:r>
      <w:r>
        <w:t xml:space="preserve">Linear Mixed-Effects Models</w:t>
      </w:r>
      <w:r>
        <w:t xml:space="preserve"> </w:t>
      </w:r>
      <w:r>
        <w:t xml:space="preserve">of</w:t>
      </w:r>
      <w:r>
        <w:t xml:space="preserve"> </w:t>
      </w:r>
      <w:r>
        <w:t xml:space="preserve">Pacific Salmonids</w:t>
      </w:r>
      <w:r>
        <w:t xml:space="preserve"> </w:t>
      </w:r>
      <w:r>
        <w:t xml:space="preserve">(</w:t>
      </w:r>
      <w:r>
        <w:t xml:space="preserve">Oncorhynchus</w:t>
      </w:r>
      <w:r>
        <w:t xml:space="preserve"> </w:t>
      </w:r>
      <w:r>
        <w:t xml:space="preserve">Spp.) in the</w:t>
      </w:r>
      <w:r>
        <w:t xml:space="preserve"> </w:t>
      </w:r>
      <w:r>
        <w:t xml:space="preserve">Klamath River</w:t>
      </w:r>
      <w:r>
        <w:t xml:space="preserve">,</w:t>
      </w:r>
      <w:r>
        <w:t xml:space="preserve"> </w:t>
      </w:r>
      <w:r>
        <w:t xml:space="preserve">California</w:t>
      </w:r>
      <w:r>
        <w:t xml:space="preserve">.”</w:t>
      </w:r>
      <w:r>
        <w:t xml:space="preserve"> </w:t>
      </w:r>
      <w:r>
        <w:t xml:space="preserve">Edited by Christopher J. Fulton.</w:t>
      </w:r>
      <w:r>
        <w:t xml:space="preserve"> </w:t>
      </w:r>
      <w:r>
        <w:rPr>
          <w:i/>
          <w:iCs/>
        </w:rPr>
        <w:t xml:space="preserve">PLoS ONE</w:t>
      </w:r>
      <w:r>
        <w:t xml:space="preserve"> </w:t>
      </w:r>
      <w:r>
        <w:t xml:space="preserve">9 (5): e98392.</w:t>
      </w:r>
      <w:r>
        <w:t xml:space="preserve"> </w:t>
      </w:r>
      <w:hyperlink r:id="rId100">
        <w:r>
          <w:rPr>
            <w:rStyle w:val="Hyperlink"/>
          </w:rPr>
          <w:t xml:space="preserve">https://doi.org/10.1371/journal.pone.0098392</w:t>
        </w:r>
      </w:hyperlink>
      <w:r>
        <w:t xml:space="preserve">.</w:t>
      </w:r>
    </w:p>
    <w:bookmarkEnd w:id="101"/>
    <w:bookmarkStart w:id="102" w:name="X334218043bd9d5b07a848a610917fcfef0168db"/>
    <w:p>
      <w:pPr>
        <w:pStyle w:val="Bibliography"/>
      </w:pPr>
      <w:r>
        <w:t xml:space="preserve">Scott Valley Area Plan Committee. 1980.</w:t>
      </w:r>
      <w:r>
        <w:t xml:space="preserve"> </w:t>
      </w:r>
      <w:r>
        <w:t xml:space="preserve">“Scott</w:t>
      </w:r>
      <w:r>
        <w:t xml:space="preserve"> </w:t>
      </w:r>
      <w:r>
        <w:t xml:space="preserve">Valley Area Plan</w:t>
      </w:r>
      <w:r>
        <w:t xml:space="preserve">.”</w:t>
      </w:r>
      <w:r>
        <w:t xml:space="preserve"> </w:t>
      </w:r>
      <w:r>
        <w:t xml:space="preserve">Siskiyou County.</w:t>
      </w:r>
    </w:p>
    <w:bookmarkEnd w:id="102"/>
    <w:bookmarkStart w:id="103"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103"/>
    <w:bookmarkStart w:id="104" w:name="Xfb2f30bfeb975733173d4f54503165ae434e004"/>
    <w:p>
      <w:pPr>
        <w:pStyle w:val="Bibliography"/>
      </w:pPr>
      <w:r>
        <w:t xml:space="preserve">Siskiyou Resource Conservation District.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104"/>
    <w:bookmarkStart w:id="106"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105">
        <w:r>
          <w:rPr>
            <w:rStyle w:val="Hyperlink"/>
          </w:rPr>
          <w:t xml:space="preserve">https://doi.org/10.1029/2018WR024209</w:t>
        </w:r>
      </w:hyperlink>
      <w:r>
        <w:t xml:space="preserve">.</w:t>
      </w:r>
    </w:p>
    <w:bookmarkEnd w:id="106"/>
    <w:bookmarkStart w:id="107"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107"/>
    <w:bookmarkStart w:id="109" w:name="ref-WelchEtAlSynthesis2021"/>
    <w:p>
      <w:pPr>
        <w:pStyle w:val="Bibliography"/>
      </w:pPr>
      <w:r>
        <w:t xml:space="preserve">Welch, David Warren, Aswea Dawn Porter, and Erin Leanne Rechisky. 2021.</w:t>
      </w:r>
      <w:r>
        <w:t xml:space="preserve"> </w:t>
      </w:r>
      <w:r>
        <w:t xml:space="preserve">“A Synthesis of the Coast-Wide Decline in Survival of</w:t>
      </w:r>
      <w:r>
        <w:t xml:space="preserve"> </w:t>
      </w:r>
      <w:r>
        <w:t xml:space="preserve">West Coast Chinook Salmon</w:t>
      </w:r>
      <w:r>
        <w:t xml:space="preserve"> </w:t>
      </w:r>
      <w:r>
        <w:t xml:space="preserve">(</w:t>
      </w:r>
      <w:r>
        <w:t xml:space="preserve">Oncorhynchus</w:t>
      </w:r>
      <w:r>
        <w:t xml:space="preserve"> </w:t>
      </w:r>
      <w:r>
        <w:t xml:space="preserve">Tshawytscha,</w:t>
      </w:r>
      <w:r>
        <w:t xml:space="preserve"> </w:t>
      </w:r>
      <w:r>
        <w:t xml:space="preserve">Salmonidae</w:t>
      </w:r>
      <w:r>
        <w:t xml:space="preserve">).”</w:t>
      </w:r>
      <w:r>
        <w:t xml:space="preserve"> </w:t>
      </w:r>
      <w:r>
        <w:rPr>
          <w:i/>
          <w:iCs/>
        </w:rPr>
        <w:t xml:space="preserve">Fish and Fisheries</w:t>
      </w:r>
      <w:r>
        <w:t xml:space="preserve"> </w:t>
      </w:r>
      <w:r>
        <w:t xml:space="preserve">22 (1): 194–211.</w:t>
      </w:r>
      <w:r>
        <w:t xml:space="preserve"> </w:t>
      </w:r>
      <w:hyperlink r:id="rId108">
        <w:r>
          <w:rPr>
            <w:rStyle w:val="Hyperlink"/>
          </w:rPr>
          <w:t xml:space="preserve">https://doi.org/10.1111/faf.12514</w:t>
        </w:r>
      </w:hyperlink>
      <w:r>
        <w:t xml:space="preserve">.</w:t>
      </w:r>
    </w:p>
    <w:bookmarkEnd w:id="109"/>
    <w:bookmarkEnd w:id="110"/>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hyperlink" Id="rId76" Target="https://doi.org/10.1007/s11160-016-9432-3" TargetMode="External" /><Relationship Type="http://schemas.openxmlformats.org/officeDocument/2006/relationships/hyperlink" Id="rId105" Target="https://doi.org/10.1029/2018WR024209" TargetMode="External" /><Relationship Type="http://schemas.openxmlformats.org/officeDocument/2006/relationships/hyperlink" Id="rId108" Target="https://doi.org/10.1111/faf.12514" TargetMode="External" /><Relationship Type="http://schemas.openxmlformats.org/officeDocument/2006/relationships/hyperlink" Id="rId82" Target="https://doi.org/10.1139/f75-086" TargetMode="External" /><Relationship Type="http://schemas.openxmlformats.org/officeDocument/2006/relationships/hyperlink" Id="rId96" Target="https://doi.org/10.1139/f92-088" TargetMode="External" /><Relationship Type="http://schemas.openxmlformats.org/officeDocument/2006/relationships/hyperlink" Id="rId100" Target="https://doi.org/10.1371/journal.pone.0098392" TargetMode="External" /><Relationship Type="http://schemas.openxmlformats.org/officeDocument/2006/relationships/hyperlink" Id="rId78" Target="https://doi.org/10.1577/1548-8659(1997)126&lt;0049:EROCSS&gt;2.3.CO;2" TargetMode="External" /><Relationship Type="http://schemas.openxmlformats.org/officeDocument/2006/relationships/hyperlink" Id="rId80" Target="https://doi.org/10.1577/1548-8675(1994)014&lt;0237:HDACSO&gt;2.3.CO;2" TargetMode="External" /><Relationship Type="http://schemas.openxmlformats.org/officeDocument/2006/relationships/hyperlink" Id="rId89" Target="https://doi.org/10.3133/wsp1462"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7/s11160-016-9432-3" TargetMode="External" /><Relationship Type="http://schemas.openxmlformats.org/officeDocument/2006/relationships/hyperlink" Id="rId105" Target="https://doi.org/10.1029/2018WR024209" TargetMode="External" /><Relationship Type="http://schemas.openxmlformats.org/officeDocument/2006/relationships/hyperlink" Id="rId108" Target="https://doi.org/10.1111/faf.12514" TargetMode="External" /><Relationship Type="http://schemas.openxmlformats.org/officeDocument/2006/relationships/hyperlink" Id="rId82" Target="https://doi.org/10.1139/f75-086" TargetMode="External" /><Relationship Type="http://schemas.openxmlformats.org/officeDocument/2006/relationships/hyperlink" Id="rId96" Target="https://doi.org/10.1139/f92-088" TargetMode="External" /><Relationship Type="http://schemas.openxmlformats.org/officeDocument/2006/relationships/hyperlink" Id="rId100" Target="https://doi.org/10.1371/journal.pone.0098392" TargetMode="External" /><Relationship Type="http://schemas.openxmlformats.org/officeDocument/2006/relationships/hyperlink" Id="rId78" Target="https://doi.org/10.1577/1548-8659(1997)126&lt;0049:EROCSS&gt;2.3.CO;2" TargetMode="External" /><Relationship Type="http://schemas.openxmlformats.org/officeDocument/2006/relationships/hyperlink" Id="rId80" Target="https://doi.org/10.1577/1548-8675(1994)014&lt;0237:HDACSO&gt;2.3.CO;2" TargetMode="External" /><Relationship Type="http://schemas.openxmlformats.org/officeDocument/2006/relationships/hyperlink" Id="rId89" Target="https://doi.org/10.3133/wsp14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“A watershed-specific formula to predict salmon reproduction using functional flow metrics”</dc:title>
  <dc:creator>Claire Kouba, Jason Wiener, Leland Scantlebury and Thomas Harter</dc:creator>
  <cp:keywords/>
  <dcterms:created xsi:type="dcterms:W3CDTF">2025-06-02T21:08:09Z</dcterms:created>
  <dcterms:modified xsi:type="dcterms:W3CDTF">2025-06-02T21:08:09Z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