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1.png" ContentType="image/png"/>
  <Override PartName="/word/media/rId37.png" ContentType="image/png"/>
  <Override PartName="/word/media/rId47.png" ContentType="image/pn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w:t>
      </w: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salmon</w:t>
      </w:r>
      <w:r>
        <w:t xml:space="preserve"> </w:t>
      </w:r>
      <w:r>
        <w:t xml:space="preserve">reproduction</w:t>
      </w:r>
      <w:r>
        <w:t xml:space="preserve"> </w:t>
      </w:r>
      <w:r>
        <w:t xml:space="preserve">using</w:t>
      </w:r>
      <w:r>
        <w:t xml:space="preserve"> </w:t>
      </w:r>
      <w:r>
        <w:t xml:space="preserve">functional</w:t>
      </w:r>
      <w:r>
        <w:t xml:space="preserve"> </w:t>
      </w:r>
      <w:r>
        <w:t xml:space="preserve">flow</w:t>
      </w:r>
      <w:r>
        <w:t xml:space="preserve"> </w:t>
      </w:r>
      <w:r>
        <w:t xml:space="preserve">metrics</w:t>
      </w:r>
      <w:r>
        <w:t xml:space="preserve">”</w:t>
      </w:r>
    </w:p>
    <w:p>
      <w:pPr>
        <w:pStyle w:val="Author"/>
      </w:pPr>
      <w:r>
        <w:t xml:space="preserve">Claire</w:t>
      </w:r>
      <w:r>
        <w:t xml:space="preserve"> </w:t>
      </w:r>
      <w:r>
        <w:t xml:space="preserve">Kouba,</w:t>
      </w:r>
      <w:r>
        <w:t xml:space="preserve"> </w:t>
      </w:r>
      <w:r>
        <w:t xml:space="preserve">Jason</w:t>
      </w:r>
      <w:r>
        <w:t xml:space="preserve"> </w:t>
      </w:r>
      <w:r>
        <w:t xml:space="preserve">Wiener,</w:t>
      </w:r>
      <w:r>
        <w:t xml:space="preserve"> </w:t>
      </w:r>
      <w:r>
        <w:t xml:space="preserve">Leland</w:t>
      </w:r>
      <w:r>
        <w:t xml:space="preserve"> </w:t>
      </w:r>
      <w:r>
        <w:t xml:space="preserve">Scantlebury</w:t>
      </w:r>
      <w:r>
        <w:t xml:space="preserve"> </w:t>
      </w:r>
      <w:r>
        <w:t xml:space="preserve">and</w:t>
      </w:r>
      <w:r>
        <w:t xml:space="preserve"> </w:t>
      </w:r>
      <w:r>
        <w:t xml:space="preserve">Thomas</w:t>
      </w:r>
      <w:r>
        <w:t xml:space="preserve"> </w:t>
      </w:r>
      <w:r>
        <w:t xml:space="preserve">Harter</w:t>
      </w:r>
    </w:p>
    <w:p>
      <w:pPr>
        <w:pStyle w:val="Date"/>
      </w:pPr>
      <w:r>
        <w:t xml:space="preserve">Feb. 2025</w:t>
      </w:r>
    </w:p>
    <w:bookmarkStart w:id="26" w:name="X36fa6955ee881a3061f3114fd02206899c105b3"/>
    <w:p>
      <w:pPr>
        <w:pStyle w:val="Heading1"/>
      </w:pPr>
      <w:r>
        <w:rPr>
          <w:rStyle w:val="SectionNumber"/>
        </w:rPr>
        <w:t xml:space="preserve">1</w:t>
      </w:r>
      <w:r>
        <w:tab/>
      </w:r>
      <w:r>
        <w:t xml:space="preserve">Scott River watershed setting and water use</w:t>
      </w:r>
    </w:p>
    <w:bookmarkStart w:id="24" w:name="geography-climate-and-hydrology"/>
    <w:p>
      <w:pPr>
        <w:pStyle w:val="Heading2"/>
      </w:pPr>
      <w:r>
        <w:rPr>
          <w:rStyle w:val="SectionNumber"/>
        </w:rPr>
        <w:t xml:space="preserve">1.1</w:t>
      </w:r>
      <w:r>
        <w:tab/>
      </w:r>
      <w:r>
        <w:t xml:space="preserve">Geography, climate and hydrology</w:t>
      </w:r>
    </w:p>
    <w:p>
      <w:pPr>
        <w:pStyle w:val="FirstParagraph"/>
      </w:pPr>
      <w:r>
        <w:t xml:space="preserve">The Scott River drains a 2,109 km</w:t>
      </w:r>
      <w:r>
        <w:rPr>
          <w:vertAlign w:val="superscript"/>
        </w:rPr>
        <w:t xml:space="preserve">2</w:t>
      </w:r>
      <w:r>
        <w:t xml:space="preserve"> </w:t>
      </w:r>
      <w:r>
        <w:t xml:space="preserve">(814 square mile) watershed known as Scott Valley, flowing generally from south to north and joining the Klamath River after flowing through a steep canyon (Figure</w:t>
      </w:r>
      <w:r>
        <w:t xml:space="preserve"> </w:t>
      </w:r>
      <w:r>
        <w:t xml:space="preserve">??</w:t>
      </w:r>
      <w:r>
        <w:t xml:space="preserve">). The Scott is a major tributary to the Klamath, which drains an area spanning sections of Northern California and Southern Oregon (Figure</w:t>
      </w:r>
      <w:r>
        <w:t xml:space="preserve"> </w:t>
      </w:r>
      <w:r>
        <w:t xml:space="preserve">??</w:t>
      </w:r>
      <w:r>
        <w:t xml:space="preserve">, inset map). Scott Valley has a Mediterranean climate with distinctive seasons of cool, wet winters and warm, dry summers. This seasonality in water input creates highly seasonal flow in the Scott River and tributary streams, where the beginning of a water year coincides with low flow conditions that immediately precede the onset of winter precipitation (Figure</w:t>
      </w:r>
      <w:r>
        <w:t xml:space="preserve"> </w:t>
      </w:r>
      <w:r>
        <w:t xml:space="preserve">1</w:t>
      </w:r>
      <w:r>
        <w:t xml:space="preserve">).</w:t>
      </w:r>
    </w:p>
    <w:p>
      <w:pPr>
        <w:pStyle w:val="BodyText"/>
      </w:pPr>
      <w:r>
        <w:t xml:space="preserve">In most dry-to-average water years, sections of the Scott River become seasonally dewatered</w:t>
      </w:r>
      <w:r>
        <w:t xml:space="preserve"> </w:t>
      </w:r>
      <w:r>
        <w:t xml:space="preserve">(NCRWQCB 2005; Figure 5 in Tolley, Foglia, and Harter 2019)</w:t>
      </w:r>
      <w:r>
        <w:t xml:space="preserve">. This occurs when the elevation of the water table drops below the bottom of the river channel, as streams and groundwater are highly interconnected in the Scott River watershed. Tributary streams, particularly along their alluvial fan apeces, and the upper Scott River are sources of recharge to the aquifer</w:t>
      </w:r>
      <w:r>
        <w:t xml:space="preserve"> </w:t>
      </w:r>
      <w:r>
        <w:t xml:space="preserve">(Mack 1958; Harter and Hines 2008)</w:t>
      </w:r>
      <w:r>
        <w:t xml:space="preserve">. Groundwater discharge sustains streamflow in low-lying areas, especially during the dry season of August through October or November</w:t>
      </w:r>
      <w:r>
        <w:t xml:space="preserve"> </w:t>
      </w:r>
      <w:r>
        <w:t xml:space="preserve">(Tolley, Foglia, and Harter 2019)</w:t>
      </w:r>
      <w:r>
        <w:t xml:space="preserve">. For consistency with regulatory and management programs in this region, this document uses units of cubic feet per second (cfs) when reporting hydrologic fluxes.</w:t>
      </w:r>
    </w:p>
    <w:p>
      <w:pPr>
        <w:pStyle w:val="SourceCode"/>
      </w:pPr>
      <w:r>
        <w:rPr>
          <w:rStyle w:val="VerbatimChar"/>
        </w:rPr>
        <w:t xml:space="preserve">## png </w:t>
      </w:r>
      <w:r>
        <w:br/>
      </w:r>
      <w:r>
        <w:rPr>
          <w:rStyle w:val="VerbatimChar"/>
        </w:rPr>
        <w:t xml:space="preserve">##   2</w:t>
      </w:r>
    </w:p>
    <w:p>
      <w:pPr>
        <w:pStyle w:val="CaptionedFigure"/>
      </w:pPr>
      <w:r>
        <w:drawing>
          <wp:inline>
            <wp:extent cx="5334000" cy="4572000"/>
            <wp:effectExtent b="0" l="0" r="0" t="0"/>
            <wp:docPr descr="Figure 1: Each translucent line traces one annual hydrograph measured at the Fort Jones gauge, and the darker lines illustrate the 30-day smoothed median daily flow in Dry, Below Average, Above Average, and Wet water year types, for water years 1942-2023. The water year type is defined by quartiles of the distribution of total annual flow." title="" id="21" name="Picture"/>
            <a:graphic>
              <a:graphicData uri="http://schemas.openxmlformats.org/drawingml/2006/picture">
                <pic:pic>
                  <pic:nvPicPr>
                    <pic:cNvPr descr="Graphics%20and%20Supplements/Figure%20100.png" id="22" name="Picture"/>
                    <pic:cNvPicPr>
                      <a:picLocks noChangeArrowheads="1" noChangeAspect="1"/>
                    </pic:cNvPicPr>
                  </pic:nvPicPr>
                  <pic:blipFill>
                    <a:blip r:embed="rId20"/>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bookmarkStart w:id="23" w:name="fig:fjFlowFigure"/>
      <w:bookmarkEnd w:id="23"/>
      <w:r>
        <w:t xml:space="preserve">Figure 1: Each translucent line traces one annual hydrograph measured at the Fort Jones gauge, and the darker lines illustrate the 30-day smoothed median daily flow in Dry, Below Average, Above Average, and Wet water year types, for water years 1942-2023. The water year type is defined by quartiles of the distribution of total annual flow.</w:t>
      </w:r>
    </w:p>
    <w:bookmarkEnd w:id="24"/>
    <w:bookmarkStart w:id="25" w:name="water-uses-and-management-objectives"/>
    <w:p>
      <w:pPr>
        <w:pStyle w:val="Heading2"/>
      </w:pPr>
      <w:r>
        <w:rPr>
          <w:rStyle w:val="SectionNumber"/>
        </w:rPr>
        <w:t xml:space="preserve">1.2</w:t>
      </w:r>
      <w:r>
        <w:tab/>
      </w:r>
      <w:r>
        <w:t xml:space="preserve">Water uses and management objectives</w:t>
      </w:r>
    </w:p>
    <w:p>
      <w:pPr>
        <w:pStyle w:val="FirstParagraph"/>
      </w:pPr>
      <w:r>
        <w:t xml:space="preserve">Water in Scott Valley is used for agricultural, domestic, and municipal supply. It also facilitates recreation and provides Native American cultural services, among other designated beneficial uses</w:t>
      </w:r>
      <w:r>
        <w:t xml:space="preserve"> </w:t>
      </w:r>
      <w:r>
        <w:t xml:space="preserve">(NCRWQCB 2006)</w:t>
      </w:r>
      <w:r>
        <w:t xml:space="preserve">.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w:t>
      </w:r>
      <w:r>
        <w:t xml:space="preserve"> </w:t>
      </w:r>
      <w:r>
        <w:t xml:space="preserve">(Siskiyou County 2021)</w:t>
      </w:r>
      <w:r>
        <w:t xml:space="preserve">.</w:t>
      </w:r>
    </w:p>
    <w:p>
      <w:pPr>
        <w:pStyle w:val="BodyText"/>
      </w:pPr>
      <w:r>
        <w:t xml:space="preserve">Historically, local regulation of land use has focused on maintaining the rural and agricultural character of Scott Valley</w:t>
      </w:r>
      <w:r>
        <w:t xml:space="preserve"> </w:t>
      </w:r>
      <w:r>
        <w:t xml:space="preserve">(Scott Valley Area Plan Committee 1980)</w:t>
      </w:r>
      <w:r>
        <w:t xml:space="preserve">. Regulating land use to improve ecological outcomes would entail significant economic, political and social risks, because much of the economic activity in this area is related to agriculture. The primary crops grown in Scott Valley are pasture for cattle feed and alfalfa</w:t>
      </w:r>
      <w:r>
        <w:t xml:space="preserve"> </w:t>
      </w:r>
      <w:r>
        <w:t xml:space="preserve">(Siskiyou County 2021)</w:t>
      </w:r>
      <w:r>
        <w:t xml:space="preserve">.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w:t>
      </w:r>
      <w:r>
        <w:t xml:space="preserve"> </w:t>
      </w:r>
      <w:r>
        <w:t xml:space="preserve">(Mansfield et al. 2012)</w:t>
      </w:r>
      <w:r>
        <w:t xml:space="preserve">.</w:t>
      </w:r>
    </w:p>
    <w:bookmarkEnd w:id="25"/>
    <w:bookmarkEnd w:id="26"/>
    <w:bookmarkStart w:id="29" w:name="X0bd3016bee80ab9702328ff78f59e4e0f8fa9fc"/>
    <w:p>
      <w:pPr>
        <w:pStyle w:val="Heading1"/>
      </w:pPr>
      <w:r>
        <w:rPr>
          <w:rStyle w:val="SectionNumber"/>
        </w:rPr>
        <w:t xml:space="preserve">2</w:t>
      </w:r>
      <w:r>
        <w:tab/>
      </w:r>
      <w:r>
        <w:t xml:space="preserve">Species of concern - coho and Chinook salmon</w:t>
      </w:r>
    </w:p>
    <w:bookmarkStart w:id="27" w:name="X136f33e79e427ef0f7f53ec015635d638b8a303"/>
    <w:p>
      <w:pPr>
        <w:pStyle w:val="Heading3"/>
      </w:pPr>
      <w:r>
        <w:rPr>
          <w:rStyle w:val="SectionNumber"/>
        </w:rPr>
        <w:t xml:space="preserve">2.0.1</w:t>
      </w:r>
      <w:r>
        <w:tab/>
      </w:r>
      <w:r>
        <w:t xml:space="preserve">Life cycle and status of coho salmon (</w:t>
      </w:r>
      <w:r>
        <w:rPr>
          <w:i/>
          <w:iCs/>
        </w:rPr>
        <w:t xml:space="preserve">Oncorhynchus kisutch</w:t>
      </w:r>
      <w:r>
        <w:t xml:space="preserve">)</w:t>
      </w:r>
    </w:p>
    <w:p>
      <w:pPr>
        <w:pStyle w:val="FirstParagraph"/>
      </w:pPr>
      <w:r>
        <w:t xml:space="preserve">Returning adult coho spawn in natal streams between November and January</w:t>
      </w:r>
      <w:r>
        <w:t xml:space="preserve"> </w:t>
      </w:r>
      <w:r>
        <w:t xml:space="preserve">(Knechtle and Giudice 2020)</w:t>
      </w:r>
      <w:r>
        <w:t xml:space="preserve">, and juvenile coho spend approximately one full year in freshwater streams before migrating to the ocean as smolts</w:t>
      </w:r>
      <w:r>
        <w:t xml:space="preserve"> </w:t>
      </w:r>
      <w:r>
        <w:t xml:space="preserve">(Moyle 2002; McMahon 1983)</w:t>
      </w:r>
      <w:r>
        <w:t xml:space="preserve">. In the Scott River system these natal streams are the tributaries along the margins of the valley floor</w:t>
      </w:r>
      <w:r>
        <w:t xml:space="preserve"> </w:t>
      </w:r>
      <w:r>
        <w:t xml:space="preserve">(SRCD 2004)</w:t>
      </w:r>
      <w:r>
        <w:t xml:space="preserve">.</w:t>
      </w:r>
    </w:p>
    <w:p>
      <w:pPr>
        <w:pStyle w:val="BodyText"/>
      </w:pPr>
      <w:r>
        <w:t xml:space="preserve">In previous studies, the strongest predictor of juvenile coho abundance in a stream system was spatial habitat</w:t>
      </w:r>
      <w:r>
        <w:t xml:space="preserve"> </w:t>
      </w:r>
      <w:r>
        <w:t xml:space="preserve">(Bradford, Taylor, and Allan 1997; Nickelson et al. 1992; Bustard and Narver 1975)</w:t>
      </w:r>
      <w:r>
        <w:t xml:space="preserve">, although adequate food and cover were also important</w:t>
      </w:r>
      <w:r>
        <w:t xml:space="preserve"> </w:t>
      </w:r>
      <w:r>
        <w:t xml:space="preserve">(McMahon 1983)</w:t>
      </w:r>
      <w:r>
        <w:t xml:space="preserve">. The primary mechanism for spatial constraints on abundance appears to be that juvenile coho become more territorial as they grow</w:t>
      </w:r>
      <w:r>
        <w:t xml:space="preserve"> </w:t>
      </w:r>
      <w:r>
        <w:t xml:space="preserve">(McMahon 1983)</w:t>
      </w:r>
      <w:r>
        <w:t xml:space="preserve">.</w:t>
      </w:r>
    </w:p>
    <w:p>
      <w:pPr>
        <w:pStyle w:val="BodyText"/>
      </w:pPr>
      <w:r>
        <w:t xml:space="preserve">Some coho salmon return to spawn at age 2 as grilse, but the majority (e.g., 92.4% in 2020) return after more than one year in the ocean, giving the Scott coho salmon run its characteristic 3-year cohort return interval</w:t>
      </w:r>
      <w:r>
        <w:t xml:space="preserve"> </w:t>
      </w:r>
      <w:r>
        <w:t xml:space="preserve">(Knechtle and Giudice 2020)</w:t>
      </w:r>
      <w:r>
        <w:t xml:space="preserve">.</w:t>
      </w:r>
    </w:p>
    <w:p>
      <w:pPr>
        <w:pStyle w:val="BodyText"/>
      </w:pPr>
      <w:r>
        <w:t xml:space="preserve">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w:t>
      </w:r>
      <w:r>
        <w:t xml:space="preserve"> </w:t>
      </w:r>
      <w:r>
        <w:t xml:space="preserve">(Brown, Moyle, and Yoshiyama 1994)</w:t>
      </w:r>
      <w:r>
        <w:t xml:space="preserve">.</w:t>
      </w:r>
    </w:p>
    <w:bookmarkEnd w:id="27"/>
    <w:bookmarkStart w:id="28" w:name="X1f6deda8747bb62c369b257f1af857aca7ccbda"/>
    <w:p>
      <w:pPr>
        <w:pStyle w:val="Heading3"/>
      </w:pPr>
      <w:r>
        <w:rPr>
          <w:rStyle w:val="SectionNumber"/>
        </w:rPr>
        <w:t xml:space="preserve">2.0.2</w:t>
      </w:r>
      <w:r>
        <w:tab/>
      </w:r>
      <w:r>
        <w:t xml:space="preserve">Life cycle and status of Chinook salmon (</w:t>
      </w:r>
      <w:r>
        <w:rPr>
          <w:i/>
          <w:iCs/>
        </w:rPr>
        <w:t xml:space="preserve">Onchorhynchus tsawytscha</w:t>
      </w:r>
      <w:r>
        <w:t xml:space="preserve">)</w:t>
      </w:r>
    </w:p>
    <w:p>
      <w:pPr>
        <w:pStyle w:val="FirstParagraph"/>
      </w:pPr>
      <w:r>
        <w:t xml:space="preserve">Chinook salmon in the Scott Valley are a candidate for listing under the federal ESA, and are not listed under the California ESA. They belong to the Southern Oregon / Northern California Coast (SONCC) Evolutionarily Significant Unit (ESU).</w:t>
      </w:r>
      <w:r>
        <w:t xml:space="preserve"> </w:t>
      </w:r>
      <w:r>
        <w:t xml:space="preserve">Typically, adult Chinook salmon return to spawn in Scott Valley streams in the fall months September-December when flows are sufficient for salmon passage</w:t>
      </w:r>
      <w:r>
        <w:t xml:space="preserve"> </w:t>
      </w:r>
      <w:r>
        <w:t xml:space="preserve">(Knechtle and Giudice 2020; Magranet 2015, 2017)</w:t>
      </w:r>
      <w:r>
        <w:t xml:space="preserve">. Chinook in this watershed hatch in the spring and migrate to the ocean in their first year of life</w:t>
      </w:r>
      <w:r>
        <w:t xml:space="preserve"> </w:t>
      </w:r>
      <w:r>
        <w:t xml:space="preserve">(Agrawal et al. 2005)</w:t>
      </w:r>
      <w:r>
        <w:t xml:space="preserve">. Chinook spend the majority of their life in the ocean, and return to their natal streams shortly before spawning</w:t>
      </w:r>
      <w:r>
        <w:t xml:space="preserve"> </w:t>
      </w:r>
      <w:r>
        <w:t xml:space="preserve">(Groot and Margolis 1991)</w:t>
      </w:r>
      <w:r>
        <w:t xml:space="preserve">. However, substantial variability exists within this broader structure: Chinook salmon exhibit variation in multiple life stages, including time of seaward migration, age of maturity, and timing of return to natal stream</w:t>
      </w:r>
      <w:r>
        <w:t xml:space="preserve"> </w:t>
      </w:r>
      <w:r>
        <w:t xml:space="preserve">(Groot and Margolis 1991; Bourret, Caudill, and Keefer 2016)</w:t>
      </w:r>
      <w:r>
        <w:t xml:space="preserve">.</w:t>
      </w:r>
    </w:p>
    <w:p>
      <w:pPr>
        <w:pStyle w:val="BodyText"/>
      </w:pPr>
      <w:r>
        <w:t xml:space="preserve">As recently as 2013, the SONCC Chinook population was stable and becoming more complex</w:t>
      </w:r>
      <w:r>
        <w:t xml:space="preserve"> </w:t>
      </w:r>
      <w:r>
        <w:t xml:space="preserve">(Wainwright et al. 2013)</w:t>
      </w:r>
      <w:r>
        <w:t xml:space="preserve">. However, in monitoring from 2015-2020, the number of returning adults (the escapement) was 65% below historical average, and the change in the Scott River Chinook population has been more rapid than the decline in the overall Klamath Basin Chinook run</w:t>
      </w:r>
      <w:r>
        <w:t xml:space="preserve"> </w:t>
      </w:r>
      <w:r>
        <w:t xml:space="preserve">(California Department of Fish and Wildlife 2021)</w:t>
      </w:r>
      <w:r>
        <w:t xml:space="preserve">. Ocean conditions may have contributed to a broad decline in Chinook populations from Alaska to California</w:t>
      </w:r>
      <w:r>
        <w:t xml:space="preserve"> </w:t>
      </w:r>
      <w:r>
        <w:t xml:space="preserve">(Welch, Porter, and Rechisky 2021)</w:t>
      </w:r>
      <w:r>
        <w:t xml:space="preserve">. Some studies have found that the leading cause of declining Chinook populations are ocean conditions, including including temperature, upwelling currents and food resources</w:t>
      </w:r>
      <w:r>
        <w:t xml:space="preserve"> </w:t>
      </w:r>
      <w:r>
        <w:t xml:space="preserve">(Hunt, Mulligan, and Komori 1999)</w:t>
      </w:r>
      <w:r>
        <w:t xml:space="preserve">, while others have identified hatchery practices as the primary cause</w:t>
      </w:r>
      <w:r>
        <w:t xml:space="preserve"> </w:t>
      </w:r>
      <w:r>
        <w:t xml:space="preserve">(Quiñones et al. 2014)</w:t>
      </w:r>
      <w:r>
        <w:t xml:space="preserve">.</w:t>
      </w:r>
    </w:p>
    <w:bookmarkEnd w:id="28"/>
    <w:bookmarkEnd w:id="29"/>
    <w:bookmarkStart w:id="35" w:name="functional-flows-background"/>
    <w:p>
      <w:pPr>
        <w:pStyle w:val="Heading1"/>
      </w:pPr>
      <w:r>
        <w:rPr>
          <w:rStyle w:val="SectionNumber"/>
        </w:rPr>
        <w:t xml:space="preserve">3</w:t>
      </w:r>
      <w:r>
        <w:tab/>
      </w:r>
      <w:r>
        <w:t xml:space="preserve">Functional Flows Background</w:t>
      </w:r>
    </w:p>
    <w:p>
      <w:pPr>
        <w:pStyle w:val="TableCaption"/>
      </w:pPr>
      <w:bookmarkStart w:id="30" w:name="tab:funcFlowTermsTab"/>
      <w:bookmarkEnd w:id="30"/>
      <w:r>
        <w:t xml:space="preserve">Table 1:</w:t>
      </w:r>
      <w:r>
        <w:t xml:space="preserve"> </w:t>
      </w:r>
      <w:r>
        <w:t xml:space="preserve">TO UPDATE. Explanation of hydrologic metrics used in this analysis. Each type of metric, for each threshold value (e.g., 100 cfs or 50th flow percentile), produces one value per water year. Example metric names also include abbreviations for salmon life periods described in Table 2 below.</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72"/>
        <w:gridCol w:w="2160"/>
        <w:gridCol w:w="1440"/>
        <w:gridCol w:w="4464"/>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Thresholds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DS_Dur_WS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Duration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duration (# of days from start of dry season to start of wet season)</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start timing (water year day of dry season)</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and 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Percentile of daily flow within dry season. </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 of days) of the fall pulse event</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fall pulse event in water year days</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 magnitude of fall pulse event (maximum daily peak flow during event) (cfs) in relevant lifestage.</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 (modified)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Difference between peak fall pulse discharge and dry season median discharge (Baruch et al. 2024).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Wet-season baseflow duration (# of days from start of wet-season to start of spring season)</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and 10th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magnitude of the median rate of baseflow (i.e., non-storm flow) during the wet season.</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wet-season in water year days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exceeding the 2, 5 and 10 year recurrence intervals of annual peak flow (50%, 20%, and 10% exceedance values).</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Peak_Fre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times that flow crosses over the threshold values for the 2-, 5- and 10-year flow (50%, 20%, and 10% exceedance values).</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Timing of first high-flow event in a water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Timing of first exceedance of threshold value for the 2-, 5- and 10-year flow (50%, 20% and 10% exceedance values), in water year days</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Magnitude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Single value for each threshold corresponding to the 2-, 5- and 10- year flow exceedance values, in cfs</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flow recession rate (median daily rate of change over decreasing periods during the recession)</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Maximum 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Maximum daily rate of change over decreasing periods during the recession</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of Spring Recession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Period elapsed from the start date of the spring recession until the start date of the following dry season.</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Magnitude of Spring Recession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Flow magnitude on the start date of the spring recession (the "peak" of the snowmelt pulse).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spring flow recession in water year days</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Mean_Ann_Flow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Annual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daily flow rate over a full water year.</w:t>
            </w:r>
          </w:p>
        </w:tc>
      </w:tr>
      <w:tr>
        <w:trPr>
          <w:trHeight w:val="360" w:hRule="auto"/>
        </w:trPr>
        body21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WY_Cat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Water Year Category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 of water year (Dry, Moderate, Wet)</w:t>
            </w:r>
          </w:p>
        </w:tc>
      </w:tr>
    </w:tbl>
    <w:p>
      <w:pPr>
        <w:pStyle w:val="SourceCode"/>
      </w:pPr>
      <w:r>
        <w:rPr>
          <w:rStyle w:val="VerbatimChar"/>
        </w:rPr>
        <w:t xml:space="preserve">## [1] FALSE</w:t>
      </w:r>
    </w:p>
    <w:p>
      <w:pPr>
        <w:pStyle w:val="CaptionedFigure"/>
      </w:pPr>
      <w:r>
        <w:drawing>
          <wp:inline>
            <wp:extent cx="5009989" cy="5932073"/>
            <wp:effectExtent b="0" l="0" r="0" t="0"/>
            <wp:docPr descr="Figure 2: Figure 2 from Yarnell et al., 2020. Illustration of five functional flow categories identified for a mixed rain-snowmelt runoff river in California." title="" id="32" name="Picture"/>
            <a:graphic>
              <a:graphicData uri="http://schemas.openxmlformats.org/drawingml/2006/picture">
                <pic:pic>
                  <pic:nvPicPr>
                    <pic:cNvPr descr="Graphics%20and%20Supplements/Figure%20101.png" id="33" name="Picture"/>
                    <pic:cNvPicPr>
                      <a:picLocks noChangeArrowheads="1" noChangeAspect="1"/>
                    </pic:cNvPicPr>
                  </pic:nvPicPr>
                  <pic:blipFill>
                    <a:blip r:embed="rId31"/>
                    <a:stretch>
                      <a:fillRect/>
                    </a:stretch>
                  </pic:blipFill>
                  <pic:spPr bwMode="auto">
                    <a:xfrm>
                      <a:off x="0" y="0"/>
                      <a:ext cx="5009989" cy="5932073"/>
                    </a:xfrm>
                    <a:prstGeom prst="rect">
                      <a:avLst/>
                    </a:prstGeom>
                    <a:noFill/>
                    <a:ln w="9525">
                      <a:noFill/>
                      <a:headEnd/>
                      <a:tailEnd/>
                    </a:ln>
                  </pic:spPr>
                </pic:pic>
              </a:graphicData>
            </a:graphic>
          </wp:inline>
        </w:drawing>
      </w:r>
    </w:p>
    <w:p>
      <w:pPr>
        <w:pStyle w:val="ImageCaption"/>
      </w:pPr>
      <w:bookmarkStart w:id="34" w:name="fig:fig2Yarnell2020"/>
      <w:bookmarkEnd w:id="34"/>
      <w:r>
        <w:t xml:space="preserve">Figure 2: Figure 2 from Yarnell et al., 2020. Illustration of five functional flow categories identified for a mixed rain-snowmelt runoff river in California.</w:t>
      </w:r>
    </w:p>
    <w:bookmarkEnd w:id="35"/>
    <w:bookmarkStart w:id="41" w:name="X4a0b1fd30caa3903d668a37fc55f7e74f86f272"/>
    <w:p>
      <w:pPr>
        <w:pStyle w:val="Heading1"/>
      </w:pPr>
      <w:r>
        <w:rPr>
          <w:rStyle w:val="SectionNumber"/>
        </w:rPr>
        <w:t xml:space="preserve">4</w:t>
      </w:r>
      <w:r>
        <w:tab/>
      </w:r>
      <w:r>
        <w:t xml:space="preserve">Hydrologic Metrics Designed for This Study</w:t>
      </w:r>
    </w:p>
    <w:p>
      <w:pPr>
        <w:pStyle w:val="TableCaption"/>
      </w:pPr>
      <w:bookmarkStart w:id="36" w:name="tab:customHydroMetricsTab"/>
      <w:bookmarkEnd w:id="36"/>
      <w:r>
        <w:t xml:space="preserve">Table 2:</w:t>
      </w:r>
      <w:r>
        <w:t xml:space="preserve"> </w:t>
      </w:r>
      <w:r>
        <w:t xml:space="preserve">Explanation of custom hydrologic metrics designed for this study, which are less complex than functional flows in that they do not rely on signal processing techniques. Each type of metric, for each threshold value (e.g., 120 cfs), produces one value per water year. Metric names used in predictive modeling also include abbreviations for salmon life periods (Table 3 below); e.g., f1_recon_120, referring to the timing of flow exceeding 120 cfs in a ohort's first fall season.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84"/>
        <w:gridCol w:w="2160"/>
        <w:gridCol w:w="1440"/>
        <w:gridCol w:w="4608"/>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Thresholds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recon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Reconnection Day (for a given life stage and threshold)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20, 120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fall, on which the Scott River gains a certain degree of connectivity. Defined as the first day on which FJ Gauge flow rises above a designated threshold (e.g., 20 cfs) (units of days after Aug. 31). Assigned to a salmon lifestage using a season identifier such as f1 (first fall, experienced by a cohort's spawning parents). Example: f1_recon_20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Disconnection Day (for a given life stage and threshold)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spring or early summer, on which the Scott River loses a certain degree of connectivity. Defined as the first day on which FJ Gauge flow drops below a designated threshold (e.g., 120 cfs) (units of days after Aug. 31). Assigned to a salmon lifestage using a season identifier such as s2 (second spring, experienced as outmigrating smolt). Example: s2_discon_120</w:t>
            </w:r>
          </w:p>
        </w:tc>
      </w:tr>
      <w:tr>
        <w:trPr>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num_days_gt_90_pctile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of high-flow events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90th flow percentile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in a water year in which the FJ daily average flow exceeded the 90th percentile flowrate in the full FJ Gauge record.</w:t>
            </w:r>
          </w:p>
        </w:tc>
      </w:tr>
    </w:tbl>
    <w:p>
      <w:pPr>
        <w:pStyle w:val="SourceCode"/>
      </w:pPr>
      <w:r>
        <w:rPr>
          <w:rStyle w:val="VerbatimChar"/>
        </w:rPr>
        <w:t xml:space="preserve">## png </w:t>
      </w:r>
      <w:r>
        <w:br/>
      </w:r>
      <w:r>
        <w:rPr>
          <w:rStyle w:val="VerbatimChar"/>
        </w:rPr>
        <w:t xml:space="preserve">##   2</w:t>
      </w:r>
    </w:p>
    <w:p>
      <w:pPr>
        <w:pStyle w:val="CaptionedFigure"/>
      </w:pPr>
      <w:r>
        <w:drawing>
          <wp:inline>
            <wp:extent cx="5334000" cy="3429000"/>
            <wp:effectExtent b="0" l="0" r="0" t="0"/>
            <wp:docPr descr="Figure 3: Reconnection and disconnection dates are highlighted for one water year. Two example thresholds, 20 and 120 cfs (0.57 and 3.4 cms, respectively) are highlighted, which correspond to distinct river connectivity (and salmon habitat access) conditions in the Scott River watershed as observed at the Fort Jones gauge (see Results for more detail on selection of flow thresholds)." title="" id="38" name="Picture"/>
            <a:graphic>
              <a:graphicData uri="http://schemas.openxmlformats.org/drawingml/2006/picture">
                <pic:pic>
                  <pic:nvPicPr>
                    <pic:cNvPr descr="Graphics%20and%20Supplements/Figure%20102.png" id="39" name="Picture"/>
                    <pic:cNvPicPr>
                      <a:picLocks noChangeArrowheads="1" noChangeAspect="1"/>
                    </pic:cNvPicPr>
                  </pic:nvPicPr>
                  <pic:blipFill>
                    <a:blip r:embed="rId37"/>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bookmarkStart w:id="40" w:name="fig:reconnectExplainerHydrograph"/>
      <w:bookmarkEnd w:id="40"/>
      <w:r>
        <w:t xml:space="preserve">Figure 3: Reconnection and disconnection dates are highlighted for one water year. Two example thresholds, 20 and 120 cfs (0.57 and 3.4 cms, respectively) are highlighted, which correspond to distinct river connectivity (and salmon habitat access) conditions in the Scott River watershed as observed at the Fort Jones gauge (see Results for more detail on selection of flow thresholds).</w:t>
      </w:r>
    </w:p>
    <w:bookmarkEnd w:id="41"/>
    <w:bookmarkStart w:id="46" w:name="screening-predictors-for-collinearity"/>
    <w:p>
      <w:pPr>
        <w:pStyle w:val="Heading1"/>
      </w:pPr>
      <w:r>
        <w:rPr>
          <w:rStyle w:val="SectionNumber"/>
        </w:rPr>
        <w:t xml:space="preserve">5</w:t>
      </w:r>
      <w:r>
        <w:tab/>
      </w:r>
      <w:r>
        <w:t xml:space="preserve">Screening Predictors for Collinearity</w:t>
      </w:r>
    </w:p>
    <w:bookmarkStart w:id="42" w:name="groups-1-and-2"/>
    <w:p>
      <w:pPr>
        <w:pStyle w:val="Heading2"/>
      </w:pPr>
      <w:r>
        <w:rPr>
          <w:rStyle w:val="SectionNumber"/>
        </w:rPr>
        <w:t xml:space="preserve">5.1</w:t>
      </w:r>
      <w:r>
        <w:tab/>
      </w:r>
      <w:r>
        <w:t xml:space="preserve">Groups 1 and 2</w:t>
      </w:r>
    </w:p>
    <w:p>
      <w:pPr>
        <w:pStyle w:val="FirstParagraph"/>
      </w:pPr>
      <w:r>
        <w:t xml:space="preserve">These metrics describe the magnitude and timing of wet-season flows (years 1 and 2), effectively characterized by the question, how wet was the wet season?. We selected</w:t>
      </w:r>
      <w:r>
        <w:t xml:space="preserve"> </w:t>
      </w:r>
      <w:r>
        <w:rPr>
          <w:rStyle w:val="VerbatimChar"/>
        </w:rPr>
        <w:t xml:space="preserve">w1_Wet_BFL_Mag_50</w:t>
      </w:r>
      <w:r>
        <w:t xml:space="preserve"> </w:t>
      </w:r>
      <w:r>
        <w:t xml:space="preserve">and</w:t>
      </w:r>
      <w:r>
        <w:t xml:space="preserve"> </w:t>
      </w:r>
      <w:r>
        <w:rPr>
          <w:rStyle w:val="VerbatimChar"/>
        </w:rPr>
        <w:t xml:space="preserve">w2_Wet_BFL_Mag_50</w:t>
      </w:r>
      <w:r>
        <w:t xml:space="preserve"> </w:t>
      </w:r>
      <w:r>
        <w:t xml:space="preserve">as the most conceptually central metric to represent the amount of water passing through the watershed during two wet seasons:</w:t>
      </w:r>
      <w:r>
        <w:t xml:space="preserve"> </w:t>
      </w:r>
      <w:r>
        <w:rPr>
          <w:rStyle w:val="VerbatimChar"/>
        </w:rPr>
        <w:t xml:space="preserve">w1</w:t>
      </w:r>
      <w:r>
        <w:t xml:space="preserve">, the first wet season, experienced by a cohort as eggs and newly-hatched alevin and fry, and</w:t>
      </w:r>
      <w:r>
        <w:t xml:space="preserve"> </w:t>
      </w:r>
      <w:r>
        <w:rPr>
          <w:rStyle w:val="VerbatimChar"/>
        </w:rPr>
        <w:t xml:space="preserve">w2</w:t>
      </w:r>
      <w:r>
        <w:t xml:space="preserve">, experienced by the cohort as overwintering parr.</w:t>
      </w:r>
    </w:p>
    <w:bookmarkEnd w:id="42"/>
    <w:bookmarkStart w:id="43" w:name="group-3"/>
    <w:p>
      <w:pPr>
        <w:pStyle w:val="Heading2"/>
      </w:pPr>
      <w:r>
        <w:rPr>
          <w:rStyle w:val="SectionNumber"/>
        </w:rPr>
        <w:t xml:space="preserve">5.2</w:t>
      </w:r>
      <w:r>
        <w:tab/>
      </w:r>
      <w:r>
        <w:t xml:space="preserve">Group 3</w:t>
      </w:r>
    </w:p>
    <w:p>
      <w:pPr>
        <w:pStyle w:val="FirstParagraph"/>
      </w:pPr>
      <w:r>
        <w:t xml:space="preserve">These metrics describe the magnitude and timing of dry-season flows before the cohort’s spawning. We selected</w:t>
      </w:r>
      <w:r>
        <w:t xml:space="preserve"> </w:t>
      </w:r>
      <w:r>
        <w:rPr>
          <w:rStyle w:val="VerbatimChar"/>
        </w:rPr>
        <w:t xml:space="preserve">d1_DS_Mag_50</w:t>
      </w:r>
      <w:r>
        <w:t xml:space="preserve"> </w:t>
      </w:r>
      <w:r>
        <w:t xml:space="preserve">as the most conceptually central metric to represent the amount of water passing through the watershed during the dry season before a cohort’s parents’ spawning.</w:t>
      </w:r>
    </w:p>
    <w:bookmarkEnd w:id="43"/>
    <w:bookmarkStart w:id="44" w:name="groups-4-and-5"/>
    <w:p>
      <w:pPr>
        <w:pStyle w:val="Heading2"/>
      </w:pPr>
      <w:r>
        <w:rPr>
          <w:rStyle w:val="SectionNumber"/>
        </w:rPr>
        <w:t xml:space="preserve">5.3</w:t>
      </w:r>
      <w:r>
        <w:tab/>
      </w:r>
      <w:r>
        <w:t xml:space="preserve">Groups 4 and 5</w:t>
      </w:r>
    </w:p>
    <w:p>
      <w:pPr>
        <w:pStyle w:val="FirstParagraph"/>
      </w:pPr>
      <w:r>
        <w:t xml:space="preserve">These metrics quantify the timing of the wet season onset and duration (year 2). We selected</w:t>
      </w:r>
      <w:r>
        <w:t xml:space="preserve"> </w:t>
      </w:r>
      <w:r>
        <w:rPr>
          <w:rStyle w:val="VerbatimChar"/>
        </w:rPr>
        <w:t xml:space="preserve">w2_Wet_Tim</w:t>
      </w:r>
      <w:r>
        <w:t xml:space="preserve">, the timing of the onset of the second wet season, and</w:t>
      </w:r>
      <w:r>
        <w:t xml:space="preserve"> </w:t>
      </w:r>
      <w:r>
        <w:rPr>
          <w:rStyle w:val="VerbatimChar"/>
        </w:rPr>
        <w:t xml:space="preserve">w2_Wet_BFL_Dur</w:t>
      </w:r>
      <w:r>
        <w:t xml:space="preserve">, the duration of wet season baseflow, to characterize the timing of the wet season experienced by a cohort of coho as overwintering juveniles.</w:t>
      </w:r>
    </w:p>
    <w:bookmarkEnd w:id="44"/>
    <w:bookmarkStart w:id="45" w:name="groups-6-and-7"/>
    <w:p>
      <w:pPr>
        <w:pStyle w:val="Heading2"/>
      </w:pPr>
      <w:r>
        <w:rPr>
          <w:rStyle w:val="SectionNumber"/>
        </w:rPr>
        <w:t xml:space="preserve">5.4</w:t>
      </w:r>
      <w:r>
        <w:tab/>
      </w:r>
      <w:r>
        <w:t xml:space="preserve">Groups 6 and 7:</w:t>
      </w:r>
    </w:p>
    <w:p>
      <w:pPr>
        <w:pStyle w:val="FirstParagraph"/>
      </w:pPr>
      <w:r>
        <w:t xml:space="preserve">These metrics quantify the magnitude of the fall pulse flow (years 1 and 2). Although</w:t>
      </w:r>
      <w:r>
        <w:t xml:space="preserve"> </w:t>
      </w:r>
      <w:r>
        <w:rPr>
          <w:rStyle w:val="VerbatimChar"/>
        </w:rPr>
        <w:t xml:space="preserve">FA_num_diff</w:t>
      </w:r>
      <w:r>
        <w:t xml:space="preserve"> </w:t>
      </w:r>
      <w:r>
        <w:t xml:space="preserve">had a higher sample size, we selected</w:t>
      </w:r>
      <w:r>
        <w:t xml:space="preserve"> </w:t>
      </w:r>
      <w:r>
        <w:rPr>
          <w:rStyle w:val="VerbatimChar"/>
        </w:rPr>
        <w:t xml:space="preserve">f1_FA_Mag</w:t>
      </w:r>
      <w:r>
        <w:t xml:space="preserve"> </w:t>
      </w:r>
      <w:r>
        <w:t xml:space="preserve">and</w:t>
      </w:r>
      <w:r>
        <w:t xml:space="preserve"> </w:t>
      </w:r>
      <w:r>
        <w:rPr>
          <w:rStyle w:val="VerbatimChar"/>
        </w:rPr>
        <w:t xml:space="preserve">f2_FA_Mag</w:t>
      </w:r>
      <w:r>
        <w:t xml:space="preserve"> </w:t>
      </w:r>
      <w:r>
        <w:t xml:space="preserve">to better reflect the years in which an identifiable fall pulse occurred before the onset of the wet season.</w:t>
      </w:r>
    </w:p>
    <w:bookmarkEnd w:id="45"/>
    <w:bookmarkEnd w:id="46"/>
    <w:bookmarkStart w:id="51" w:name="ecological-data-features"/>
    <w:p>
      <w:pPr>
        <w:pStyle w:val="Heading1"/>
      </w:pPr>
      <w:r>
        <w:rPr>
          <w:rStyle w:val="SectionNumber"/>
        </w:rPr>
        <w:t xml:space="preserve">6</w:t>
      </w:r>
      <w:r>
        <w:tab/>
      </w:r>
      <w:r>
        <w:t xml:space="preserve">Ecological Data Features</w:t>
      </w:r>
    </w:p>
    <w:p>
      <w:pPr>
        <w:pStyle w:val="FirstParagraph"/>
      </w:pPr>
      <w:r>
        <w:t xml:space="preserve">Plot spawners vs juveniles and spawners vs redds (color coded by year?)</w:t>
      </w:r>
    </w:p>
    <w:p>
      <w:pPr>
        <w:pStyle w:val="BodyText"/>
      </w:pPr>
      <w:r>
        <w:t xml:space="preserve">Plot ACF for each eco record</w:t>
      </w:r>
    </w:p>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4: Autocorrelation function estimates for all available ecological outcome records." title="" id="48" name="Picture"/>
            <a:graphic>
              <a:graphicData uri="http://schemas.openxmlformats.org/drawingml/2006/picture">
                <pic:pic>
                  <pic:nvPicPr>
                    <pic:cNvPr descr="Graphics%20and%20Supplements/Figure%20103.png" id="49" name="Picture"/>
                    <pic:cNvPicPr>
                      <a:picLocks noChangeArrowheads="1" noChangeAspect="1"/>
                    </pic:cNvPicPr>
                  </pic:nvPicPr>
                  <pic:blipFill>
                    <a:blip r:embed="rId47"/>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50" w:name="fig:acfEcoRecords"/>
      <w:bookmarkEnd w:id="50"/>
      <w:r>
        <w:t xml:space="preserve">Figure 4: Autocorrelation function estimates for all available ecological outcome records.</w:t>
      </w:r>
    </w:p>
    <w:bookmarkEnd w:id="51"/>
    <w:bookmarkStart w:id="62" w:name="statistical-method-details"/>
    <w:p>
      <w:pPr>
        <w:pStyle w:val="Heading1"/>
      </w:pPr>
      <w:r>
        <w:rPr>
          <w:rStyle w:val="SectionNumber"/>
        </w:rPr>
        <w:t xml:space="preserve">7</w:t>
      </w:r>
      <w:r>
        <w:tab/>
      </w:r>
      <w:r>
        <w:t xml:space="preserve">Statistical Method Details</w:t>
      </w:r>
    </w:p>
    <w:bookmarkStart w:id="58" w:name="lasso-regression-juveniles-per-spawner"/>
    <w:p>
      <w:pPr>
        <w:pStyle w:val="Heading2"/>
      </w:pPr>
      <w:r>
        <w:rPr>
          <w:rStyle w:val="SectionNumber"/>
        </w:rPr>
        <w:t xml:space="preserve">7.1</w:t>
      </w:r>
      <w:r>
        <w:tab/>
      </w:r>
      <w:r>
        <w:t xml:space="preserve">Lasso Regression, juveniles per spawner</w:t>
      </w:r>
    </w:p>
    <w:p>
      <w:pPr>
        <w:pStyle w:val="SourceCode"/>
      </w:pPr>
      <w:r>
        <w:rPr>
          <w:rStyle w:val="VerbatimChar"/>
        </w:rPr>
        <w:t xml:space="preserve">## Warning: Option grouped=FALSE enforced in cv.glmnet, since &lt; 3 observations per</w:t>
      </w:r>
      <w:r>
        <w:br/>
      </w:r>
      <w:r>
        <w:rPr>
          <w:rStyle w:val="VerbatimChar"/>
        </w:rPr>
        <w:t xml:space="preserve">## fold</w:t>
      </w:r>
      <w:r>
        <w:br/>
      </w:r>
      <w:r>
        <w:rPr>
          <w:rStyle w:val="VerbatimChar"/>
        </w:rPr>
        <w:t xml:space="preserve">## Warning: Option grouped=FALSE enforced in cv.glmnet, since &lt; 3 observations per</w:t>
      </w:r>
      <w:r>
        <w:br/>
      </w:r>
      <w:r>
        <w:rPr>
          <w:rStyle w:val="VerbatimChar"/>
        </w:rPr>
        <w:t xml:space="preserve">## fold</w:t>
      </w:r>
    </w:p>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5: Results of lasso regression to predict log-transformed coho and Chinook outcomes with Z-scored hydrologic metrics. Models with more coefficients explain a greater fraction of deviance in the dataset (middle panel), but also produce higher test errors (top panel), indicating some overfitting at lower lambda values. Higher values of lambda tend to shrink the absolute values of regression coefficients toward 0 (bottom panel)." title="" id="53" name="Picture"/>
            <a:graphic>
              <a:graphicData uri="http://schemas.openxmlformats.org/drawingml/2006/picture">
                <pic:pic>
                  <pic:nvPicPr>
                    <pic:cNvPr descr="Graphics%20and%20Supplements/Figure%20104.png" id="54" name="Picture"/>
                    <pic:cNvPicPr>
                      <a:picLocks noChangeArrowheads="1" noChangeAspect="1"/>
                    </pic:cNvPicPr>
                  </pic:nvPicPr>
                  <pic:blipFill>
                    <a:blip r:embed="rId52"/>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55" w:name="fig:jpsLassoCohoChinook"/>
      <w:bookmarkEnd w:id="55"/>
      <w:r>
        <w:t xml:space="preserve">Figure 5: Results of lasso regression to predict log-transformed coho and Chinook outcomes with Z-scored hydrologic metrics. Models with more coefficients explain a greater fraction of deviance in the dataset (middle panel), but also produce higher test errors (top panel), indicating some overfitting at lower lambda values. Higher values of lambda tend to shrink the absolute values of regression coefficients toward 0 (bottom panel).</w:t>
      </w:r>
    </w:p>
    <w:p>
      <w:pPr>
        <w:pStyle w:val="TableCaption"/>
      </w:pPr>
      <w:bookmarkStart w:id="56" w:name="tab:jpsCoefTableCoho"/>
      <w:bookmarkEnd w:id="56"/>
      <w:r>
        <w:t xml:space="preserve">Table 3:</w:t>
      </w:r>
      <w:r>
        <w:t xml:space="preserve"> </w:t>
      </w:r>
      <w:r>
        <w:t xml:space="preserve">Values for the intercept and coefficient terms in the Hydrologic Benefit function for estimated coho smolts per female spawner, including a description of which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440"/>
        <w:gridCol w:w="43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Hydrologic Benefit value associated with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fall reconnection (during parents' spawning)</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Longer wet season (as eggs and hatchlings)</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Smaller fall pulse (as juvenile fish)</w:t>
            </w:r>
          </w:p>
        </w:tc>
      </w:tr>
      <w:tr>
        <w:trPr>
          <w:trHeight w:val="360"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Faster rate of change, spring recession (as outmigrating smolts)</w:t>
            </w:r>
          </w:p>
        </w:tc>
      </w:tr>
    </w:tbl>
    <w:p>
      <w:pPr>
        <w:pStyle w:val="TableCaption"/>
      </w:pPr>
      <w:bookmarkStart w:id="57" w:name="tab:jpsCoefTableChinook"/>
      <w:bookmarkEnd w:id="57"/>
      <w:r>
        <w:t xml:space="preserve">Table 4:</w:t>
      </w:r>
      <w:r>
        <w:t xml:space="preserve"> </w:t>
      </w:r>
      <w:r>
        <w:t xml:space="preserve">Values for the intercept and coefficient terms in the Hydrologic Benefit function for estimated Chinook juvenile abundance, including a description of which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440"/>
        <w:gridCol w:w="43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Hydrologic Benefit value associated with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Smaller wet season baseflows (as eggs and hatchlings)</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Slower max. rate of change, spring recession (as outmigrating smolt)</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Longer wet season duration (as eggs and hatchlings)</w:t>
            </w:r>
          </w:p>
        </w:tc>
      </w:tr>
    </w:tbl>
    <w:bookmarkEnd w:id="58"/>
    <w:bookmarkStart w:id="61" w:name="marss-models"/>
    <w:p>
      <w:pPr>
        <w:pStyle w:val="Heading2"/>
      </w:pPr>
      <w:r>
        <w:rPr>
          <w:rStyle w:val="SectionNumber"/>
        </w:rPr>
        <w:t xml:space="preserve">7.2</w:t>
      </w:r>
      <w:r>
        <w:tab/>
      </w:r>
      <w:r>
        <w:t xml:space="preserve">MARSS Models</w:t>
      </w:r>
    </w:p>
    <w:bookmarkStart w:id="59" w:name="X53ba3ae59a0a1d3d9001f54a4c1d9c8ec796c14"/>
    <w:p>
      <w:pPr>
        <w:pStyle w:val="Heading3"/>
      </w:pPr>
      <w:r>
        <w:rPr>
          <w:rStyle w:val="SectionNumber"/>
        </w:rPr>
        <w:t xml:space="preserve">7.2.1</w:t>
      </w:r>
      <w:r>
        <w:tab/>
      </w:r>
      <w:r>
        <w:t xml:space="preserve">MARSS models of juveniles per spawner, single hydrologic covariate</w:t>
      </w:r>
    </w:p>
    <w:p>
      <w:pPr>
        <w:pStyle w:val="FirstParagraph"/>
      </w:pPr>
      <w:r>
        <w:t xml:space="preserve">Multi-variate autoregressive state-space (MARSS) models are often used to model time series data (in which )</w:t>
      </w:r>
    </w:p>
    <w:p>
      <w:pPr>
        <w:pStyle w:val="TableCaption"/>
      </w:pPr>
      <w:r>
        <w:t xml:space="preserve">(#tab:MARSS_single_covar_table_co)</w:t>
      </w:r>
      <w:r>
        <w:t xml:space="preserve">Characteristics of MARSS models ofcoho spfusing one hydrologic metric as the single covariate in each model.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440"/>
        <w:gridCol w:w="432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Covariate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Coefficient</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21.24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-0.403</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0.102</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0.102</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0.102</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-0.093</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-0.173</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0.085</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-0.109</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0.085</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0.046</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0.046</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0.029</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-0.023</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0.036</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0.007</w:t>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0.003</w:t>
            </w:r>
          </w:p>
        </w:tc>
      </w:tr>
    </w:tbl>
    <w:p>
      <w:pPr>
        <w:pStyle w:val="TableCaption"/>
      </w:pPr>
      <w:r>
        <w:t xml:space="preserve">(#tab:MARSS_single_covar_table_ch)</w:t>
      </w:r>
      <w:r>
        <w:t xml:space="preserve">Values for the intercept and coefficient terms in the Hydrologic Benefit function for estimated Chinook juvenile abundance, including a description of which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440"/>
        <w:gridCol w:w="432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Covariate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Coefficient</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d1_DS_Mag_90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28.91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0.069</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0.069</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0.069</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-0.039</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-0.019</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-0.039</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-0.013</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0.002</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s2_SP_Tim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bookmarkEnd w:id="59"/>
    <w:bookmarkStart w:id="60" w:name="Xc8a2b3538a05b09314eb37a2c4f11d2e1ddb61e"/>
    <w:p>
      <w:pPr>
        <w:pStyle w:val="Heading3"/>
      </w:pPr>
      <w:r>
        <w:rPr>
          <w:rStyle w:val="SectionNumber"/>
        </w:rPr>
        <w:t xml:space="preserve">7.2.2</w:t>
      </w:r>
      <w:r>
        <w:tab/>
      </w:r>
      <w:r>
        <w:t xml:space="preserve">MARSS models, two covariates (spawner abundance and one hydrologic)</w:t>
      </w:r>
    </w:p>
    <w:p>
      <w:pPr>
        <w:pStyle w:val="FirstParagraph"/>
      </w:pPr>
      <w:r>
        <w:t xml:space="preserve">As another technique, we could attempt to model observed juvenile abundance using each hydrologic metric paired with the observed spawner abundance among the parents of a given cohort.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440"/>
        <w:gridCol w:w="14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flow</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spawn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36.27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-0.016</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-0.036</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-0.023</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-0.021</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-0.012</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-0.017</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-0.006</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-0.002</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-0.005</w:t>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42.30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-0.006</w:t>
            </w:r>
          </w:p>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440"/>
        <w:gridCol w:w="14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Hydrologic Covariate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 Coef.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Spawner Coef.</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35.80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0.0025</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-0.0022</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-0.0021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0.0002</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0.0014</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0.0024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0.0004</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0.0004</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s2_SP_Tim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bookmarkEnd w:id="60"/>
    <w:bookmarkEnd w:id="61"/>
    <w:bookmarkEnd w:id="62"/>
    <w:bookmarkStart w:id="99" w:name="references"/>
    <w:p>
      <w:pPr>
        <w:pStyle w:val="Heading1"/>
      </w:pPr>
      <w:r>
        <w:t xml:space="preserve">References</w:t>
      </w:r>
    </w:p>
    <w:bookmarkStart w:id="98" w:name="refs"/>
    <w:bookmarkStart w:id="63" w:name="ref-AgrawalEtAlPREDICTING2005"/>
    <w:p>
      <w:pPr>
        <w:pStyle w:val="Bibliography"/>
      </w:pPr>
      <w:r>
        <w:t xml:space="preserve">Agrawal, A, R S Schick, E P Bjorkstedt, R G Szerlong, M N Goslin, B C Spence, T H Williams, and K M Burnett. 2005.</w:t>
      </w:r>
      <w:r>
        <w:t xml:space="preserve"> </w:t>
      </w:r>
      <w:r>
        <w:t xml:space="preserve">“</w:t>
      </w:r>
      <w:r>
        <w:t xml:space="preserve">PREDICTING THE POTENTIAL FOR HISTORICAL COHO</w:t>
      </w:r>
      <w:r>
        <w:t xml:space="preserve">,</w:t>
      </w:r>
      <w:r>
        <w:t xml:space="preserve"> </w:t>
      </w:r>
      <w:r>
        <w:t xml:space="preserve">CHINOOK AND STEELHEAD HABITAT IN NORTHERN CALIFORNIA</w:t>
      </w:r>
      <w:r>
        <w:t xml:space="preserve">.”</w:t>
      </w:r>
      <w:r>
        <w:t xml:space="preserve"> </w:t>
      </w:r>
      <w:r>
        <w:t xml:space="preserve">National Marine Fisheries Service.</w:t>
      </w:r>
    </w:p>
    <w:bookmarkEnd w:id="63"/>
    <w:bookmarkStart w:id="65" w:name="ref-BourretEtAlDiversity2016"/>
    <w:p>
      <w:pPr>
        <w:pStyle w:val="Bibliography"/>
      </w:pPr>
      <w:r>
        <w:t xml:space="preserve">Bourret, Samuel L., Christopher C. Caudill, and Matthew L. Keefer. 2016.</w:t>
      </w:r>
      <w:r>
        <w:t xml:space="preserve"> </w:t>
      </w:r>
      <w:r>
        <w:t xml:space="preserve">“Diversity of Juvenile</w:t>
      </w:r>
      <w:r>
        <w:t xml:space="preserve"> </w:t>
      </w:r>
      <w:r>
        <w:t xml:space="preserve">Chinook</w:t>
      </w:r>
      <w:r>
        <w:t xml:space="preserve"> </w:t>
      </w:r>
      <w:r>
        <w:t xml:space="preserve">Salmon Life History Pathways.”</w:t>
      </w:r>
      <w:r>
        <w:t xml:space="preserve"> </w:t>
      </w:r>
      <w:r>
        <w:rPr>
          <w:i/>
          <w:iCs/>
        </w:rPr>
        <w:t xml:space="preserve">Reviews in Fish Biology and Fisheries</w:t>
      </w:r>
      <w:r>
        <w:t xml:space="preserve"> </w:t>
      </w:r>
      <w:r>
        <w:t xml:space="preserve">26 (3): 375–403.</w:t>
      </w:r>
      <w:r>
        <w:t xml:space="preserve"> </w:t>
      </w:r>
      <w:hyperlink r:id="rId64">
        <w:r>
          <w:rPr>
            <w:rStyle w:val="Hyperlink"/>
          </w:rPr>
          <w:t xml:space="preserve">https://doi.org/10.1007/s11160-016-9432-3</w:t>
        </w:r>
      </w:hyperlink>
      <w:r>
        <w:t xml:space="preserve">.</w:t>
      </w:r>
    </w:p>
    <w:bookmarkEnd w:id="65"/>
    <w:bookmarkStart w:id="67" w:name="ref-BradfordEtAlEmpirical1997"/>
    <w:p>
      <w:pPr>
        <w:pStyle w:val="Bibliography"/>
      </w:pPr>
      <w:r>
        <w:t xml:space="preserve">Bradford, Michael J., Garth C. Taylor, and J. Andrew Allan. 1997.</w:t>
      </w:r>
      <w:r>
        <w:t xml:space="preserve"> </w:t>
      </w:r>
      <w:r>
        <w:t xml:space="preserve">“Empirical</w:t>
      </w:r>
      <w:r>
        <w:t xml:space="preserve"> </w:t>
      </w:r>
      <w:r>
        <w:t xml:space="preserve">Review</w:t>
      </w:r>
      <w:r>
        <w:t xml:space="preserve"> </w:t>
      </w:r>
      <w:r>
        <w:t xml:space="preserve">of</w:t>
      </w:r>
      <w:r>
        <w:t xml:space="preserve"> </w:t>
      </w:r>
      <w:r>
        <w:t xml:space="preserve">Coho Salmon Smolt Abundance</w:t>
      </w:r>
      <w:r>
        <w:t xml:space="preserve"> </w:t>
      </w:r>
      <w:r>
        <w:t xml:space="preserve">and the</w:t>
      </w:r>
      <w:r>
        <w:t xml:space="preserve"> </w:t>
      </w:r>
      <w:r>
        <w:t xml:space="preserve">Prediction</w:t>
      </w:r>
      <w:r>
        <w:t xml:space="preserve"> </w:t>
      </w:r>
      <w:r>
        <w:t xml:space="preserve">of</w:t>
      </w:r>
      <w:r>
        <w:t xml:space="preserve"> </w:t>
      </w:r>
      <w:r>
        <w:t xml:space="preserve">Smolt Production</w:t>
      </w:r>
      <w:r>
        <w:t xml:space="preserve"> </w:t>
      </w:r>
      <w:r>
        <w:t xml:space="preserve">at the</w:t>
      </w:r>
      <w:r>
        <w:t xml:space="preserve"> </w:t>
      </w:r>
      <w:r>
        <w:t xml:space="preserve">Regional Level</w:t>
      </w:r>
      <w:r>
        <w:t xml:space="preserve">.”</w:t>
      </w:r>
      <w:r>
        <w:t xml:space="preserve"> </w:t>
      </w:r>
      <w:r>
        <w:rPr>
          <w:i/>
          <w:iCs/>
        </w:rPr>
        <w:t xml:space="preserve">Transactions of the American Fisheries Society</w:t>
      </w:r>
      <w:r>
        <w:t xml:space="preserve"> </w:t>
      </w:r>
      <w:r>
        <w:t xml:space="preserve">126 (1): 49–64.</w:t>
      </w:r>
      <w:r>
        <w:t xml:space="preserve"> </w:t>
      </w:r>
      <w:hyperlink r:id="rId66">
        <w:r>
          <w:rPr>
            <w:rStyle w:val="Hyperlink"/>
          </w:rPr>
          <w:t xml:space="preserve">https://doi.org/10.1577/1548-8659(1997)126&lt;0049:EROCSS&gt;2.3.CO;2</w:t>
        </w:r>
      </w:hyperlink>
      <w:r>
        <w:t xml:space="preserve">.</w:t>
      </w:r>
    </w:p>
    <w:bookmarkEnd w:id="67"/>
    <w:bookmarkStart w:id="69" w:name="ref-BrownEtAlHistorical1994"/>
    <w:p>
      <w:pPr>
        <w:pStyle w:val="Bibliography"/>
      </w:pPr>
      <w:r>
        <w:t xml:space="preserve">Brown, Larry R., Peter B. Moyle, and Ronald M. Yoshiyama. 1994.</w:t>
      </w:r>
      <w:r>
        <w:t xml:space="preserve"> </w:t>
      </w:r>
      <w:r>
        <w:t xml:space="preserve">“Historical</w:t>
      </w:r>
      <w:r>
        <w:t xml:space="preserve"> </w:t>
      </w:r>
      <w:r>
        <w:t xml:space="preserve">Decline</w:t>
      </w:r>
      <w:r>
        <w:t xml:space="preserve"> </w:t>
      </w:r>
      <w:r>
        <w:t xml:space="preserve">and</w:t>
      </w:r>
      <w:r>
        <w:t xml:space="preserve"> </w:t>
      </w:r>
      <w:r>
        <w:t xml:space="preserve">Current Status</w:t>
      </w:r>
      <w:r>
        <w:t xml:space="preserve"> </w:t>
      </w:r>
      <w:r>
        <w:t xml:space="preserve">of</w:t>
      </w:r>
      <w:r>
        <w:t xml:space="preserve"> </w:t>
      </w:r>
      <w:r>
        <w:t xml:space="preserve">Coho Salmon</w:t>
      </w:r>
      <w:r>
        <w:t xml:space="preserve"> </w:t>
      </w:r>
      <w:r>
        <w:t xml:space="preserve">in</w:t>
      </w:r>
      <w:r>
        <w:t xml:space="preserve"> </w:t>
      </w:r>
      <w:r>
        <w:t xml:space="preserve">California</w:t>
      </w:r>
      <w:r>
        <w:t xml:space="preserve">.”</w:t>
      </w:r>
      <w:r>
        <w:t xml:space="preserve"> </w:t>
      </w:r>
      <w:r>
        <w:rPr>
          <w:i/>
          <w:iCs/>
        </w:rPr>
        <w:t xml:space="preserve">North American Journal of Fisheries Management</w:t>
      </w:r>
      <w:r>
        <w:t xml:space="preserve"> </w:t>
      </w:r>
      <w:r>
        <w:t xml:space="preserve">14 (2): 237–61.</w:t>
      </w:r>
      <w:r>
        <w:t xml:space="preserve"> </w:t>
      </w:r>
      <w:hyperlink r:id="rId68">
        <w:r>
          <w:rPr>
            <w:rStyle w:val="Hyperlink"/>
          </w:rPr>
          <w:t xml:space="preserve">https://doi.org/10.1577/1548-8675(1994)014&lt;0237:HDACSO&gt;2.3.CO;2</w:t>
        </w:r>
      </w:hyperlink>
      <w:r>
        <w:t xml:space="preserve">.</w:t>
      </w:r>
    </w:p>
    <w:bookmarkEnd w:id="69"/>
    <w:bookmarkStart w:id="71" w:name="ref-BustardNarverAspects1975"/>
    <w:p>
      <w:pPr>
        <w:pStyle w:val="Bibliography"/>
      </w:pPr>
      <w:r>
        <w:t xml:space="preserve">Bustard, David R., and David W. Narver. 1975.</w:t>
      </w:r>
      <w:r>
        <w:t xml:space="preserve"> </w:t>
      </w:r>
      <w:r>
        <w:t xml:space="preserve">“Aspects Ofthe</w:t>
      </w:r>
      <w:r>
        <w:t xml:space="preserve"> </w:t>
      </w:r>
      <w:r>
        <w:t xml:space="preserve">Winter Ecology</w:t>
      </w:r>
      <w:r>
        <w:t xml:space="preserve"> </w:t>
      </w:r>
      <w:r>
        <w:t xml:space="preserve">of</w:t>
      </w:r>
      <w:r>
        <w:t xml:space="preserve"> </w:t>
      </w:r>
      <w:r>
        <w:t xml:space="preserve">Juvenile Coho Sahnon</w:t>
      </w:r>
      <w:r>
        <w:t xml:space="preserve"> </w:t>
      </w:r>
      <w:r>
        <w:t xml:space="preserve">(</w:t>
      </w:r>
      <w:r>
        <w:t xml:space="preserve">Oncorhynchus</w:t>
      </w:r>
      <w:r>
        <w:t xml:space="preserve"> </w:t>
      </w:r>
      <w:r>
        <w:t xml:space="preserve">Kisutch) and</w:t>
      </w:r>
      <w:r>
        <w:t xml:space="preserve"> </w:t>
      </w:r>
      <w:r>
        <w:t xml:space="preserve">Steelhead Trout</w:t>
      </w:r>
      <w:r>
        <w:t xml:space="preserve"> </w:t>
      </w:r>
      <w:r>
        <w:t xml:space="preserve">(</w:t>
      </w:r>
      <w:r>
        <w:t xml:space="preserve">Salmo</w:t>
      </w:r>
      <w:r>
        <w:t xml:space="preserve"> </w:t>
      </w:r>
      <w:r>
        <w:t xml:space="preserve">Gairdneri).”</w:t>
      </w:r>
      <w:r>
        <w:t xml:space="preserve"> </w:t>
      </w:r>
      <w:r>
        <w:rPr>
          <w:i/>
          <w:iCs/>
        </w:rPr>
        <w:t xml:space="preserve">Journal of the Fisheries Resources Board of Canada</w:t>
      </w:r>
      <w:r>
        <w:t xml:space="preserve"> </w:t>
      </w:r>
      <w:r>
        <w:t xml:space="preserve">32 (5): 667–80.</w:t>
      </w:r>
      <w:r>
        <w:t xml:space="preserve"> </w:t>
      </w:r>
      <w:hyperlink r:id="rId70">
        <w:r>
          <w:rPr>
            <w:rStyle w:val="Hyperlink"/>
          </w:rPr>
          <w:t xml:space="preserve">https://doi.org/10.1139/f75-086</w:t>
        </w:r>
      </w:hyperlink>
      <w:r>
        <w:t xml:space="preserve">.</w:t>
      </w:r>
    </w:p>
    <w:bookmarkEnd w:id="71"/>
    <w:bookmarkStart w:id="72" w:name="Xb4d3db7e7294d8bf7c69eeac4e89233dc761402"/>
    <w:p>
      <w:pPr>
        <w:pStyle w:val="Bibliography"/>
      </w:pPr>
      <w:r>
        <w:t xml:space="preserve">California Department of Fish and Wildlife. 2021.</w:t>
      </w:r>
      <w:r>
        <w:t xml:space="preserve"> </w:t>
      </w:r>
      <w:r>
        <w:t xml:space="preserve">“Scott</w:t>
      </w:r>
      <w:r>
        <w:t xml:space="preserve"> </w:t>
      </w:r>
      <w:r>
        <w:t xml:space="preserve">River Best Available Scientific Information</w:t>
      </w:r>
      <w:r>
        <w:t xml:space="preserve"> </w:t>
      </w:r>
      <w:r>
        <w:t xml:space="preserve">for</w:t>
      </w:r>
      <w:r>
        <w:t xml:space="preserve"> </w:t>
      </w:r>
      <w:r>
        <w:t xml:space="preserve">Instream Flow Criteria</w:t>
      </w:r>
      <w:r>
        <w:t xml:space="preserve">.”</w:t>
      </w:r>
    </w:p>
    <w:bookmarkEnd w:id="72"/>
    <w:bookmarkStart w:id="73" w:name="ref-GrootMargolisLife1991"/>
    <w:p>
      <w:pPr>
        <w:pStyle w:val="Bibliography"/>
      </w:pPr>
      <w:r>
        <w:t xml:space="preserve">Groot, Cornelis, and Leo Margolis, eds. 1991.</w:t>
      </w:r>
      <w:r>
        <w:t xml:space="preserve"> </w:t>
      </w:r>
      <w:r>
        <w:t xml:space="preserve">“Life</w:t>
      </w:r>
      <w:r>
        <w:t xml:space="preserve"> </w:t>
      </w:r>
      <w:r>
        <w:t xml:space="preserve">History</w:t>
      </w:r>
      <w:r>
        <w:t xml:space="preserve"> </w:t>
      </w:r>
      <w:r>
        <w:t xml:space="preserve">of</w:t>
      </w:r>
      <w:r>
        <w:t xml:space="preserve"> </w:t>
      </w:r>
      <w:r>
        <w:t xml:space="preserve">Chinook Salmon</w:t>
      </w:r>
      <w:r>
        <w:t xml:space="preserve"> </w:t>
      </w:r>
      <w:r>
        <w:t xml:space="preserve">(</w:t>
      </w:r>
      <w:r>
        <w:t xml:space="preserve">Onchorhynchus</w:t>
      </w:r>
      <w:r>
        <w:t xml:space="preserve"> </w:t>
      </w:r>
      <w:r>
        <w:t xml:space="preserve">Tshawytscha).”</w:t>
      </w:r>
      <w:r>
        <w:t xml:space="preserve"> </w:t>
      </w:r>
      <w:r>
        <w:t xml:space="preserve">In</w:t>
      </w:r>
      <w:r>
        <w:t xml:space="preserve"> </w:t>
      </w:r>
      <w:r>
        <w:rPr>
          <w:i/>
          <w:iCs/>
        </w:rPr>
        <w:t xml:space="preserve">Pacific Salmon Life Histories</w:t>
      </w:r>
      <w:r>
        <w:t xml:space="preserve">. Vancouver: UBC Press.</w:t>
      </w:r>
    </w:p>
    <w:bookmarkEnd w:id="73"/>
    <w:bookmarkStart w:id="74" w:name="ref-HarterHinesSCOTT2008"/>
    <w:p>
      <w:pPr>
        <w:pStyle w:val="Bibliography"/>
      </w:pPr>
      <w:r>
        <w:t xml:space="preserve">Harter, Thomas, and Ryan Hines. 2008.</w:t>
      </w:r>
      <w:r>
        <w:t xml:space="preserve"> </w:t>
      </w:r>
      <w:r>
        <w:t xml:space="preserve">“</w:t>
      </w:r>
      <w:r>
        <w:t xml:space="preserve">SCOTT VALLEY COMMUNITY GROUNDWATER STUDY PLAN</w:t>
      </w:r>
      <w:r>
        <w:t xml:space="preserve">.”</w:t>
      </w:r>
      <w:r>
        <w:t xml:space="preserve"> </w:t>
      </w:r>
      <w:r>
        <w:t xml:space="preserve">University of California, Davis.</w:t>
      </w:r>
    </w:p>
    <w:bookmarkEnd w:id="74"/>
    <w:bookmarkStart w:id="75" w:name="ref-HuntEtAlOceanic1999"/>
    <w:p>
      <w:pPr>
        <w:pStyle w:val="Bibliography"/>
      </w:pPr>
      <w:r>
        <w:t xml:space="preserve">Hunt, Sharon L, Timothy J Mulligan, and Kenichiro Komori. 1999.</w:t>
      </w:r>
      <w:r>
        <w:t xml:space="preserve"> </w:t>
      </w:r>
      <w:r>
        <w:t xml:space="preserve">“Oceanic Feeding Habits of Chinook Salmon,</w:t>
      </w:r>
      <w:r>
        <w:t xml:space="preserve"> </w:t>
      </w:r>
      <w:r>
        <w:t xml:space="preserve">Oncorhynchus</w:t>
      </w:r>
      <w:r>
        <w:t xml:space="preserve"> </w:t>
      </w:r>
      <w:r>
        <w:t xml:space="preserve">Tshawytscha, Off Northern</w:t>
      </w:r>
      <w:r>
        <w:t xml:space="preserve"> </w:t>
      </w:r>
      <w:r>
        <w:t xml:space="preserve">Californi</w:t>
      </w:r>
      <w:r>
        <w:t xml:space="preserve">.”</w:t>
      </w:r>
      <w:r>
        <w:t xml:space="preserve"> </w:t>
      </w:r>
      <w:r>
        <w:rPr>
          <w:i/>
          <w:iCs/>
        </w:rPr>
        <w:t xml:space="preserve">Fishery Bulletin</w:t>
      </w:r>
      <w:r>
        <w:t xml:space="preserve"> </w:t>
      </w:r>
      <w:r>
        <w:t xml:space="preserve">97 (3): 717–21.</w:t>
      </w:r>
    </w:p>
    <w:bookmarkEnd w:id="75"/>
    <w:bookmarkStart w:id="76" w:name="ref-KnechtleGiudice20192020"/>
    <w:p>
      <w:pPr>
        <w:pStyle w:val="Bibliography"/>
      </w:pPr>
      <w:r>
        <w:t xml:space="preserve">Knechtle, Morgan, and Domenic Giudice. 2020.</w:t>
      </w:r>
      <w:r>
        <w:t xml:space="preserve"> </w:t>
      </w:r>
      <w:r>
        <w:t xml:space="preserve">“2019</w:t>
      </w:r>
      <w:r>
        <w:t xml:space="preserve"> </w:t>
      </w:r>
      <w:r>
        <w:t xml:space="preserve">SCOTT RIVER SALMON STUDIES FINAL REPORT</w:t>
      </w:r>
      <w:r>
        <w:t xml:space="preserve">.”</w:t>
      </w:r>
      <w:r>
        <w:t xml:space="preserve"> </w:t>
      </w:r>
      <w:r>
        <w:t xml:space="preserve">California Department of Fish and Wildlife</w:t>
      </w:r>
      <w:r>
        <w:t xml:space="preserve">.</w:t>
      </w:r>
    </w:p>
    <w:bookmarkEnd w:id="76"/>
    <w:bookmarkStart w:id="78" w:name="ref-MackGeology1958"/>
    <w:p>
      <w:pPr>
        <w:pStyle w:val="Bibliography"/>
      </w:pPr>
      <w:r>
        <w:t xml:space="preserve">Mack, Seymour. 1958.</w:t>
      </w:r>
      <w:r>
        <w:t xml:space="preserve"> </w:t>
      </w:r>
      <w:r>
        <w:t xml:space="preserve">“Geology and Ground-Water Features of</w:t>
      </w:r>
      <w:r>
        <w:t xml:space="preserve"> </w:t>
      </w:r>
      <w:r>
        <w:t xml:space="preserve">Scott Valley</w:t>
      </w:r>
      <w:r>
        <w:t xml:space="preserve">,</w:t>
      </w:r>
      <w:r>
        <w:t xml:space="preserve"> </w:t>
      </w:r>
      <w:r>
        <w:t xml:space="preserve">Siskiyou County</w:t>
      </w:r>
      <w:r>
        <w:t xml:space="preserve">,</w:t>
      </w:r>
      <w:r>
        <w:t xml:space="preserve"> </w:t>
      </w:r>
      <w:r>
        <w:t xml:space="preserve">California</w:t>
      </w:r>
      <w:r>
        <w:t xml:space="preserve">.”</w:t>
      </w:r>
      <w:r>
        <w:t xml:space="preserve"> </w:t>
      </w:r>
      <w:r>
        <w:t xml:space="preserve">Geological {{Survey Water-Supply Paper}} 1462. United States Geological Survey.</w:t>
      </w:r>
      <w:r>
        <w:t xml:space="preserve"> </w:t>
      </w:r>
      <w:hyperlink r:id="rId77">
        <w:r>
          <w:rPr>
            <w:rStyle w:val="Hyperlink"/>
          </w:rPr>
          <w:t xml:space="preserve">https://doi.org/10.3133/wsp1462</w:t>
        </w:r>
      </w:hyperlink>
      <w:r>
        <w:t xml:space="preserve">.</w:t>
      </w:r>
    </w:p>
    <w:bookmarkEnd w:id="78"/>
    <w:bookmarkStart w:id="79" w:name="ref-MagranetScott2015a"/>
    <w:p>
      <w:pPr>
        <w:pStyle w:val="Bibliography"/>
      </w:pPr>
      <w:r>
        <w:t xml:space="preserve">Magranet, Lindsay. 2015.</w:t>
      </w:r>
      <w:r>
        <w:t xml:space="preserve"> </w:t>
      </w:r>
      <w:r>
        <w:t xml:space="preserve">“Scott</w:t>
      </w:r>
      <w:r>
        <w:t xml:space="preserve"> </w:t>
      </w:r>
      <w:r>
        <w:t xml:space="preserve">River Fall Chinook Spawning Ground Surveys</w:t>
      </w:r>
      <w:r>
        <w:t xml:space="preserve">.”</w:t>
      </w:r>
      <w:r>
        <w:t xml:space="preserve"> </w:t>
      </w:r>
      <w:r>
        <w:t xml:space="preserve">Etna, CA: Siskiyou Resource Conservation District.</w:t>
      </w:r>
    </w:p>
    <w:bookmarkEnd w:id="79"/>
    <w:bookmarkStart w:id="80" w:name="ref-MagranetScott2017"/>
    <w:p>
      <w:pPr>
        <w:pStyle w:val="Bibliography"/>
      </w:pPr>
      <w:r>
        <w:t xml:space="preserve">———. 2017.</w:t>
      </w:r>
      <w:r>
        <w:t xml:space="preserve"> </w:t>
      </w:r>
      <w:r>
        <w:t xml:space="preserve">“Scott</w:t>
      </w:r>
      <w:r>
        <w:t xml:space="preserve"> </w:t>
      </w:r>
      <w:r>
        <w:t xml:space="preserve">River Fall Chinook Spawning Ground Surveys</w:t>
      </w:r>
      <w:r>
        <w:t xml:space="preserve">.”</w:t>
      </w:r>
      <w:r>
        <w:t xml:space="preserve"> </w:t>
      </w:r>
      <w:r>
        <w:t xml:space="preserve">Etna, CA: Siskiyou Resource Conservation District.</w:t>
      </w:r>
    </w:p>
    <w:bookmarkEnd w:id="80"/>
    <w:bookmarkStart w:id="81" w:name="ref-MansfieldEtAlKlamath2012"/>
    <w:p>
      <w:pPr>
        <w:pStyle w:val="Bibliography"/>
      </w:pPr>
      <w:r>
        <w:t xml:space="preserve">Mansfield, Carol, George Van Houtven, Amy Hendershott, Patrick Chen, Jeremy Porter, Vesall Nourani, and Vikram Kilambi. 2012.</w:t>
      </w:r>
      <w:r>
        <w:t xml:space="preserve"> </w:t>
      </w:r>
      <w:r>
        <w:t xml:space="preserve">“Klamath</w:t>
      </w:r>
      <w:r>
        <w:t xml:space="preserve"> </w:t>
      </w:r>
      <w:r>
        <w:t xml:space="preserve">River Basin Restoration Nonuse Value Survey</w:t>
      </w:r>
      <w:r>
        <w:t xml:space="preserve">.”</w:t>
      </w:r>
    </w:p>
    <w:bookmarkEnd w:id="81"/>
    <w:bookmarkStart w:id="82" w:name="ref-McMahonHabitat1983"/>
    <w:p>
      <w:pPr>
        <w:pStyle w:val="Bibliography"/>
      </w:pPr>
      <w:r>
        <w:t xml:space="preserve">McMahon, Thomas E. 1983.</w:t>
      </w:r>
      <w:r>
        <w:t xml:space="preserve"> </w:t>
      </w:r>
      <w:r>
        <w:t xml:space="preserve">“Habitat</w:t>
      </w:r>
      <w:r>
        <w:t xml:space="preserve"> </w:t>
      </w:r>
      <w:r>
        <w:t xml:space="preserve">Suitability Index Models</w:t>
      </w:r>
      <w:r>
        <w:t xml:space="preserve">:</w:t>
      </w:r>
      <w:r>
        <w:t xml:space="preserve"> </w:t>
      </w:r>
      <w:r>
        <w:t xml:space="preserve">Coho Salmon</w:t>
      </w:r>
      <w:r>
        <w:t xml:space="preserve">.”</w:t>
      </w:r>
      <w:r>
        <w:t xml:space="preserve"> </w:t>
      </w:r>
      <w:r>
        <w:t xml:space="preserve">FWS/OBS-82/10.49.</w:t>
      </w:r>
      <w:r>
        <w:t xml:space="preserve"> </w:t>
      </w:r>
      <w:r>
        <w:t xml:space="preserve">U.S. Fish and Wildlife Service</w:t>
      </w:r>
      <w:r>
        <w:t xml:space="preserve">.</w:t>
      </w:r>
    </w:p>
    <w:bookmarkEnd w:id="82"/>
    <w:bookmarkStart w:id="83" w:name="ref-MoyleCoho2002"/>
    <w:p>
      <w:pPr>
        <w:pStyle w:val="Bibliography"/>
      </w:pPr>
      <w:r>
        <w:t xml:space="preserve">Moyle, Peter. 2002.</w:t>
      </w:r>
      <w:r>
        <w:t xml:space="preserve"> </w:t>
      </w:r>
      <w:r>
        <w:t xml:space="preserve">“Coho</w:t>
      </w:r>
      <w:r>
        <w:t xml:space="preserve"> </w:t>
      </w:r>
      <w:r>
        <w:t xml:space="preserve">Salmon</w:t>
      </w:r>
      <w:r>
        <w:t xml:space="preserve">,</w:t>
      </w:r>
      <w:r>
        <w:t xml:space="preserve"> </w:t>
      </w:r>
      <w:r>
        <w:t xml:space="preserve">Oncorhynchus</w:t>
      </w:r>
      <w:r>
        <w:t xml:space="preserve"> </w:t>
      </w:r>
      <w:r>
        <w:t xml:space="preserve">Kisutch (</w:t>
      </w:r>
      <w:r>
        <w:t xml:space="preserve">Walbaum</w:t>
      </w:r>
      <w:r>
        <w:t xml:space="preserve">).”</w:t>
      </w:r>
      <w:r>
        <w:t xml:space="preserve"> </w:t>
      </w:r>
      <w:r>
        <w:t xml:space="preserve">In</w:t>
      </w:r>
      <w:r>
        <w:t xml:space="preserve"> </w:t>
      </w:r>
      <w:r>
        <w:rPr>
          <w:i/>
          <w:iCs/>
        </w:rPr>
        <w:t xml:space="preserve">Inland</w:t>
      </w:r>
      <w:r>
        <w:rPr>
          <w:i/>
          <w:iCs/>
        </w:rPr>
        <w:t xml:space="preserve"> </w:t>
      </w:r>
      <w:r>
        <w:rPr>
          <w:i/>
          <w:iCs/>
        </w:rPr>
        <w:t xml:space="preserve">Fishes</w:t>
      </w:r>
      <w:r>
        <w:rPr>
          <w:i/>
          <w:iCs/>
        </w:rPr>
        <w:t xml:space="preserve"> </w:t>
      </w:r>
      <w:r>
        <w:rPr>
          <w:i/>
          <w:iCs/>
        </w:rPr>
        <w:t xml:space="preserve">of</w:t>
      </w:r>
      <w:r>
        <w:rPr>
          <w:i/>
          <w:iCs/>
        </w:rPr>
        <w:t xml:space="preserve"> </w:t>
      </w:r>
      <w:r>
        <w:rPr>
          <w:i/>
          <w:iCs/>
        </w:rPr>
        <w:t xml:space="preserve">California</w:t>
      </w:r>
      <w:r>
        <w:t xml:space="preserve">, 245–51. University of California Press.</w:t>
      </w:r>
    </w:p>
    <w:bookmarkEnd w:id="83"/>
    <w:bookmarkStart w:id="85" w:name="ref-NickelsonEtAlSeasonal1992"/>
    <w:p>
      <w:pPr>
        <w:pStyle w:val="Bibliography"/>
      </w:pPr>
      <w:r>
        <w:t xml:space="preserve">Nickelson, Thomas E., Jeffrey D. Rodgers, Steven L. Johnson, and Mario F. Solazzi. 1992.</w:t>
      </w:r>
      <w:r>
        <w:t xml:space="preserve"> </w:t>
      </w:r>
      <w:r>
        <w:t xml:space="preserve">“Seasonal</w:t>
      </w:r>
      <w:r>
        <w:t xml:space="preserve"> </w:t>
      </w:r>
      <w:r>
        <w:t xml:space="preserve">Changes</w:t>
      </w:r>
      <w:r>
        <w:t xml:space="preserve"> </w:t>
      </w:r>
      <w:r>
        <w:t xml:space="preserve">in</w:t>
      </w:r>
      <w:r>
        <w:t xml:space="preserve"> </w:t>
      </w:r>
      <w:r>
        <w:t xml:space="preserve">Habitat Use</w:t>
      </w:r>
      <w:r>
        <w:t xml:space="preserve"> </w:t>
      </w:r>
      <w:r>
        <w:t xml:space="preserve">by</w:t>
      </w:r>
      <w:r>
        <w:t xml:space="preserve"> </w:t>
      </w:r>
      <w:r>
        <w:t xml:space="preserve">Juvenile Coho Salmon</w:t>
      </w:r>
      <w:r>
        <w:t xml:space="preserve"> </w:t>
      </w:r>
      <w:r>
        <w:t xml:space="preserve">(</w:t>
      </w:r>
      <w:r>
        <w:t xml:space="preserve">Oncorhynchus</w:t>
      </w:r>
      <w:r>
        <w:t xml:space="preserve"> </w:t>
      </w:r>
      <w:r>
        <w:t xml:space="preserve">Kisutch) in</w:t>
      </w:r>
      <w:r>
        <w:t xml:space="preserve"> </w:t>
      </w:r>
      <w:r>
        <w:t xml:space="preserve">Oregon Coastal Streams</w:t>
      </w:r>
      <w:r>
        <w:t xml:space="preserve">.”</w:t>
      </w:r>
      <w:r>
        <w:t xml:space="preserve"> </w:t>
      </w:r>
      <w:r>
        <w:rPr>
          <w:i/>
          <w:iCs/>
        </w:rPr>
        <w:t xml:space="preserve">Canadian Journal of Fisheries and Aquatic Sciences</w:t>
      </w:r>
      <w:r>
        <w:t xml:space="preserve"> </w:t>
      </w:r>
      <w:r>
        <w:t xml:space="preserve">49 (4): 783–89.</w:t>
      </w:r>
      <w:r>
        <w:t xml:space="preserve"> </w:t>
      </w:r>
      <w:hyperlink r:id="rId84">
        <w:r>
          <w:rPr>
            <w:rStyle w:val="Hyperlink"/>
          </w:rPr>
          <w:t xml:space="preserve">https://doi.org/10.1139/f92-088</w:t>
        </w:r>
      </w:hyperlink>
      <w:r>
        <w:t xml:space="preserve">.</w:t>
      </w:r>
    </w:p>
    <w:bookmarkEnd w:id="85"/>
    <w:bookmarkStart w:id="86" w:name="Xe2c8612023dd6e3571677294fc089e407644bae"/>
    <w:p>
      <w:pPr>
        <w:pStyle w:val="Bibliography"/>
      </w:pPr>
      <w:r>
        <w:t xml:space="preserve">North Coast Regional Water Quality Control Board. 2005.</w:t>
      </w:r>
      <w:r>
        <w:t xml:space="preserve"> </w:t>
      </w:r>
      <w:r>
        <w:t xml:space="preserve">“Staff</w:t>
      </w:r>
      <w:r>
        <w:t xml:space="preserve"> </w:t>
      </w:r>
      <w:r>
        <w:t xml:space="preserve">Report</w:t>
      </w:r>
      <w:r>
        <w:t xml:space="preserve"> </w:t>
      </w:r>
      <w:r>
        <w:t xml:space="preserve">for the</w:t>
      </w:r>
      <w:r>
        <w:t xml:space="preserve"> </w:t>
      </w:r>
      <w:r>
        <w:t xml:space="preserve">Action Plan</w:t>
      </w:r>
      <w:r>
        <w:t xml:space="preserve"> </w:t>
      </w:r>
      <w:r>
        <w:t xml:space="preserve">for the</w:t>
      </w:r>
      <w:r>
        <w:t xml:space="preserve"> </w:t>
      </w:r>
      <w:r>
        <w:t xml:space="preserve">Scott River Watershed Sediment</w:t>
      </w:r>
      <w:r>
        <w:t xml:space="preserve"> </w:t>
      </w:r>
      <w:r>
        <w:t xml:space="preserve">and</w:t>
      </w:r>
      <w:r>
        <w:t xml:space="preserve"> </w:t>
      </w:r>
      <w:r>
        <w:t xml:space="preserve">Temperature Total Maximum Daily Loads</w:t>
      </w:r>
      <w:r>
        <w:t xml:space="preserve">.”</w:t>
      </w:r>
      <w:r>
        <w:t xml:space="preserve"> </w:t>
      </w:r>
      <w:r>
        <w:t xml:space="preserve">Santa Rosa, CA.</w:t>
      </w:r>
    </w:p>
    <w:bookmarkEnd w:id="86"/>
    <w:bookmarkStart w:id="87" w:name="X1108f2f3feec4f73e473bf3810dce174cd46930"/>
    <w:p>
      <w:pPr>
        <w:pStyle w:val="Bibliography"/>
      </w:pPr>
      <w:r>
        <w:t xml:space="preserve">———. 2006.</w:t>
      </w:r>
      <w:r>
        <w:t xml:space="preserve"> </w:t>
      </w:r>
      <w:r>
        <w:t xml:space="preserve">“</w:t>
      </w:r>
      <w:r>
        <w:t xml:space="preserve">ACTION PLAN FOR THE SCOTT RIVER SEDIMENT AND TEMPERATURE TOTAL</w:t>
      </w:r>
      <w:r>
        <w:t xml:space="preserve"> </w:t>
      </w:r>
      <w:r>
        <w:t xml:space="preserve">MAXIMUM DAILY LOADS</w:t>
      </w:r>
      <w:r>
        <w:t xml:space="preserve">.”</w:t>
      </w:r>
      <w:r>
        <w:t xml:space="preserve"> </w:t>
      </w:r>
      <w:r>
        <w:rPr>
          <w:i/>
          <w:iCs/>
        </w:rPr>
        <w:t xml:space="preserve">Basin Plan Language</w:t>
      </w:r>
      <w:r>
        <w:t xml:space="preserve">. https://www.waterboards.ca.gov/northcoast/water_issues/programs/tmdls/scott_river/060307/bpl/Basin_Plan_Language.pdf.</w:t>
      </w:r>
    </w:p>
    <w:bookmarkEnd w:id="87"/>
    <w:bookmarkStart w:id="89" w:name="ref-QuinonesEtAlPotential2014"/>
    <w:p>
      <w:pPr>
        <w:pStyle w:val="Bibliography"/>
      </w:pPr>
      <w:r>
        <w:t xml:space="preserve">Quiñones, Rebecca M., Marcel Holyoak, Michael L. Johnson, and Peter B. Moyle. 2014.</w:t>
      </w:r>
      <w:r>
        <w:t xml:space="preserve"> </w:t>
      </w:r>
      <w:r>
        <w:t xml:space="preserve">“Potential</w:t>
      </w:r>
      <w:r>
        <w:t xml:space="preserve"> </w:t>
      </w:r>
      <w:r>
        <w:t xml:space="preserve">Factors Affecting Survival Differ</w:t>
      </w:r>
      <w:r>
        <w:t xml:space="preserve"> </w:t>
      </w:r>
      <w:r>
        <w:t xml:space="preserve">by</w:t>
      </w:r>
      <w:r>
        <w:t xml:space="preserve"> </w:t>
      </w:r>
      <w:r>
        <w:t xml:space="preserve">Run-Timing</w:t>
      </w:r>
      <w:r>
        <w:t xml:space="preserve"> </w:t>
      </w:r>
      <w:r>
        <w:t xml:space="preserve">and</w:t>
      </w:r>
      <w:r>
        <w:t xml:space="preserve"> </w:t>
      </w:r>
      <w:r>
        <w:t xml:space="preserve">Location</w:t>
      </w:r>
      <w:r>
        <w:t xml:space="preserve">:</w:t>
      </w:r>
      <w:r>
        <w:t xml:space="preserve"> </w:t>
      </w:r>
      <w:r>
        <w:t xml:space="preserve">Linear Mixed-Effects Models</w:t>
      </w:r>
      <w:r>
        <w:t xml:space="preserve"> </w:t>
      </w:r>
      <w:r>
        <w:t xml:space="preserve">of</w:t>
      </w:r>
      <w:r>
        <w:t xml:space="preserve"> </w:t>
      </w:r>
      <w:r>
        <w:t xml:space="preserve">Pacific Salmonids</w:t>
      </w:r>
      <w:r>
        <w:t xml:space="preserve"> </w:t>
      </w:r>
      <w:r>
        <w:t xml:space="preserve">(</w:t>
      </w:r>
      <w:r>
        <w:t xml:space="preserve">Oncorhynchus</w:t>
      </w:r>
      <w:r>
        <w:t xml:space="preserve"> </w:t>
      </w:r>
      <w:r>
        <w:t xml:space="preserve">Spp.) in the</w:t>
      </w:r>
      <w:r>
        <w:t xml:space="preserve"> </w:t>
      </w:r>
      <w:r>
        <w:t xml:space="preserve">Klamath River</w:t>
      </w:r>
      <w:r>
        <w:t xml:space="preserve">,</w:t>
      </w:r>
      <w:r>
        <w:t xml:space="preserve"> </w:t>
      </w:r>
      <w:r>
        <w:t xml:space="preserve">California</w:t>
      </w:r>
      <w:r>
        <w:t xml:space="preserve">.”</w:t>
      </w:r>
      <w:r>
        <w:t xml:space="preserve"> </w:t>
      </w:r>
      <w:r>
        <w:t xml:space="preserve">Edited by Christopher J. Fulton.</w:t>
      </w:r>
      <w:r>
        <w:t xml:space="preserve"> </w:t>
      </w:r>
      <w:r>
        <w:rPr>
          <w:i/>
          <w:iCs/>
        </w:rPr>
        <w:t xml:space="preserve">PLoS ONE</w:t>
      </w:r>
      <w:r>
        <w:t xml:space="preserve"> </w:t>
      </w:r>
      <w:r>
        <w:t xml:space="preserve">9 (5): e98392.</w:t>
      </w:r>
      <w:r>
        <w:t xml:space="preserve"> </w:t>
      </w:r>
      <w:hyperlink r:id="rId88">
        <w:r>
          <w:rPr>
            <w:rStyle w:val="Hyperlink"/>
          </w:rPr>
          <w:t xml:space="preserve">https://doi.org/10.1371/journal.pone.0098392</w:t>
        </w:r>
      </w:hyperlink>
      <w:r>
        <w:t xml:space="preserve">.</w:t>
      </w:r>
    </w:p>
    <w:bookmarkEnd w:id="89"/>
    <w:bookmarkStart w:id="90" w:name="X334218043bd9d5b07a848a610917fcfef0168db"/>
    <w:p>
      <w:pPr>
        <w:pStyle w:val="Bibliography"/>
      </w:pPr>
      <w:r>
        <w:t xml:space="preserve">Scott Valley Area Plan Committee. 1980.</w:t>
      </w:r>
      <w:r>
        <w:t xml:space="preserve"> </w:t>
      </w:r>
      <w:r>
        <w:t xml:space="preserve">“Scott</w:t>
      </w:r>
      <w:r>
        <w:t xml:space="preserve"> </w:t>
      </w:r>
      <w:r>
        <w:t xml:space="preserve">Valley Area Plan</w:t>
      </w:r>
      <w:r>
        <w:t xml:space="preserve">.”</w:t>
      </w:r>
      <w:r>
        <w:t xml:space="preserve"> </w:t>
      </w:r>
      <w:r>
        <w:t xml:space="preserve">Siskiyou County.</w:t>
      </w:r>
    </w:p>
    <w:bookmarkEnd w:id="90"/>
    <w:bookmarkStart w:id="91" w:name="ref-SiskiyouCountyScott2021"/>
    <w:p>
      <w:pPr>
        <w:pStyle w:val="Bibliography"/>
      </w:pPr>
      <w:r>
        <w:t xml:space="preserve">Siskiyou County. 2021.</w:t>
      </w:r>
      <w:r>
        <w:t xml:space="preserve"> </w:t>
      </w:r>
      <w:r>
        <w:t xml:space="preserve">“Scott</w:t>
      </w:r>
      <w:r>
        <w:t xml:space="preserve"> </w:t>
      </w:r>
      <w:r>
        <w:t xml:space="preserve">Valley Groundwater Sustainability Plan</w:t>
      </w:r>
      <w:r>
        <w:t xml:space="preserve">.”</w:t>
      </w:r>
      <w:r>
        <w:t xml:space="preserve"> </w:t>
      </w:r>
      <w:r>
        <w:rPr>
          <w:i/>
          <w:iCs/>
        </w:rPr>
        <w:t xml:space="preserve">Scott Valley FINAL GSP</w:t>
      </w:r>
      <w:r>
        <w:t xml:space="preserve">. https://www.co.siskiyou.ca.us/naturalresources/page/scott-valley-final-gsp.</w:t>
      </w:r>
    </w:p>
    <w:bookmarkEnd w:id="91"/>
    <w:bookmarkStart w:id="92" w:name="Xfb2f30bfeb975733173d4f54503165ae434e004"/>
    <w:p>
      <w:pPr>
        <w:pStyle w:val="Bibliography"/>
      </w:pPr>
      <w:r>
        <w:t xml:space="preserve">Siskiyou Resource Conservation District. 2004.</w:t>
      </w:r>
      <w:r>
        <w:t xml:space="preserve"> </w:t>
      </w:r>
      <w:r>
        <w:t xml:space="preserve">“Final</w:t>
      </w:r>
      <w:r>
        <w:t xml:space="preserve"> </w:t>
      </w:r>
      <w:r>
        <w:t xml:space="preserve">Report</w:t>
      </w:r>
      <w:r>
        <w:t xml:space="preserve"> </w:t>
      </w:r>
      <w:r>
        <w:t xml:space="preserve">Scott River Coho Spawning Assessment</w:t>
      </w:r>
      <w:r>
        <w:t xml:space="preserve">: 2003-2004.”</w:t>
      </w:r>
      <w:r>
        <w:t xml:space="preserve"> </w:t>
      </w:r>
      <w:r>
        <w:t xml:space="preserve">Etna, CA: Siskiyou Resource Conservation District.</w:t>
      </w:r>
    </w:p>
    <w:bookmarkEnd w:id="92"/>
    <w:bookmarkStart w:id="94" w:name="ref-TolleyEtAlSensitivity2019"/>
    <w:p>
      <w:pPr>
        <w:pStyle w:val="Bibliography"/>
      </w:pPr>
      <w:r>
        <w:t xml:space="preserve">Tolley, D., L. Foglia, and T. Harter. 2019.</w:t>
      </w:r>
      <w:r>
        <w:t xml:space="preserve"> </w:t>
      </w:r>
      <w:r>
        <w:t xml:space="preserve">“Sensitivity</w:t>
      </w:r>
      <w:r>
        <w:t xml:space="preserve"> </w:t>
      </w:r>
      <w:r>
        <w:t xml:space="preserve">Analysis</w:t>
      </w:r>
      <w:r>
        <w:t xml:space="preserve"> </w:t>
      </w:r>
      <w:r>
        <w:t xml:space="preserve">and</w:t>
      </w:r>
      <w:r>
        <w:t xml:space="preserve"> </w:t>
      </w:r>
      <w:r>
        <w:t xml:space="preserve">Calibration</w:t>
      </w:r>
      <w:r>
        <w:t xml:space="preserve"> </w:t>
      </w:r>
      <w:r>
        <w:t xml:space="preserve">of an</w:t>
      </w:r>
      <w:r>
        <w:t xml:space="preserve"> </w:t>
      </w:r>
      <w:r>
        <w:t xml:space="preserve">Integrated Hydrologic Model</w:t>
      </w:r>
      <w:r>
        <w:t xml:space="preserve"> </w:t>
      </w:r>
      <w:r>
        <w:t xml:space="preserve">in an</w:t>
      </w:r>
      <w:r>
        <w:t xml:space="preserve"> </w:t>
      </w:r>
      <w:r>
        <w:t xml:space="preserve">Irrigated Agricultural Basin With</w:t>
      </w:r>
      <w:r>
        <w:t xml:space="preserve"> </w:t>
      </w:r>
      <w:r>
        <w:t xml:space="preserve">a</w:t>
      </w:r>
      <w:r>
        <w:t xml:space="preserve"> </w:t>
      </w:r>
      <w:r>
        <w:t xml:space="preserve">Groundwater</w:t>
      </w:r>
      <w:r>
        <w:t xml:space="preserve">-</w:t>
      </w:r>
      <w:r>
        <w:t xml:space="preserve">Dependent Ecosystem</w:t>
      </w:r>
      <w:r>
        <w:t xml:space="preserve">.”</w:t>
      </w:r>
      <w:r>
        <w:t xml:space="preserve"> </w:t>
      </w:r>
      <w:r>
        <w:rPr>
          <w:i/>
          <w:iCs/>
        </w:rPr>
        <w:t xml:space="preserve">Water Resources Research</w:t>
      </w:r>
      <w:r>
        <w:t xml:space="preserve"> </w:t>
      </w:r>
      <w:r>
        <w:t xml:space="preserve">55 (9): 7876–7901.</w:t>
      </w:r>
      <w:r>
        <w:t xml:space="preserve"> </w:t>
      </w:r>
      <w:hyperlink r:id="rId93">
        <w:r>
          <w:rPr>
            <w:rStyle w:val="Hyperlink"/>
          </w:rPr>
          <w:t xml:space="preserve">https://doi.org/10.1029/2018WR024209</w:t>
        </w:r>
      </w:hyperlink>
      <w:r>
        <w:t xml:space="preserve">.</w:t>
      </w:r>
    </w:p>
    <w:bookmarkEnd w:id="94"/>
    <w:bookmarkStart w:id="95" w:name="ref-WainwrightEtAlCCIEA2013"/>
    <w:p>
      <w:pPr>
        <w:pStyle w:val="Bibliography"/>
      </w:pPr>
      <w:r>
        <w:t xml:space="preserve">Wainwright, Thomas C, Thomas H Williams, Kurt L Fresh, and Brian K Wells. 2013.</w:t>
      </w:r>
      <w:r>
        <w:t xml:space="preserve"> </w:t>
      </w:r>
      <w:r>
        <w:t xml:space="preserve">“</w:t>
      </w:r>
      <w:r>
        <w:t xml:space="preserve">CCIEA PHASE II REPORT</w:t>
      </w:r>
      <w:r>
        <w:t xml:space="preserve">:</w:t>
      </w:r>
      <w:r>
        <w:t xml:space="preserve"> </w:t>
      </w:r>
      <w:r>
        <w:t xml:space="preserve">ECOSYSTEM COMPONENTS</w:t>
      </w:r>
      <w:r>
        <w:t xml:space="preserve">,</w:t>
      </w:r>
      <w:r>
        <w:t xml:space="preserve"> </w:t>
      </w:r>
      <w:r>
        <w:t xml:space="preserve">FISHERIES AND PROTECTED SPECIES</w:t>
      </w:r>
      <w:r>
        <w:t xml:space="preserve"> </w:t>
      </w:r>
      <w:r>
        <w:t xml:space="preserve">-</w:t>
      </w:r>
      <w:r>
        <w:t xml:space="preserve"> </w:t>
      </w:r>
      <w:r>
        <w:t xml:space="preserve">SALMON</w:t>
      </w:r>
      <w:r>
        <w:t xml:space="preserve">:</w:t>
      </w:r>
      <w:r>
        <w:t xml:space="preserve"> </w:t>
      </w:r>
      <w:r>
        <w:t xml:space="preserve">Chinook</w:t>
      </w:r>
      <w:r>
        <w:t xml:space="preserve"> </w:t>
      </w:r>
      <w:r>
        <w:t xml:space="preserve">and</w:t>
      </w:r>
      <w:r>
        <w:t xml:space="preserve"> </w:t>
      </w:r>
      <w:r>
        <w:t xml:space="preserve">Coho Salmon</w:t>
      </w:r>
      <w:r>
        <w:t xml:space="preserve">.”</w:t>
      </w:r>
      <w:r>
        <w:t xml:space="preserve"> </w:t>
      </w:r>
      <w:r>
        <w:t xml:space="preserve">National Marine Fisheries Service.</w:t>
      </w:r>
    </w:p>
    <w:bookmarkEnd w:id="95"/>
    <w:bookmarkStart w:id="97" w:name="ref-WelchEtAlSynthesis2021"/>
    <w:p>
      <w:pPr>
        <w:pStyle w:val="Bibliography"/>
      </w:pPr>
      <w:r>
        <w:t xml:space="preserve">Welch, David Warren, Aswea Dawn Porter, and Erin Leanne Rechisky. 2021.</w:t>
      </w:r>
      <w:r>
        <w:t xml:space="preserve"> </w:t>
      </w:r>
      <w:r>
        <w:t xml:space="preserve">“A Synthesis of the Coast-Wide Decline in Survival of</w:t>
      </w:r>
      <w:r>
        <w:t xml:space="preserve"> </w:t>
      </w:r>
      <w:r>
        <w:t xml:space="preserve">West Coast Chinook Salmon</w:t>
      </w:r>
      <w:r>
        <w:t xml:space="preserve"> </w:t>
      </w:r>
      <w:r>
        <w:t xml:space="preserve">(</w:t>
      </w:r>
      <w:r>
        <w:t xml:space="preserve">Oncorhynchus</w:t>
      </w:r>
      <w:r>
        <w:t xml:space="preserve"> </w:t>
      </w:r>
      <w:r>
        <w:t xml:space="preserve">Tshawytscha,</w:t>
      </w:r>
      <w:r>
        <w:t xml:space="preserve"> </w:t>
      </w:r>
      <w:r>
        <w:t xml:space="preserve">Salmonidae</w:t>
      </w:r>
      <w:r>
        <w:t xml:space="preserve">).”</w:t>
      </w:r>
      <w:r>
        <w:t xml:space="preserve"> </w:t>
      </w:r>
      <w:r>
        <w:rPr>
          <w:i/>
          <w:iCs/>
        </w:rPr>
        <w:t xml:space="preserve">Fish and Fisheries</w:t>
      </w:r>
      <w:r>
        <w:t xml:space="preserve"> </w:t>
      </w:r>
      <w:r>
        <w:t xml:space="preserve">22 (1): 194–211.</w:t>
      </w:r>
      <w:r>
        <w:t xml:space="preserve"> </w:t>
      </w:r>
      <w:hyperlink r:id="rId96">
        <w:r>
          <w:rPr>
            <w:rStyle w:val="Hyperlink"/>
          </w:rPr>
          <w:t xml:space="preserve">https://doi.org/10.1111/faf.12514</w:t>
        </w:r>
      </w:hyperlink>
      <w:r>
        <w:t xml:space="preserve">.</w:t>
      </w:r>
    </w:p>
    <w:bookmarkEnd w:id="97"/>
    <w:bookmarkEnd w:id="98"/>
    <w:bookmarkEnd w:id="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1" Target="media/rId31.png" /><Relationship Type="http://schemas.openxmlformats.org/officeDocument/2006/relationships/image" Id="rId37" Target="media/rId37.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hyperlink" Id="rId64" Target="https://doi.org/10.1007/s11160-016-9432-3" TargetMode="External" /><Relationship Type="http://schemas.openxmlformats.org/officeDocument/2006/relationships/hyperlink" Id="rId93" Target="https://doi.org/10.1029/2018WR024209" TargetMode="External" /><Relationship Type="http://schemas.openxmlformats.org/officeDocument/2006/relationships/hyperlink" Id="rId96" Target="https://doi.org/10.1111/faf.12514" TargetMode="External" /><Relationship Type="http://schemas.openxmlformats.org/officeDocument/2006/relationships/hyperlink" Id="rId70" Target="https://doi.org/10.1139/f75-086" TargetMode="External" /><Relationship Type="http://schemas.openxmlformats.org/officeDocument/2006/relationships/hyperlink" Id="rId84" Target="https://doi.org/10.1139/f92-088" TargetMode="External" /><Relationship Type="http://schemas.openxmlformats.org/officeDocument/2006/relationships/hyperlink" Id="rId88" Target="https://doi.org/10.1371/journal.pone.0098392" TargetMode="External" /><Relationship Type="http://schemas.openxmlformats.org/officeDocument/2006/relationships/hyperlink" Id="rId66" Target="https://doi.org/10.1577/1548-8659(1997)126&lt;0049:EROCSS&gt;2.3.CO;2" TargetMode="External" /><Relationship Type="http://schemas.openxmlformats.org/officeDocument/2006/relationships/hyperlink" Id="rId68" Target="https://doi.org/10.1577/1548-8675(1994)014&lt;0237:HDACSO&gt;2.3.CO;2" TargetMode="External" /><Relationship Type="http://schemas.openxmlformats.org/officeDocument/2006/relationships/hyperlink" Id="rId77" Target="https://doi.org/10.3133/wsp1462" TargetMode="External" /></Relationships>
</file>

<file path=word/_rels/footnotes.xml.rels><?xml version="1.0" encoding="UTF-8"?><Relationships xmlns="http://schemas.openxmlformats.org/package/2006/relationships"><Relationship Type="http://schemas.openxmlformats.org/officeDocument/2006/relationships/hyperlink" Id="rId64" Target="https://doi.org/10.1007/s11160-016-9432-3" TargetMode="External" /><Relationship Type="http://schemas.openxmlformats.org/officeDocument/2006/relationships/hyperlink" Id="rId93" Target="https://doi.org/10.1029/2018WR024209" TargetMode="External" /><Relationship Type="http://schemas.openxmlformats.org/officeDocument/2006/relationships/hyperlink" Id="rId96" Target="https://doi.org/10.1111/faf.12514" TargetMode="External" /><Relationship Type="http://schemas.openxmlformats.org/officeDocument/2006/relationships/hyperlink" Id="rId70" Target="https://doi.org/10.1139/f75-086" TargetMode="External" /><Relationship Type="http://schemas.openxmlformats.org/officeDocument/2006/relationships/hyperlink" Id="rId84" Target="https://doi.org/10.1139/f92-088" TargetMode="External" /><Relationship Type="http://schemas.openxmlformats.org/officeDocument/2006/relationships/hyperlink" Id="rId88" Target="https://doi.org/10.1371/journal.pone.0098392" TargetMode="External" /><Relationship Type="http://schemas.openxmlformats.org/officeDocument/2006/relationships/hyperlink" Id="rId66" Target="https://doi.org/10.1577/1548-8659(1997)126&lt;0049:EROCSS&gt;2.3.CO;2" TargetMode="External" /><Relationship Type="http://schemas.openxmlformats.org/officeDocument/2006/relationships/hyperlink" Id="rId68" Target="https://doi.org/10.1577/1548-8675(1994)014&lt;0237:HDACSO&gt;2.3.CO;2" TargetMode="External" /><Relationship Type="http://schemas.openxmlformats.org/officeDocument/2006/relationships/hyperlink" Id="rId77" Target="https://doi.org/10.3133/wsp146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“A watershed-specific formula to predict salmon reproduction using functional flow metrics”</dc:title>
  <dc:creator>Claire Kouba, Jason Wiener, Leland Scantlebury and Thomas Harter</dc:creator>
  <cp:keywords/>
  <dcterms:created xsi:type="dcterms:W3CDTF">2025-05-29T17:40:09Z</dcterms:created>
  <dcterms:modified xsi:type="dcterms:W3CDTF">2025-05-29T17:40:09Z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draft_library.bib</vt:lpwstr>
  </property>
  <property fmtid="{D5CDD505-2E9C-101B-9397-08002B2CF9AE}" pid="3" name="date">
    <vt:lpwstr>Feb. 2025</vt:lpwstr>
  </property>
  <property fmtid="{D5CDD505-2E9C-101B-9397-08002B2CF9AE}" pid="4" name="output">
    <vt:lpwstr/>
  </property>
</Properties>
</file>