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0.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Participatory surveillance of adult weight among humanitarian staff in the Gaza Strip, 2025</w:t>
      </w:r>
    </w:p>
    <w:p>
      <w:pPr>
        <w:pStyle w:val="FirstParagraph"/>
      </w:pPr>
      <w:r>
        <w:t xml:space="preserve">Katharine Sherratt</w:t>
      </w:r>
      <w:r>
        <w:rPr>
          <w:vertAlign w:val="superscript"/>
        </w:rPr>
        <w:t xml:space="preserve">1,2</w:t>
      </w:r>
      <w:r>
        <w:t xml:space="preserve">, Kevin van Zandvoort</w:t>
      </w:r>
      <w:r>
        <w:rPr>
          <w:vertAlign w:val="superscript"/>
        </w:rPr>
        <w:t xml:space="preserve">1,2,3</w:t>
      </w:r>
      <w:r>
        <w:t xml:space="preserve">, Zeina Jamaluddine</w:t>
      </w:r>
      <w:r>
        <w:rPr>
          <w:vertAlign w:val="superscript"/>
        </w:rPr>
        <w:t xml:space="preserve">1,3</w:t>
      </w:r>
      <w:r>
        <w:t xml:space="preserve">, Clara Brigitta</w:t>
      </w:r>
      <w:r>
        <w:rPr>
          <w:vertAlign w:val="superscript"/>
        </w:rPr>
        <w:t xml:space="preserve">1,2</w:t>
      </w:r>
      <w:r>
        <w:t xml:space="preserve">, Ciara McCarthy</w:t>
      </w:r>
      <w:r>
        <w:rPr>
          <w:vertAlign w:val="superscript"/>
        </w:rPr>
        <w:t xml:space="preserve">1,2</w:t>
      </w:r>
      <w:r>
        <w:t xml:space="preserve">, Ciara Judge</w:t>
      </w:r>
      <w:r>
        <w:rPr>
          <w:vertAlign w:val="superscript"/>
        </w:rPr>
        <w:t xml:space="preserve">1,2,4</w:t>
      </w:r>
      <w:r>
        <w:t xml:space="preserve">, Catharina van der Boor</w:t>
      </w:r>
      <w:r>
        <w:rPr>
          <w:vertAlign w:val="superscript"/>
        </w:rPr>
        <w:t xml:space="preserve">3,5</w:t>
      </w:r>
      <w:r>
        <w:t xml:space="preserve">, Francesco Checchi</w:t>
      </w:r>
      <w:r>
        <w:rPr>
          <w:vertAlign w:val="superscript"/>
        </w:rPr>
        <w:t xml:space="preserve">1,3*</w:t>
      </w:r>
    </w:p>
    <w:p>
      <w:pPr>
        <w:pStyle w:val="BodyText"/>
      </w:pPr>
      <w:r>
        <w:t xml:space="preserve">1 Faculty of Epidemiology and Population Health, London School of Hygiene and Tropical Medicine, London, UK</w:t>
      </w:r>
    </w:p>
    <w:p>
      <w:pPr>
        <w:pStyle w:val="BodyText"/>
      </w:pPr>
      <w:r>
        <w:t xml:space="preserve">2 Centre for Mathematical Modelling of Infectious Diseases, London School of Hygiene and Tropical Medicine, London, UK</w:t>
      </w:r>
    </w:p>
    <w:p>
      <w:pPr>
        <w:pStyle w:val="BodyText"/>
      </w:pPr>
      <w:r>
        <w:t xml:space="preserve">3 Health in Humanitarian Crises Centre, London School of Hygiene and Tropical Medicine, London, UK</w:t>
      </w:r>
    </w:p>
    <w:p>
      <w:pPr>
        <w:pStyle w:val="BodyText"/>
      </w:pPr>
      <w:r>
        <w:t xml:space="preserve">4 Pandemic Sciences Institute, University of Oxford, UK</w:t>
      </w:r>
    </w:p>
    <w:p>
      <w:pPr>
        <w:pStyle w:val="BodyText"/>
      </w:pPr>
      <w:r>
        <w:t xml:space="preserve">5 Faculty of Public Health and Policy, London School of Hygiene and Tropical Medicine, London, UK</w:t>
      </w:r>
    </w:p>
    <w:p>
      <w:pPr>
        <w:pStyle w:val="BodyText"/>
      </w:pPr>
      <w:r>
        <w:t xml:space="preserve">* Corresponding author:</w:t>
      </w:r>
      <w:r>
        <w:t xml:space="preserve"> </w:t>
      </w:r>
      <w:hyperlink r:id="rId20">
        <w:r>
          <w:rPr>
            <w:rStyle w:val="Hyperlink"/>
          </w:rPr>
          <w:t xml:space="preserve">Francesco.checchi@lshtm.ac.uk</w:t>
        </w:r>
      </w:hyperlink>
    </w:p>
    <w:bookmarkStart w:id="21" w:name="abstract"/>
    <w:p>
      <w:pPr>
        <w:pStyle w:val="Heading2"/>
      </w:pPr>
      <w:r>
        <w:t xml:space="preserve">Abstract</w:t>
      </w:r>
    </w:p>
    <w:p>
      <w:pPr>
        <w:pStyle w:val="FirstParagraph"/>
      </w:pPr>
      <w:r>
        <w:rPr>
          <w:i/>
          <w:iCs/>
        </w:rPr>
        <w:t xml:space="preserve">Introduction.</w:t>
      </w:r>
      <w:r>
        <w:t xml:space="preserve"> </w:t>
      </w:r>
      <w:r>
        <w:t xml:space="preserve">The Gaza Strip experiences long term food insecurity, with severe famine conditions over periods of 2024 and 2025.</w:t>
      </w:r>
      <w:r>
        <w:t xml:space="preserve"> </w:t>
      </w:r>
      <w:r>
        <w:t xml:space="preserve">Impacts on nutritional health were partially documented among children, but evidence among adults was very limited, with no continuous measure as conditions changed.</w:t>
      </w:r>
      <w:r>
        <w:t xml:space="preserve"> </w:t>
      </w:r>
      <w:r>
        <w:t xml:space="preserve">In July 2025, we aimed to generate such evidence to inform real-time public action, building on the participation of humanitarian staff working in the Gaza Strip.</w:t>
      </w:r>
    </w:p>
    <w:p>
      <w:pPr>
        <w:pStyle w:val="BodyText"/>
      </w:pPr>
      <w:r>
        <w:rPr>
          <w:i/>
          <w:iCs/>
        </w:rPr>
        <w:t xml:space="preserve">Methods.</w:t>
      </w:r>
      <w:r>
        <w:t xml:space="preserve"> </w:t>
      </w:r>
      <w:r>
        <w:t xml:space="preserve">We co-designed a low-cost study with Save the Children International and the United Nations Relief and Works Agency for Palestine Refugees in the Near East.</w:t>
      </w:r>
      <w:r>
        <w:t xml:space="preserve"> </w:t>
      </w:r>
      <w:r>
        <w:t xml:space="preserve">This needed only calibrated weight scales and data entered by staff on personal devices.</w:t>
      </w:r>
      <w:r>
        <w:t xml:space="preserve"> </w:t>
      </w:r>
      <w:r>
        <w:t xml:space="preserve">Staff recorded their weight as recalled for October 2023 together with their measured weight at enrolment, and could then contribute repeat measurements.</w:t>
      </w:r>
      <w:r>
        <w:t xml:space="preserve"> </w:t>
      </w:r>
      <w:r>
        <w:t xml:space="preserve">We created an automated pipeline to clean, aggregate, and visualise these anonymised data in real-time on a public dashboard.</w:t>
      </w:r>
      <w:r>
        <w:t xml:space="preserve"> </w:t>
      </w:r>
      <w:r>
        <w:t xml:space="preserve">We evaluated weight change from 2023 to 2025, adjusted for participant characteristics, and change over a four-month study period, which included the ceasefire of October 2025.</w:t>
      </w:r>
    </w:p>
    <w:p>
      <w:pPr>
        <w:pStyle w:val="BodyText"/>
      </w:pPr>
      <w:r>
        <w:rPr>
          <w:i/>
          <w:iCs/>
        </w:rPr>
        <w:t xml:space="preserve">Results.</w:t>
      </w:r>
      <w:r>
        <w:t xml:space="preserve"> </w:t>
      </w:r>
      <w:r>
        <w:t xml:space="preserve">Between 30 July and 1 December 2025, 434 humanitarian staff recorded 678 valid measurements.</w:t>
      </w:r>
      <w:r>
        <w:t xml:space="preserve"> </w:t>
      </w:r>
      <w:r>
        <w:t xml:space="preserve">Of these, 106 (24%) returned for at least one repeat measurement.</w:t>
      </w:r>
      <w:r>
        <w:t xml:space="preserve"> </w:t>
      </w:r>
      <w:r>
        <w:t xml:space="preserve">Nearly all (94%) participants had lost weight since October 2023.</w:t>
      </w:r>
      <w:r>
        <w:t xml:space="preserve"> </w:t>
      </w:r>
      <w:r>
        <w:t xml:space="preserve">Participants had lost on average about one-sixth of their pre-war weight (mean 15.6%, 95% CI 14.8 to 16.5).</w:t>
      </w:r>
      <w:r>
        <w:t xml:space="preserve"> </w:t>
      </w:r>
      <w:r>
        <w:t xml:space="preserve">Prevalence of underweight BMI rose twelve-fold (0.7% to 8.1%; relative risk 11.7 (4.0 to 34.4)).</w:t>
      </w:r>
      <w:r>
        <w:t xml:space="preserve"> </w:t>
      </w:r>
      <w:r>
        <w:t xml:space="preserve">After adjustment, we observed greater weight loss with increasing age, among men, and by governorate of residence.</w:t>
      </w:r>
      <w:r>
        <w:t xml:space="preserve"> </w:t>
      </w:r>
      <w:r>
        <w:t xml:space="preserve">We saw partial recovery, with fitted weight rising by an estimated 3.9 (2.6 to 5.1) percentage points of pre-war weight over the study period.</w:t>
      </w:r>
    </w:p>
    <w:p>
      <w:pPr>
        <w:pStyle w:val="BodyText"/>
      </w:pPr>
      <w:r>
        <w:rPr>
          <w:i/>
          <w:iCs/>
        </w:rPr>
        <w:t xml:space="preserve">Conclusion.</w:t>
      </w:r>
      <w:r>
        <w:t xml:space="preserve"> </w:t>
      </w:r>
      <w:r>
        <w:t xml:space="preserve">This study adds to a timeline of evidence on the reach and depth of food insecurity in Gaza, and the systematic degradation of population-level food security.</w:t>
      </w:r>
      <w:r>
        <w:t xml:space="preserve"> </w:t>
      </w:r>
      <w:r>
        <w:t xml:space="preserve">Our findings represent a salaried occupational sample of the affected population and were limited by recall and selection biases.</w:t>
      </w:r>
      <w:r>
        <w:t xml:space="preserve"> </w:t>
      </w:r>
      <w:r>
        <w:t xml:space="preserve">We suggest that self-measured adult weight is a low-cost complement to child anthropometry to identify real-time signals of famine.</w:t>
      </w:r>
    </w:p>
    <w:bookmarkEnd w:id="21"/>
    <w:bookmarkStart w:id="22" w:name="plain-summary"/>
    <w:p>
      <w:pPr>
        <w:pStyle w:val="Heading2"/>
      </w:pPr>
      <w:r>
        <w:t xml:space="preserve">Plain summary</w:t>
      </w:r>
    </w:p>
    <w:p>
      <w:pPr>
        <w:pStyle w:val="FirstParagraph"/>
      </w:pPr>
      <w:r>
        <w:t xml:space="preserve">Famine monitoring draws on a range of metrics focused on children and households, with relatively less close monitoring of the nutritional status of individual adults.</w:t>
      </w:r>
    </w:p>
    <w:p>
      <w:pPr>
        <w:pStyle w:val="BodyText"/>
      </w:pPr>
      <w:r>
        <w:t xml:space="preserve">Among humanitarian staff in the Gaza Strip, participants had lost a mean 15.6% of their pre-war weight.</w:t>
      </w:r>
      <w:r>
        <w:t xml:space="preserve"> </w:t>
      </w:r>
      <w:r>
        <w:t xml:space="preserve">Our study used low-cost, anonymised, self-measured weight, and provided a public platform for real-time evidence of an unfolding crisis.</w:t>
      </w:r>
      <w:r>
        <w:t xml:space="preserve"> </w:t>
      </w:r>
      <w:r>
        <w:t xml:space="preserve">However, this design struggled to support repeated measurements among participants over time.</w:t>
      </w:r>
    </w:p>
    <w:p>
      <w:pPr>
        <w:pStyle w:val="BodyText"/>
      </w:pPr>
      <w:r>
        <w:t xml:space="preserve">Self-measured adult weight can support famine monitoring with simple requirements, but needs a clear population denominator, a linkable ID, and a target use for the data from the outset.</w:t>
      </w:r>
      <w:r>
        <w:t xml:space="preserve"> </w:t>
      </w:r>
      <w:r>
        <w:t xml:space="preserve">Under specific, extreme conditions, workforce self-measurement among humanitarian agencies may provide some insight into local conditions that are otherwise challenging to understand.</w:t>
      </w:r>
    </w:p>
    <w:bookmarkEnd w:id="22"/>
    <w:bookmarkStart w:id="23" w:name="introduction"/>
    <w:p>
      <w:pPr>
        <w:pStyle w:val="Heading2"/>
      </w:pPr>
      <w:r>
        <w:t xml:space="preserve">Introduction</w:t>
      </w:r>
    </w:p>
    <w:p>
      <w:pPr>
        <w:pStyle w:val="FirstParagraph"/>
      </w:pPr>
      <w:r>
        <w:t xml:space="preserve">The Gaza Strip has experienced a long-term crisis of food insecurity, with severe impacts on individual nutritional health.</w:t>
      </w:r>
      <w:r>
        <w:t xml:space="preserve"> </w:t>
      </w:r>
      <w:r>
        <w:t xml:space="preserve">Restricted food availability has followed the systematic destruction of local food-producing sectors, combined with limited access to food imports.</w:t>
      </w:r>
      <w:r>
        <w:t xml:space="preserve"> </w:t>
      </w:r>
      <w:r>
        <w:t xml:space="preserve">This crisis substantially worsened following the re-escalation of war in October 2023</w:t>
      </w:r>
      <w:r>
        <w:t xml:space="preserve"> </w:t>
      </w:r>
      <w:r>
        <w:t xml:space="preserve">(Checchi, Ververs, and Jamaluddine 2025)</w:t>
      </w:r>
      <w:r>
        <w:t xml:space="preserve">.</w:t>
      </w:r>
      <w:r>
        <w:t xml:space="preserve"> </w:t>
      </w:r>
      <w:r>
        <w:t xml:space="preserve">A ceasefire from 19 January to 18 March 2025 allowed a temporary increase in food imports</w:t>
      </w:r>
      <w:r>
        <w:t xml:space="preserve"> </w:t>
      </w:r>
      <w:r>
        <w:rPr>
          <w:highlight w:val="yellow"/>
        </w:rPr>
        <w:t xml:space="preserve">citation needed</w:t>
      </w:r>
      <w:r>
        <w:t xml:space="preserve">.</w:t>
      </w:r>
      <w:r>
        <w:t xml:space="preserve"> </w:t>
      </w:r>
      <w:r>
        <w:t xml:space="preserve">In March 2025, Israel fully closed Gaza’s borders, with imports of necessities including food falling below the level of population sustenance</w:t>
      </w:r>
      <w:r>
        <w:t xml:space="preserve"> </w:t>
      </w:r>
      <w:r>
        <w:t xml:space="preserve">(Davis et al. 2026)</w:t>
      </w:r>
      <w:r>
        <w:t xml:space="preserve">.</w:t>
      </w:r>
      <w:r>
        <w:t xml:space="preserve"> </w:t>
      </w:r>
      <w:r>
        <w:t xml:space="preserve">On 22 August 2025, an Integrated Food Security Phase Classification (IPC) analysis confirmed famine in Gaza Governorate</w:t>
      </w:r>
      <w:r>
        <w:t xml:space="preserve"> </w:t>
      </w:r>
      <w:r>
        <w:t xml:space="preserve">(Famine Review Committee 2025)</w:t>
      </w:r>
      <w:r>
        <w:t xml:space="preserve">.</w:t>
      </w:r>
      <w:r>
        <w:t xml:space="preserve"> </w:t>
      </w:r>
      <w:r>
        <w:t xml:space="preserve">The situation eased after the ceasefire of 10 October 2025</w:t>
      </w:r>
      <w:r>
        <w:t xml:space="preserve"> </w:t>
      </w:r>
      <w:r>
        <w:t xml:space="preserve">(Integrated Food Security Phase Classification 2025)</w:t>
      </w:r>
      <w:r>
        <w:t xml:space="preserve">.</w:t>
      </w:r>
      <w:r>
        <w:t xml:space="preserve"> </w:t>
      </w:r>
      <w:r>
        <w:t xml:space="preserve">The acute period of this crisis came with very limited capacity for traditional measures of public health and welfare.</w:t>
      </w:r>
    </w:p>
    <w:p>
      <w:pPr>
        <w:pStyle w:val="BodyText"/>
      </w:pPr>
      <w:r>
        <w:t xml:space="preserve">It was difficult to identify the scale and speed of the impact of the famine on nutritional health as it happened.</w:t>
      </w:r>
      <w:r>
        <w:t xml:space="preserve"> </w:t>
      </w:r>
      <w:r>
        <w:t xml:space="preserve">Several established data streams were repurposed to assess acute malnutrition at sentinel locations or in sentinel populations.</w:t>
      </w:r>
      <w:r>
        <w:t xml:space="preserve"> </w:t>
      </w:r>
      <w:r>
        <w:t xml:space="preserve">Household food security was indicated by surveyed food consumption scores, while individual-level data typically came from surveys of mid-upper arm circumference (MUAC) among children</w:t>
      </w:r>
      <w:r>
        <w:t xml:space="preserve"> </w:t>
      </w:r>
      <w:r>
        <w:t xml:space="preserve">(Horino et al. 2025; Hassneiah et al. 2025)</w:t>
      </w:r>
      <w:r>
        <w:t xml:space="preserve">.</w:t>
      </w:r>
      <w:r>
        <w:t xml:space="preserve"> </w:t>
      </w:r>
      <w:r>
        <w:t xml:space="preserve">However, the Gazan population experiences a double burden of malnutrition: most adults aged 40 and over were overweight in data from 2020</w:t>
      </w:r>
      <w:r>
        <w:t xml:space="preserve"> </w:t>
      </w:r>
      <w:r>
        <w:t xml:space="preserve">(Abu Hamad et al. 2022)</w:t>
      </w:r>
      <w:r>
        <w:t xml:space="preserve">.</w:t>
      </w:r>
      <w:r>
        <w:t xml:space="preserve"> </w:t>
      </w:r>
      <w:r>
        <w:t xml:space="preserve">Population-representative data are very limited, with few consistent measures of working-age or elderly adults, and we are not aware of continuous, real-time indicators of individual nutritional health.</w:t>
      </w:r>
      <w:r>
        <w:t xml:space="preserve"> </w:t>
      </w:r>
      <w:r>
        <w:t xml:space="preserve">As food security worsened over 2025, only anecdotal evidence suggested that adults were rapidly losing body weight, including reports of hunger and wasting among humanitarian staff in Gaza</w:t>
      </w:r>
      <w:r>
        <w:t xml:space="preserve"> </w:t>
      </w:r>
      <w:r>
        <w:t xml:space="preserve">(ACT Alliance et al. 2025)</w:t>
      </w:r>
      <w:r>
        <w:t xml:space="preserve">.</w:t>
      </w:r>
    </w:p>
    <w:p>
      <w:pPr>
        <w:pStyle w:val="BodyText"/>
      </w:pPr>
      <w:r>
        <w:t xml:space="preserve">In July 2025, Save the Children International (SCI) asked our team to help quantify the effect of food insecurity among humanitarian aid workers.</w:t>
      </w:r>
      <w:r>
        <w:t xml:space="preserve"> </w:t>
      </w:r>
      <w:r>
        <w:t xml:space="preserve">With SCI and the United Nations Relief and Works Agency for Palestine Refugees in the Near East (UNRWA), we set up participatory surveillance of adult weight among their staff in the Gaza Strip, to inform humanitarian decision-making, advocacy and diplomatic action.</w:t>
      </w:r>
      <w:r>
        <w:t xml:space="preserve"> </w:t>
      </w:r>
      <w:r>
        <w:t xml:space="preserve">Participatory surveillance collects data directly from the people it concerns and returns the findings to them</w:t>
      </w:r>
      <w:r>
        <w:t xml:space="preserve"> </w:t>
      </w:r>
      <w:r>
        <w:t xml:space="preserve">(McNeil et al. 2022)</w:t>
      </w:r>
      <w:r>
        <w:t xml:space="preserve">.</w:t>
      </w:r>
      <w:r>
        <w:t xml:space="preserve"> </w:t>
      </w:r>
      <w:r>
        <w:t xml:space="preserve">In crises, community-based surveillance by trained volunteers has given timely detection of outbreaks and deaths where routine systems are weak</w:t>
      </w:r>
      <w:r>
        <w:t xml:space="preserve"> </w:t>
      </w:r>
      <w:r>
        <w:t xml:space="preserve">(Ratnayake et al. 2020)</w:t>
      </w:r>
      <w:r>
        <w:t xml:space="preserve">.</w:t>
      </w:r>
      <w:r>
        <w:t xml:space="preserve"> </w:t>
      </w:r>
      <w:r>
        <w:t xml:space="preserve">Here, we:</w:t>
      </w:r>
    </w:p>
    <w:p>
      <w:pPr>
        <w:pStyle w:val="Compact"/>
        <w:numPr>
          <w:ilvl w:val="0"/>
          <w:numId w:val="1001"/>
        </w:numPr>
      </w:pPr>
      <w:r>
        <w:t xml:space="preserve">describe the system;</w:t>
      </w:r>
    </w:p>
    <w:p>
      <w:pPr>
        <w:pStyle w:val="Compact"/>
        <w:numPr>
          <w:ilvl w:val="0"/>
          <w:numId w:val="1001"/>
        </w:numPr>
      </w:pPr>
      <w:r>
        <w:t xml:space="preserve">assess participation, retention, data quality and timeliness;</w:t>
      </w:r>
    </w:p>
    <w:p>
      <w:pPr>
        <w:pStyle w:val="Compact"/>
        <w:numPr>
          <w:ilvl w:val="0"/>
          <w:numId w:val="1001"/>
        </w:numPr>
      </w:pPr>
      <w:r>
        <w:t xml:space="preserve">estimate change in weight and body mass index (BMI) since before the war (pre-war), its association with participant characteristics, and its course over four months.</w:t>
      </w:r>
    </w:p>
    <w:p>
      <w:pPr>
        <w:pStyle w:val="FirstParagraph"/>
      </w:pPr>
      <w:r>
        <w:t xml:space="preserve">We interpret findings in the context of famine in a setting with universal literacy and high connectivity</w:t>
      </w:r>
      <w:r>
        <w:t xml:space="preserve"> </w:t>
      </w:r>
      <w:r>
        <w:rPr>
          <w:highlight w:val="yellow"/>
        </w:rPr>
        <w:t xml:space="preserve">citation needed</w:t>
      </w:r>
      <w:r>
        <w:t xml:space="preserve">.</w:t>
      </w:r>
      <w:r>
        <w:t xml:space="preserve"> </w:t>
      </w:r>
      <w:r>
        <w:t xml:space="preserve">Humanitarian staff are not representative of the population, but are affected by the same food environment.</w:t>
      </w:r>
      <w:r>
        <w:t xml:space="preserve"> </w:t>
      </w:r>
      <w:r>
        <w:t xml:space="preserve">They are also a defined and accessible group who can measure themselves with little additional resource.</w:t>
      </w:r>
    </w:p>
    <w:bookmarkEnd w:id="23"/>
    <w:bookmarkStart w:id="29" w:name="methods"/>
    <w:p>
      <w:pPr>
        <w:pStyle w:val="Heading2"/>
      </w:pPr>
      <w:r>
        <w:t xml:space="preserve">Methods</w:t>
      </w:r>
    </w:p>
    <w:bookmarkStart w:id="26" w:name="study-design"/>
    <w:p>
      <w:pPr>
        <w:pStyle w:val="Heading3"/>
      </w:pPr>
      <w:r>
        <w:t xml:space="preserve">Study design</w:t>
      </w:r>
    </w:p>
    <w:p>
      <w:pPr>
        <w:pStyle w:val="FirstParagraph"/>
      </w:pPr>
      <w:r>
        <w:rPr>
          <w:i/>
          <w:iCs/>
        </w:rPr>
        <w:t xml:space="preserve">Design.</w:t>
      </w:r>
      <w:r>
        <w:t xml:space="preserve"> </w:t>
      </w:r>
      <w:r>
        <w:t xml:space="preserve">We ran a panel study among staff and contractors of SCI and of UNRWA’s Health Section in the Gaza Strip.</w:t>
      </w:r>
      <w:r>
        <w:t xml:space="preserve"> </w:t>
      </w:r>
      <w:r>
        <w:t xml:space="preserve">We initially co-designed the study protocol with SCI based on a low resource burden, using only weight scales and mobile phones.</w:t>
      </w:r>
      <w:r>
        <w:t xml:space="preserve"> </w:t>
      </w:r>
      <w:r>
        <w:t xml:space="preserve">We pre-specified a study protocol (see Supplement;</w:t>
      </w:r>
      <w:r>
        <w:t xml:space="preserve"> </w:t>
      </w:r>
      <w:r>
        <w:rPr>
          <w:highlight w:val="yellow"/>
        </w:rPr>
        <w:t xml:space="preserve">protocol to be added</w:t>
      </w:r>
      <w:r>
        <w:t xml:space="preserve">).</w:t>
      </w:r>
    </w:p>
    <w:p>
      <w:pPr>
        <w:pStyle w:val="BodyText"/>
      </w:pPr>
      <w:r>
        <w:t xml:space="preserve">Both agencies advertised the study to staff in July 2025 and again in October 2025, with an information sheet in English and Arabic and a QR code linking to a non-technical description of the project (</w:t>
      </w:r>
      <w:hyperlink r:id="rId24">
        <w:r>
          <w:rPr>
            <w:rStyle w:val="Hyperlink"/>
          </w:rPr>
          <w:t xml:space="preserve">https://cmmid.github.io/gaza-response/about.html</w:t>
        </w:r>
      </w:hyperlink>
      <w:r>
        <w:t xml:space="preserve">).</w:t>
      </w:r>
      <w:r>
        <w:t xml:space="preserve"> </w:t>
      </w:r>
      <w:r>
        <w:t xml:space="preserve">Each agency placed calibrated electronic scales in its female and male changing rooms.</w:t>
      </w:r>
      <w:r>
        <w:t xml:space="preserve"> </w:t>
      </w:r>
      <w:r>
        <w:t xml:space="preserve">Participants used mobile phones or computers to read the study information, give consent, create their ID and enter data.</w:t>
      </w:r>
    </w:p>
    <w:p>
      <w:pPr>
        <w:pStyle w:val="BodyText"/>
      </w:pPr>
      <w:r>
        <w:t xml:space="preserve">Participation was voluntary and anonymous.</w:t>
      </w:r>
      <w:r>
        <w:t xml:space="preserve"> </w:t>
      </w:r>
      <w:r>
        <w:t xml:space="preserve">We collected no names or contact details, and each participant created their own participant ID to link repeat measurements.</w:t>
      </w:r>
      <w:r>
        <w:t xml:space="preserve"> </w:t>
      </w:r>
      <w:r>
        <w:t xml:space="preserve">This was either their nine-digit Palestinian national ID, or a composite ID (initials of: first name, family name, father’s name and mother’s name; their date of birth; and the initial of a favourite artist).</w:t>
      </w:r>
      <w:r>
        <w:t xml:space="preserve"> </w:t>
      </w:r>
      <w:r>
        <w:t xml:space="preserve">IDs were hashed (one-way) at source, and staff were aware that researchers could not identify them.</w:t>
      </w:r>
    </w:p>
    <w:p>
      <w:pPr>
        <w:pStyle w:val="BodyText"/>
      </w:pPr>
      <w:r>
        <w:rPr>
          <w:i/>
          <w:iCs/>
        </w:rPr>
        <w:t xml:space="preserve">Data collection.</w:t>
      </w:r>
      <w:r>
        <w:t xml:space="preserve"> </w:t>
      </w:r>
      <w:r>
        <w:t xml:space="preserve">At enrolment participants reported baseline characteristics of: sex, age, governorate of residence, professional role, number of dependent children under 10 years, height (nearest cm), and weight before 7 October 2023 as they recalled it (</w:t>
      </w:r>
      <w:r>
        <w:t xml:space="preserve">“pre-war”</w:t>
      </w:r>
      <w:r>
        <w:t xml:space="preserve">; nearest 0.1 kg).</w:t>
      </w:r>
      <w:r>
        <w:t xml:space="preserve"> </w:t>
      </w:r>
      <w:r>
        <w:t xml:space="preserve">An additional question on chronic health conditions was added on 10 August.</w:t>
      </w:r>
      <w:r>
        <w:t xml:space="preserve"> </w:t>
      </w:r>
      <w:r>
        <w:t xml:space="preserve">Participants then measured their own weight using provided scales, measured without shoes, heavy clothing or bags.</w:t>
      </w:r>
      <w:r>
        <w:t xml:space="preserve"> </w:t>
      </w:r>
      <w:r>
        <w:t xml:space="preserve">At each return measurement, participants entered only their participant ID, the date, and their measured weight.</w:t>
      </w:r>
      <w:r>
        <w:t xml:space="preserve"> </w:t>
      </w:r>
      <w:r>
        <w:t xml:space="preserve">We include all data collection forms in the Supplement (</w:t>
      </w:r>
      <w:r>
        <w:rPr>
          <w:highlight w:val="yellow"/>
        </w:rPr>
        <w:t xml:space="preserve">S?: forms to be added</w:t>
      </w:r>
      <w:r>
        <w:t xml:space="preserve">).</w:t>
      </w:r>
    </w:p>
    <w:p>
      <w:pPr>
        <w:pStyle w:val="BodyText"/>
      </w:pPr>
      <w:r>
        <w:t xml:space="preserve">We collected data with Open Data Kit, which allowed offline entry, and stored individual records encrypted on a restricted server.</w:t>
      </w:r>
      <w:r>
        <w:t xml:space="preserve"> </w:t>
      </w:r>
      <w:r>
        <w:t xml:space="preserve">An automated pipeline pulled new submissions, applied data validation and aggregation, and pushed only the aggregates to a public repository.</w:t>
      </w:r>
      <w:r>
        <w:t xml:space="preserve"> </w:t>
      </w:r>
      <w:r>
        <w:t xml:space="preserve">We automated a public dashboard that rebuilt from that repository at each update (</w:t>
      </w:r>
      <w:hyperlink r:id="rId25">
        <w:r>
          <w:rPr>
            <w:rStyle w:val="Hyperlink"/>
          </w:rPr>
          <w:t xml:space="preserve">https://cmmid.github.io/gaza-response/</w:t>
        </w:r>
      </w:hyperlink>
      <w:r>
        <w:t xml:space="preserve">)</w:t>
      </w:r>
      <w:r>
        <w:t xml:space="preserve"> </w:t>
      </w:r>
      <w:r>
        <w:t xml:space="preserve">(van Zandvoort et al. 2026)</w:t>
      </w:r>
      <w:r>
        <w:t xml:space="preserve">.</w:t>
      </w:r>
      <w:r>
        <w:t xml:space="preserve"> </w:t>
      </w:r>
      <w:r>
        <w:t xml:space="preserve">This visualised the number of participants and measurements over time, and weight and BMI change overall and by sex, age, residence and number of dependent children.</w:t>
      </w:r>
    </w:p>
    <w:p>
      <w:pPr>
        <w:pStyle w:val="BodyText"/>
      </w:pPr>
      <w:r>
        <w:rPr>
          <w:i/>
          <w:iCs/>
        </w:rPr>
        <w:t xml:space="preserve">Outcomes.</w:t>
      </w:r>
      <w:r>
        <w:t xml:space="preserve"> </w:t>
      </w:r>
      <w:r>
        <w:t xml:space="preserve">We defined primary outcomes as: percentage change in weight, and absolute change in BMI, from recalled pre-war weight to measured weight at enrolment.</w:t>
      </w:r>
      <w:r>
        <w:t xml:space="preserve"> </w:t>
      </w:r>
      <w:r>
        <w:t xml:space="preserve">Secondary outcomes were underweight BMI at enrolment compared with pre-war, and change in weight relative to pre-war over follow-up.</w:t>
      </w:r>
    </w:p>
    <w:p>
      <w:pPr>
        <w:pStyle w:val="BodyText"/>
      </w:pPr>
      <w:r>
        <w:rPr>
          <w:i/>
          <w:iCs/>
        </w:rPr>
        <w:t xml:space="preserve">Ethics and participant involvement.</w:t>
      </w:r>
      <w:r>
        <w:t xml:space="preserve"> </w:t>
      </w:r>
      <w:r>
        <w:t xml:space="preserve">The study was developed at the request of SCI, whose staff were among those affected, and the protocol was co-designed with SCI and UNRWA, including identifying relevant baseline characteristics.</w:t>
      </w:r>
      <w:r>
        <w:t xml:space="preserve"> </w:t>
      </w:r>
      <w:r>
        <w:t xml:space="preserve">We received ethics approval from the London School of Hygiene and Tropical Medicine (ID 32766).</w:t>
      </w:r>
      <w:r>
        <w:t xml:space="preserve"> </w:t>
      </w:r>
      <w:r>
        <w:t xml:space="preserve">Participants gave consent on the enrolment form before entering any data, and where consent was refused this nullified all fields of participant data automatically.</w:t>
      </w:r>
    </w:p>
    <w:bookmarkEnd w:id="26"/>
    <w:bookmarkStart w:id="28" w:name="analysis"/>
    <w:p>
      <w:pPr>
        <w:pStyle w:val="Heading3"/>
      </w:pPr>
      <w:r>
        <w:t xml:space="preserve">Analysis</w:t>
      </w:r>
    </w:p>
    <w:p>
      <w:pPr>
        <w:pStyle w:val="FirstParagraph"/>
      </w:pPr>
      <w:r>
        <w:rPr>
          <w:i/>
          <w:iCs/>
        </w:rPr>
        <w:t xml:space="preserve">Exclusion criteria.</w:t>
      </w:r>
      <w:r>
        <w:t xml:space="preserve"> </w:t>
      </w:r>
      <w:r>
        <w:t xml:space="preserve">We excluded records without consent, duplicate records for the same participant and day, follow-up records that matched no enrolment record, records with missing weight, participants with no recalled pre-war weight, and values outside plausible ranges (weight 30-180 kg; height 140-210 cm; BMI 10-60 kg/m</w:t>
      </w:r>
      <w:r>
        <w:rPr>
          <w:vertAlign w:val="superscript"/>
        </w:rPr>
        <w:t xml:space="preserve">2</w:t>
      </w:r>
      <w:r>
        <w:t xml:space="preserve">; weight change since enrolment greater than 10% per day).</w:t>
      </w:r>
      <w:r>
        <w:t xml:space="preserve"> </w:t>
      </w:r>
      <w:r>
        <w:t xml:space="preserve">We classified BMI as underweight (&lt;18.5 kg/m</w:t>
      </w:r>
      <w:r>
        <w:rPr>
          <w:vertAlign w:val="superscript"/>
        </w:rPr>
        <w:t xml:space="preserve">2</w:t>
      </w:r>
      <w:r>
        <w:t xml:space="preserve">), normal (18.5 to &lt;25), overweight (25 to &lt;30) or obese (≥30)</w:t>
      </w:r>
      <w:r>
        <w:t xml:space="preserve"> </w:t>
      </w:r>
      <w:r>
        <w:t xml:space="preserve">(WHO Expert Committee on Physical Status 1995)</w:t>
      </w:r>
      <w:r>
        <w:t xml:space="preserve">.</w:t>
      </w:r>
      <w:r>
        <w:t xml:space="preserve"> </w:t>
      </w:r>
      <w:r>
        <w:t xml:space="preserve">We also grouped participants into two enrolment cohorts, August-September and October-November 2025, corresponding to the initial advertisement and re-advertisement.</w:t>
      </w:r>
      <w:r>
        <w:t xml:space="preserve"> </w:t>
      </w:r>
      <w:r>
        <w:t xml:space="preserve">We then defined two datasets for analysis.</w:t>
      </w:r>
      <w:r>
        <w:t xml:space="preserve"> </w:t>
      </w:r>
      <w:r>
        <w:t xml:space="preserve">A cross-sectional set included each participant’s recalled pre-war and measured enrolment weight.</w:t>
      </w:r>
      <w:r>
        <w:t xml:space="preserve"> </w:t>
      </w:r>
      <w:r>
        <w:t xml:space="preserve">The longitudinal set included participants with two or more measurements (enrolment and at least one follow-up), excluding participants whose BMI changed by more than 1 kg/m</w:t>
      </w:r>
      <w:r>
        <w:rPr>
          <w:vertAlign w:val="superscript"/>
        </w:rPr>
        <w:t xml:space="preserve">2</w:t>
      </w:r>
      <w:r>
        <w:t xml:space="preserve"> </w:t>
      </w:r>
      <w:r>
        <w:t xml:space="preserve">per day between successive measurements.</w:t>
      </w:r>
    </w:p>
    <w:p>
      <w:pPr>
        <w:pStyle w:val="BodyText"/>
      </w:pPr>
      <w:r>
        <w:rPr>
          <w:i/>
          <w:iCs/>
        </w:rPr>
        <w:t xml:space="preserve">System performance and participation.</w:t>
      </w:r>
      <w:r>
        <w:t xml:space="preserve"> </w:t>
      </w:r>
      <w:r>
        <w:t xml:space="preserve">We measured timeliness as the days from the date recorded on each form to its arrival on the server, over all forms received.</w:t>
      </w:r>
      <w:r>
        <w:t xml:space="preserve"> </w:t>
      </w:r>
      <w:r>
        <w:t xml:space="preserve">We counted follow-up records whose participant ID matched no enrolment record.</w:t>
      </w:r>
      <w:r>
        <w:t xml:space="preserve"> </w:t>
      </w:r>
      <w:r>
        <w:t xml:space="preserve">We compared enrolment characteristics between cohorts, and between participants with and without follow-up (Tables S1-S2).</w:t>
      </w:r>
      <w:r>
        <w:t xml:space="preserve"> </w:t>
      </w:r>
      <w:r>
        <w:t xml:space="preserve">We estimated the odds of returning for at least one follow-up measurement with logistic regression on age group, sex, residence, dependent children, professional role, BMI at enrolment and enrolment cohort (Table S3).</w:t>
      </w:r>
    </w:p>
    <w:p>
      <w:pPr>
        <w:pStyle w:val="BodyText"/>
      </w:pPr>
      <w:r>
        <w:rPr>
          <w:i/>
          <w:iCs/>
        </w:rPr>
        <w:t xml:space="preserve">Change from pre-war to enrolment.</w:t>
      </w:r>
      <w:r>
        <w:t xml:space="preserve"> </w:t>
      </w:r>
      <w:r>
        <w:t xml:space="preserve">We estimated mean percentage weight change, and mean absolute BMI change, from 2023 to 2025, with 95% confidence intervals (CI).</w:t>
      </w:r>
      <w:r>
        <w:t xml:space="preserve"> </w:t>
      </w:r>
      <w:r>
        <w:t xml:space="preserve">Among our participant sample, we estimated the relative risk of underweight BMI at enrolment in 2025, compared with pre-war 2023, with a Wald 95% CI for paired proportions.</w:t>
      </w:r>
    </w:p>
    <w:p>
      <w:pPr>
        <w:pStyle w:val="BodyText"/>
      </w:pPr>
      <w:r>
        <w:rPr>
          <w:i/>
          <w:iCs/>
        </w:rPr>
        <w:t xml:space="preserve">Risk factors for weight loss since pre-war.</w:t>
      </w:r>
      <w:r>
        <w:t xml:space="preserve"> </w:t>
      </w:r>
      <w:r>
        <w:t xml:space="preserve">We used linear regression to estimate associations between participant characteristics and weight change since pre-war.</w:t>
      </w:r>
      <w:r>
        <w:t xml:space="preserve"> </w:t>
      </w:r>
      <w:r>
        <w:t xml:space="preserve">The outcome was the log ratio of weight at enrolment to pre-war weight, which treats weight change as proportional to starting weight and symmetric</w:t>
      </w:r>
      <w:r>
        <w:t xml:space="preserve"> </w:t>
      </w:r>
      <w:r>
        <w:t xml:space="preserve">(T. J. Cole 2000; Tim J. Cole and Altman 2017)</w:t>
      </w:r>
      <w:r>
        <w:t xml:space="preserve">.</w:t>
      </w:r>
      <w:r>
        <w:t xml:space="preserve"> </w:t>
      </w:r>
      <w:r>
        <w:t xml:space="preserve">We back-transformed coefficients to percentage differences in weight relative to pre-war.</w:t>
      </w:r>
      <w:r>
        <w:t xml:space="preserve"> </w:t>
      </w:r>
      <w:r>
        <w:t xml:space="preserve">For interpretability we report mean percentage changes, with geometric means in the Supplement (Table S7).</w:t>
      </w:r>
      <w:r>
        <w:t xml:space="preserve"> </w:t>
      </w:r>
      <w:r>
        <w:t xml:space="preserve">We estimated crude associations for each characteristic, and adjusted associations including age group, sex, residence, dependent children, professional role, organisation and enrolment cohort.</w:t>
      </w:r>
      <w:r>
        <w:t xml:space="preserve"> </w:t>
      </w:r>
      <w:r>
        <w:t xml:space="preserve">We observed sparse data in some categories.</w:t>
      </w:r>
      <w:r>
        <w:t xml:space="preserve"> </w:t>
      </w:r>
      <w:r>
        <w:t xml:space="preserve">To handle this, we combined North Gaza (n = 20) with Gaza City; and Rafah (n = 8) with Khan Yunis; and we analysed chronic conditions separately (Supplement).</w:t>
      </w:r>
    </w:p>
    <w:p>
      <w:pPr>
        <w:pStyle w:val="BodyText"/>
      </w:pPr>
      <w:r>
        <w:rPr>
          <w:i/>
          <w:iCs/>
        </w:rPr>
        <w:t xml:space="preserve">Change over follow-up.</w:t>
      </w:r>
      <w:r>
        <w:t xml:space="preserve"> </w:t>
      </w:r>
      <w:r>
        <w:t xml:space="preserve">We assessed the change in participants’ successive weight measurements during follow-up, again using the log ratio to their pre-war weight.</w:t>
      </w:r>
      <w:r>
        <w:t xml:space="preserve"> </w:t>
      </w:r>
      <w:r>
        <w:t xml:space="preserve">We estimated this using a generalised additive model with a smooth of calendar day, a linear term for day of enrolment, and a participant random intercept, estimated with restricted maximum likelihood.</w:t>
      </w:r>
    </w:p>
    <w:p>
      <w:pPr>
        <w:pStyle w:val="BodyText"/>
      </w:pPr>
      <m:oMathPara>
        <m:oMathParaPr>
          <m:jc m:val="center"/>
        </m:oMathParaPr>
        <m:oMath>
          <m:r>
            <m:rPr>
              <m:sty m:val="p"/>
            </m:rPr>
            <m:t>log</m:t>
          </m:r>
          <m:d>
            <m:dPr>
              <m:begChr m:val="("/>
              <m:sepChr m:val=""/>
              <m:endChr m:val=")"/>
              <m:grow/>
            </m:dPr>
            <m:e>
              <m:f>
                <m:fPr>
                  <m:type m:val="bar"/>
                </m:fPr>
                <m:num>
                  <m:sSub>
                    <m:e>
                      <m:r>
                        <m:t>w</m:t>
                      </m:r>
                    </m:e>
                    <m:sub>
                      <m:r>
                        <m:t>i</m:t>
                      </m:r>
                      <m:r>
                        <m:t>j</m:t>
                      </m:r>
                    </m:sub>
                  </m:sSub>
                </m:num>
                <m:den>
                  <m:sSub>
                    <m:e>
                      <m:r>
                        <m:t>w</m:t>
                      </m:r>
                    </m:e>
                    <m:sub>
                      <m:r>
                        <m:t>i</m:t>
                      </m:r>
                      <m:r>
                        <m:t>0</m:t>
                      </m:r>
                    </m:sub>
                  </m:sSub>
                </m:den>
              </m:f>
            </m:e>
          </m:d>
          <m:r>
            <m:rPr>
              <m:sty m:val="p"/>
            </m:rPr>
            <m:t>=</m:t>
          </m:r>
          <m:sSub>
            <m:e>
              <m:r>
                <m:t>β</m:t>
              </m:r>
            </m:e>
            <m:sub>
              <m:r>
                <m:t>0</m:t>
              </m:r>
            </m:sub>
          </m:sSub>
          <m:r>
            <m:rPr>
              <m:sty m:val="p"/>
            </m:rPr>
            <m:t>+</m:t>
          </m:r>
          <m:r>
            <m:t>f</m:t>
          </m:r>
          <m:d>
            <m:dPr>
              <m:begChr m:val="("/>
              <m:sepChr m:val=""/>
              <m:endChr m:val=")"/>
              <m:grow/>
            </m:dPr>
            <m:e>
              <m:sSub>
                <m:e>
                  <m:r>
                    <m:t>t</m:t>
                  </m:r>
                </m:e>
                <m:sub>
                  <m:r>
                    <m:t>i</m:t>
                  </m:r>
                  <m:r>
                    <m:t>j</m:t>
                  </m:r>
                </m:sub>
              </m:sSub>
            </m:e>
          </m:d>
          <m:r>
            <m:rPr>
              <m:sty m:val="p"/>
            </m:rPr>
            <m:t>+</m:t>
          </m:r>
          <m:sSub>
            <m:e>
              <m:r>
                <m:t>β</m:t>
              </m:r>
            </m:e>
            <m:sub>
              <m:r>
                <m:t>1</m:t>
              </m:r>
            </m:sub>
          </m:sSub>
          <m:sSub>
            <m:e>
              <m:r>
                <m:t>e</m:t>
              </m:r>
            </m:e>
            <m:sub>
              <m:r>
                <m:t>i</m:t>
              </m:r>
            </m:sub>
          </m:sSub>
          <m:r>
            <m:rPr>
              <m:sty m:val="p"/>
            </m:rPr>
            <m:t>+</m:t>
          </m:r>
          <m:sSub>
            <m:e>
              <m:r>
                <m:t>u</m:t>
              </m:r>
            </m:e>
            <m:sub>
              <m:r>
                <m:t>i</m:t>
              </m:r>
            </m:sub>
          </m:sSub>
          <m:r>
            <m:rPr>
              <m:sty m:val="p"/>
            </m:rPr>
            <m:t>+</m:t>
          </m:r>
          <m:sSub>
            <m:e>
              <m:r>
                <m:t>ε</m:t>
              </m:r>
            </m:e>
            <m:sub>
              <m:r>
                <m:t>i</m:t>
              </m:r>
              <m:r>
                <m:t>j</m:t>
              </m:r>
            </m:sub>
          </m:sSub>
        </m:oMath>
      </m:oMathPara>
    </w:p>
    <w:p>
      <w:pPr>
        <w:pStyle w:val="FirstParagraph"/>
      </w:pPr>
      <w:r>
        <w:t xml:space="preserve">where</w:t>
      </w:r>
      <w:r>
        <w:t xml:space="preserve"> </w:t>
      </w:r>
      <m:oMath>
        <m:sSub>
          <m:e>
            <m:r>
              <m:t>w</m:t>
            </m:r>
          </m:e>
          <m:sub>
            <m:r>
              <m:t>i</m:t>
            </m:r>
            <m:r>
              <m:t>j</m:t>
            </m:r>
          </m:sub>
        </m:sSub>
      </m:oMath>
      <w:r>
        <w:t xml:space="preserve"> </w:t>
      </w:r>
      <w:r>
        <w:t xml:space="preserve">is participant</w:t>
      </w:r>
      <w:r>
        <w:t xml:space="preserve"> </w:t>
      </w:r>
      <m:oMath>
        <m:r>
          <m:t>i</m:t>
        </m:r>
      </m:oMath>
      <w:r>
        <w:t xml:space="preserve">’s weight at measurement</w:t>
      </w:r>
      <w:r>
        <w:t xml:space="preserve"> </w:t>
      </w:r>
      <m:oMath>
        <m:r>
          <m:t>j</m:t>
        </m:r>
      </m:oMath>
      <w:r>
        <w:t xml:space="preserve">,</w:t>
      </w:r>
      <w:r>
        <w:t xml:space="preserve"> </w:t>
      </w:r>
      <m:oMath>
        <m:sSub>
          <m:e>
            <m:r>
              <m:t>w</m:t>
            </m:r>
          </m:e>
          <m:sub>
            <m:r>
              <m:t>i</m:t>
            </m:r>
            <m:r>
              <m:t>0</m:t>
            </m:r>
          </m:sub>
        </m:sSub>
      </m:oMath>
      <w:r>
        <w:t xml:space="preserve"> </w:t>
      </w:r>
      <w:r>
        <w:t xml:space="preserve">their recalled pre-war weight,</w:t>
      </w:r>
      <w:r>
        <w:t xml:space="preserve"> </w:t>
      </w:r>
      <m:oMath>
        <m:sSub>
          <m:e>
            <m:r>
              <m:t>t</m:t>
            </m:r>
          </m:e>
          <m:sub>
            <m:r>
              <m:t>i</m:t>
            </m:r>
            <m:r>
              <m:t>j</m:t>
            </m:r>
          </m:sub>
        </m:sSub>
      </m:oMath>
      <w:r>
        <w:t xml:space="preserve"> </w:t>
      </w:r>
      <w:r>
        <w:t xml:space="preserve">the day of measurement and</w:t>
      </w:r>
      <w:r>
        <w:t xml:space="preserve"> </w:t>
      </w:r>
      <m:oMath>
        <m:sSub>
          <m:e>
            <m:r>
              <m:t>e</m:t>
            </m:r>
          </m:e>
          <m:sub>
            <m:r>
              <m:t>i</m:t>
            </m:r>
          </m:sub>
        </m:sSub>
      </m:oMath>
      <w:r>
        <w:t xml:space="preserve"> </w:t>
      </w:r>
      <w:r>
        <w:t xml:space="preserve">the day of the participant’s enrolment (both counted from study start),</w:t>
      </w:r>
      <w:r>
        <w:t xml:space="preserve"> </w:t>
      </w:r>
      <m:oMath>
        <m:r>
          <m:t>f</m:t>
        </m:r>
      </m:oMath>
      <w:r>
        <w:t xml:space="preserve"> </w:t>
      </w:r>
      <w:r>
        <w:t xml:space="preserve">a thin plate regression spline with basis dimension 4 (about one per month of follow-up),</w:t>
      </w:r>
      <w:r>
        <w:t xml:space="preserve"> </w:t>
      </w:r>
      <m:oMath>
        <m:sSub>
          <m:e>
            <m:r>
              <m:t>u</m:t>
            </m:r>
          </m:e>
          <m:sub>
            <m:r>
              <m:t>i</m:t>
            </m:r>
          </m:sub>
        </m:sSub>
      </m:oMath>
      <w:r>
        <w:t xml:space="preserve"> </w:t>
      </w:r>
      <w:r>
        <w:t xml:space="preserve">a normally distributed participant random intercept, and</w:t>
      </w:r>
      <w:r>
        <w:t xml:space="preserve"> </w:t>
      </w:r>
      <m:oMath>
        <m:sSub>
          <m:e>
            <m:r>
              <m:t>ε</m:t>
            </m:r>
          </m:e>
          <m:sub>
            <m:r>
              <m:t>i</m:t>
            </m:r>
            <m:r>
              <m:t>j</m:t>
            </m:r>
          </m:sub>
        </m:sSub>
      </m:oMath>
      <w:r>
        <w:t xml:space="preserve"> </w:t>
      </w:r>
      <w:r>
        <w:t xml:space="preserve">residual error.</w:t>
      </w:r>
      <w:r>
        <w:t xml:space="preserve"> </w:t>
      </w:r>
      <w:r>
        <w:t xml:space="preserve">We report the population-level trajectory of change over the study period, back-transformed to percentage of pre-war weight (with</w:t>
      </w:r>
      <w:r>
        <w:t xml:space="preserve"> </w:t>
      </w:r>
      <m:oMath>
        <m:sSub>
          <m:e>
            <m:r>
              <m:t>u</m:t>
            </m:r>
          </m:e>
          <m:sub>
            <m:r>
              <m:t>i</m:t>
            </m:r>
          </m:sub>
        </m:sSub>
        <m:r>
          <m:rPr>
            <m:sty m:val="p"/>
          </m:rPr>
          <m:t>=</m:t>
        </m:r>
        <m:r>
          <m:t>0</m:t>
        </m:r>
      </m:oMath>
      <w:r>
        <w:t xml:space="preserve"> </w:t>
      </w:r>
      <w:r>
        <w:t xml:space="preserve">and</w:t>
      </w:r>
      <w:r>
        <w:t xml:space="preserve"> </w:t>
      </w:r>
      <m:oMath>
        <m:sSub>
          <m:e>
            <m:r>
              <m:t>e</m:t>
            </m:r>
          </m:e>
          <m:sub>
            <m:r>
              <m:t>i</m:t>
            </m:r>
          </m:sub>
        </m:sSub>
      </m:oMath>
      <w:r>
        <w:t xml:space="preserve"> </w:t>
      </w:r>
      <w:r>
        <w:t xml:space="preserve">at its mean).</w:t>
      </w:r>
      <w:r>
        <w:t xml:space="preserve"> </w:t>
      </w:r>
      <w:r>
        <w:t xml:space="preserve">We assessed whether the rate of change differed after the 10 October 2025 ceasefire from the shape of the fitted smooth.</w:t>
      </w:r>
      <w:r>
        <w:t xml:space="preserve"> </w:t>
      </w:r>
      <w:r>
        <w:t xml:space="preserve">As sensitivity analysis, we checked whether the fitted change depended on the model specification or participant selection.</w:t>
      </w:r>
      <w:r>
        <w:t xml:space="preserve"> </w:t>
      </w:r>
      <w:r>
        <w:t xml:space="preserve">We refitted the model without a term for enrolment time; with participant as a fixed effect; among only participants who measured both before and after the ceasefire; and among participants measured over 30 days or more.</w:t>
      </w:r>
    </w:p>
    <w:p>
      <w:pPr>
        <w:pStyle w:val="BodyText"/>
      </w:pPr>
      <w:r>
        <w:t xml:space="preserve">We performed all analysis in R version 4.5.2</w:t>
      </w:r>
      <w:r>
        <w:t xml:space="preserve"> </w:t>
      </w:r>
      <w:r>
        <w:t xml:space="preserve">(R Core Team 2025)</w:t>
      </w:r>
      <w:r>
        <w:t xml:space="preserve">, with statistical testing and reporting using mgcv</w:t>
      </w:r>
      <w:r>
        <w:t xml:space="preserve"> </w:t>
      </w:r>
      <w:r>
        <w:t xml:space="preserve">(Wood 2000)</w:t>
      </w:r>
      <w:r>
        <w:t xml:space="preserve">, marginaleffects</w:t>
      </w:r>
      <w:r>
        <w:t xml:space="preserve"> </w:t>
      </w:r>
      <w:r>
        <w:t xml:space="preserve">(Arel-Bundock, Greifer, and Heiss 2024)</w:t>
      </w:r>
      <w:r>
        <w:t xml:space="preserve">, and gtsummary</w:t>
      </w:r>
      <w:r>
        <w:t xml:space="preserve"> </w:t>
      </w:r>
      <w:r>
        <w:t xml:space="preserve">(Sjoberg et al. 2021)</w:t>
      </w:r>
      <w:r>
        <w:t xml:space="preserve">.</w:t>
      </w:r>
      <w:r>
        <w:t xml:space="preserve"> </w:t>
      </w:r>
      <w:r>
        <w:t xml:space="preserve">Aggregate data and all code used in this project are available at</w:t>
      </w:r>
      <w:r>
        <w:t xml:space="preserve"> </w:t>
      </w:r>
      <w:hyperlink r:id="rId27">
        <w:r>
          <w:rPr>
            <w:rStyle w:val="Hyperlink"/>
          </w:rPr>
          <w:t xml:space="preserve">https://github.com/cmmid/gaza-report</w:t>
        </w:r>
      </w:hyperlink>
      <w:r>
        <w:t xml:space="preserve"> </w:t>
      </w:r>
      <w:r>
        <w:t xml:space="preserve">(</w:t>
      </w:r>
      <w:r>
        <w:rPr>
          <w:highlight w:val="yellow"/>
        </w:rPr>
        <w:t xml:space="preserve">DOI</w:t>
      </w:r>
      <w:r>
        <w:t xml:space="preserve">).</w:t>
      </w:r>
    </w:p>
    <w:bookmarkEnd w:id="28"/>
    <w:bookmarkEnd w:id="29"/>
    <w:bookmarkStart w:id="46" w:name="results"/>
    <w:p>
      <w:pPr>
        <w:pStyle w:val="Heading2"/>
      </w:pPr>
      <w:r>
        <w:t xml:space="preserve">Results</w:t>
      </w:r>
    </w:p>
    <w:bookmarkStart w:id="35" w:name="participation"/>
    <w:p>
      <w:pPr>
        <w:pStyle w:val="Heading3"/>
      </w:pPr>
      <w:r>
        <w:t xml:space="preserve">Participation</w:t>
      </w:r>
    </w:p>
    <w:p>
      <w:pPr>
        <w:pStyle w:val="FirstParagraph"/>
      </w:pPr>
      <w:r>
        <w:t xml:space="preserve">Between 30 July and 1 December 2025, we collected a total of 1083 records from 677 unique participant IDs.</w:t>
      </w:r>
      <w:r>
        <w:t xml:space="preserve"> </w:t>
      </w:r>
      <w:r>
        <w:t xml:space="preserve">We included 678 (63%) weight measurements contributed by 434 participants (</w:t>
      </w:r>
      <w:hyperlink w:anchor="fig-system">
        <w:r>
          <w:rPr>
            <w:rStyle w:val="Hyperlink"/>
          </w:rPr>
          <w:t xml:space="preserve">Figure 1</w:t>
        </w:r>
      </w:hyperlink>
      <w:r>
        <w:t xml:space="preserve">).</w:t>
      </w:r>
      <w:r>
        <w:t xml:space="preserve"> </w:t>
      </w:r>
      <w:r>
        <w:t xml:space="preserve">We reported these in real-time from 2 August, with 69% of forms reaching the server on the date reported, and 99.7% within seven days.</w:t>
      </w:r>
    </w:p>
    <w:tbl>
      <w:tblPr>
        <w:tblStyle w:val="Table"/>
        <w:tblW w:type="pct" w:w="5000"/>
        <w:tblLayout w:type="fixed"/>
        <w:tblLook w:firstRow="0" w:lastRow="0" w:firstColumn="0" w:lastColumn="0" w:noHBand="0" w:noVBand="0" w:val="0000"/>
      </w:tblPr>
      <w:tblGrid>
        <w:gridCol w:w="7920"/>
      </w:tblGrid>
      <w:tr>
        <w:tc>
          <w:tcPr/>
          <w:bookmarkStart w:id="33" w:name="fig-system"/>
          <w:p>
            <w:pPr>
              <w:pStyle w:val="Compact"/>
              <w:jc w:val="center"/>
            </w:pPr>
            <w:r>
              <w:drawing>
                <wp:inline>
                  <wp:extent cx="5334000" cy="2667000"/>
                  <wp:effectExtent b="0" l="0" r="0" t="0"/>
                  <wp:docPr descr="" title="" id="31" name="Picture"/>
                  <a:graphic>
                    <a:graphicData uri="http://schemas.openxmlformats.org/drawingml/2006/picture">
                      <pic:pic>
                        <pic:nvPicPr>
                          <pic:cNvPr descr="manuscript_files/figure-docx/fig-system-1.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 Flow of records and participants, from all records received to the analysis sets, with exclusions by reason. B: Weight measurements recorded each week: enrolments, follow-ups linked to an enrolment record, and follow-ups that matched no enrolment record and were excluded (hatched). Dashed lines mark recruitment advertisements, dashboard launch, the confirmation of famine on 22 August 2025 and the ceasefire on 10 October 2025.</w:t>
            </w:r>
          </w:p>
          <w:bookmarkEnd w:id="33"/>
        </w:tc>
      </w:tr>
    </w:tbl>
    <w:p>
      <w:pPr>
        <w:pStyle w:val="BodyText"/>
      </w:pPr>
      <w:r>
        <w:t xml:space="preserve">Participants enrolled in two cohorts following advertised recruitment, with 258 (59%) in August-September 2025, and 176 (41%) in October-November (</w:t>
      </w:r>
      <w:hyperlink w:anchor="tbl-characteristics">
        <w:r>
          <w:rPr>
            <w:rStyle w:val="Hyperlink"/>
          </w:rPr>
          <w:t xml:space="preserve">Table 1</w:t>
        </w:r>
      </w:hyperlink>
      <w:r>
        <w:t xml:space="preserve">; Supplement Table S1).</w:t>
      </w:r>
      <w:r>
        <w:t xml:space="preserve"> </w:t>
      </w:r>
      <w:r>
        <w:t xml:space="preserve">Almost all participants (97%) were recruited by UNRWA.</w:t>
      </w:r>
      <w:r>
        <w:t xml:space="preserve"> </w:t>
      </w:r>
      <w:r>
        <w:t xml:space="preserve">Half (209) of participants were aged 30-45, and 55% were female.</w:t>
      </w:r>
      <w:r>
        <w:t xml:space="preserve"> </w:t>
      </w:r>
      <w:r>
        <w:t xml:space="preserve">These cohorts were similar in age, sex, number of children, and pre-war BMI, but differed in residence.</w:t>
      </w:r>
      <w:r>
        <w:t xml:space="preserve"> </w:t>
      </w:r>
      <w:r>
        <w:t xml:space="preserve">Gaza City and North Gaza residents made up 47% of the first cohort, and only 13% of the second (Table S1).</w:t>
      </w:r>
    </w:p>
    <w:tbl>
      <w:tblPr>
        <w:tblStyle w:val="Table"/>
        <w:tblW w:type="pct" w:w="5000"/>
        <w:tblLayout w:type="fixed"/>
        <w:tblLook w:firstRow="0" w:lastRow="0" w:firstColumn="0" w:lastColumn="0" w:noHBand="0" w:noVBand="0" w:val="0000"/>
      </w:tblPr>
      <w:tblGrid>
        <w:gridCol w:w="7920"/>
      </w:tblGrid>
      <w:tr>
        <w:tc>
          <w:tcPr/>
          <w:bookmarkStart w:id="34" w:name="tbl-characteristics"/>
          <w:p>
            <w:pPr>
              <w:jc w:val="center"/>
            </w:pPr>
            <w:pPr>
              <w:jc w:val="start"/>
              <w:spacing w:before="200"/>
              <w:pStyle w:val="ImageCaption"/>
            </w:pPr>
            <w:r>
              <w:t xml:space="preserve">Table 1: Characteristics of humanitarian staff who provided at least one weight measurement, with mean weight loss and crude and adjusted difference in weight change since pre-war. Mean weight loss and differences are percentages of pre-war weight. Adjusted estimates account for all characteristics except chronic condition (reported in Table S8).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13"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Mean % weight loss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2</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Crude % difference (95%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Adjusted % difference (95% CI)</w:t>
                  </w:r>
                </w:p>
              </w:tc>
            </w:tr>
            <w:tr>
              <w:trPr>
                <w:trHeight w:val="472"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Overall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434 (100.0%)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under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91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30-45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209 (50.1%)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-4.9 (-7.4 to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-3.3 (-6.3 to -0.2)</w:t>
                  </w:r>
                </w:p>
              </w:tc>
            </w:tr>
            <w:tr>
              <w:trPr>
                <w:trHeight w:val="4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over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117 (28.1%)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 (-8.5 to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-4.9 (-8.0 to -1.6)</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239 (55.1%)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195 (44.9%)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-3.4 (-5.3 to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-3.3 (-5.2 to -1.4)</w:t>
                  </w:r>
                </w:p>
              </w:tc>
            </w:tr>
            <w:tr>
              <w:trPr>
                <w:trHeight w:val="43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Khan Yunis, Rafah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154 (35.5%)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Deir Al Balah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137 (31.6%)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2.9 (0.5 to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3.4 (0.7 to 6.1)</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Gaza City, North Gaza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143 (32.9%)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-3.9 (-6.1 to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 (-3.7 to 1.2)</w:t>
                  </w:r>
                </w:p>
              </w:tc>
            </w:tr>
            <w:tr>
              <w:trPr>
                <w:trHeight w:val="4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Dependent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195 (45.0%)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78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 (-2.8 to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 (-2.6 to 3.0)</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74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 (-3.8 to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 (-3.0 to 3.1)</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86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-3.8 (-6.3 to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 (-4.6 to 1.6)</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3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Professional role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National staff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288 (66.4%)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Casual worker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129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3.7 (1.4 to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2.4 (-0.3 to 5.2)</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4.3 (-1.0 to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 (-2.8 to 7.5)</w:t>
                  </w:r>
                </w:p>
              </w:tc>
            </w:tr>
            <w:tr>
              <w:trPr>
                <w:trHeight w:val="4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Organisation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UNRWA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421 (97.0%)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Save the Children International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-2.8 (-8.3 to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0.6 (-5.5 to 7.0)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Chronic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No chronic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87 (60.4%)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Chronic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57 (39.6%)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-5.4 (-8.7 to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3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Enrolment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Aug-Sep 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258 (59.4%)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72"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Oct-Nov 2025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176 (40.6%)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5.8 (3.7 to 7.9)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4.3 (2.0 to 6.6)</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pct_lost: Mean</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Abbreviation: CI = Confidence Interval</w:t>
                  </w:r>
                </w:p>
              </w:tc>
            </w:tr>
          </w:tbl>
          <w:bookmarkEnd w:id="34"/>
        </w:tc>
      </w:tr>
    </w:tbl>
    <w:bookmarkEnd w:id="35"/>
    <w:bookmarkStart w:id="44" w:name="weight-change-over-the-conflict"/>
    <w:p>
      <w:pPr>
        <w:pStyle w:val="Heading3"/>
      </w:pPr>
      <w:r>
        <w:t xml:space="preserve">Weight change over the conflict</w:t>
      </w:r>
    </w:p>
    <w:p>
      <w:pPr>
        <w:pStyle w:val="FirstParagraph"/>
      </w:pPr>
      <w:r>
        <w:t xml:space="preserve">Among 434 participants in 2025, 94% had lost weight since October 2023 (</w:t>
      </w:r>
      <w:r>
        <w:t xml:space="preserve">“pre-war”</w:t>
      </w:r>
      <w:r>
        <w:t xml:space="preserve">).</w:t>
      </w:r>
      <w:r>
        <w:t xml:space="preserve"> </w:t>
      </w:r>
      <w:r>
        <w:t xml:space="preserve">In aggregate, we recorded a loss of 16.4% of mean pre-war weight.</w:t>
      </w:r>
      <w:r>
        <w:t xml:space="preserve"> </w:t>
      </w:r>
      <w:r>
        <w:t xml:space="preserve">On average, individual participants had lost 15.6% (14.8 to 16.5) of their pre-war weight, and mean BMI fell by 4.64 (4.35 to 4.92) kg/m</w:t>
      </w:r>
      <w:r>
        <w:rPr>
          <w:vertAlign w:val="superscript"/>
        </w:rPr>
        <w:t xml:space="preserve">2</w:t>
      </w:r>
      <w:r>
        <w:t xml:space="preserve"> </w:t>
      </w:r>
      <w:r>
        <w:t xml:space="preserve">(Table S5).</w:t>
      </w:r>
      <w:r>
        <w:t xml:space="preserve"> </w:t>
      </w:r>
      <w:r>
        <w:t xml:space="preserve">The prevalence of underweight BMI increased twelve-fold over this period (from 0.7% to 8.1% (of 434), a relative risk of 11.7 (4.0 to 34.4);</w:t>
      </w:r>
      <w:r>
        <w:t xml:space="preserve"> </w:t>
      </w:r>
      <w:hyperlink w:anchor="fig-outcomes">
        <w:r>
          <w:rPr>
            <w:rStyle w:val="Hyperlink"/>
          </w:rPr>
          <w:t xml:space="preserve">Figure 2</w:t>
        </w:r>
      </w:hyperlink>
      <w:r>
        <w:t xml:space="preserve"> </w:t>
      </w:r>
      <w:r>
        <w:t xml:space="preserve">A).</w:t>
      </w:r>
    </w:p>
    <w:tbl>
      <w:tblPr>
        <w:tblStyle w:val="Table"/>
        <w:tblW w:type="pct" w:w="5000"/>
        <w:tblLayout w:type="fixed"/>
        <w:tblLook w:firstRow="0" w:lastRow="0" w:firstColumn="0" w:lastColumn="0" w:noHBand="0" w:noVBand="0" w:val="0000"/>
      </w:tblPr>
      <w:tblGrid>
        <w:gridCol w:w="7920"/>
      </w:tblGrid>
      <w:tr>
        <w:tc>
          <w:tcPr/>
          <w:bookmarkStart w:id="39" w:name="fig-outcomes"/>
          <w:p>
            <w:pPr>
              <w:pStyle w:val="Compact"/>
              <w:jc w:val="center"/>
            </w:pPr>
            <w:r>
              <w:drawing>
                <wp:inline>
                  <wp:extent cx="5334000" cy="2808431"/>
                  <wp:effectExtent b="0" l="0" r="0" t="0"/>
                  <wp:docPr descr="" title="" id="37" name="Picture"/>
                  <a:graphic>
                    <a:graphicData uri="http://schemas.openxmlformats.org/drawingml/2006/picture">
                      <pic:pic>
                        <pic:nvPicPr>
                          <pic:cNvPr descr="manuscript_files/figure-docx/fig-outcomes-1.png" id="38" name="Picture"/>
                          <pic:cNvPicPr>
                            <a:picLocks noChangeArrowheads="1" noChangeAspect="1"/>
                          </pic:cNvPicPr>
                        </pic:nvPicPr>
                        <pic:blipFill>
                          <a:blip r:embed="rId36"/>
                          <a:stretch>
                            <a:fillRect/>
                          </a:stretch>
                        </pic:blipFill>
                        <pic:spPr bwMode="auto">
                          <a:xfrm>
                            <a:off x="0" y="0"/>
                            <a:ext cx="5334000" cy="28084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A: Participants’ BMI (kg/m2), as recalled in pre-war 2023 and as measured at enrolment in 2025, by World Health Organization BMI category at enrolment (triangles: underweight). Inset: number of participants by BMI category pre-war and at enrolment. Solid line indicates no change in BMI between 2023 and 2025; dotted lines indicate -10, -20 and -30% BMI over that period. Dashed reference lines indicate World Health Organization BMI thresholds. B: Individual trajectories of weight, with each measurement relative to recalled pre-war weight, among participants with two or more measurements over the study follow-up period. Shaded line indicates population-level trajectory (with 95% confidence band), fit to a smooth of calendar day. Points are filled by BMI category at enrolment, as in A; larger points are each participant’s first measurement. Dashed line: the 10 October 2025 ceasefire.</w:t>
            </w:r>
          </w:p>
          <w:bookmarkEnd w:id="39"/>
        </w:tc>
      </w:tr>
    </w:tbl>
    <w:p>
      <w:pPr>
        <w:pStyle w:val="BodyText"/>
      </w:pPr>
      <w:r>
        <w:t xml:space="preserve">We observed greater weight loss among those with previously higher weight.</w:t>
      </w:r>
      <w:r>
        <w:t xml:space="preserve"> </w:t>
      </w:r>
      <w:r>
        <w:t xml:space="preserve">Before the war, 72% of participants were classified as overweight or obese (Figure S1), seeing a subsequent mean loss of 17.4% of previous weight (15.6 kg).</w:t>
      </w:r>
      <w:r>
        <w:t xml:space="preserve"> </w:t>
      </w:r>
      <w:r>
        <w:t xml:space="preserve">Those with a normal range BMI saw a mean 11.0% loss (7.2 kg; Table S6).</w:t>
      </w:r>
    </w:p>
    <w:p>
      <w:pPr>
        <w:pStyle w:val="BodyText"/>
      </w:pPr>
      <w:r>
        <w:t xml:space="preserve">We assessed potential risk factors for weight loss among participant characteristics (</w:t>
      </w:r>
      <w:hyperlink w:anchor="tbl-characteristics">
        <w:r>
          <w:rPr>
            <w:rStyle w:val="Hyperlink"/>
          </w:rPr>
          <w:t xml:space="preserve">Table 1</w:t>
        </w:r>
      </w:hyperlink>
      <w:r>
        <w:t xml:space="preserve">;</w:t>
      </w:r>
      <w:r>
        <w:t xml:space="preserve"> </w:t>
      </w:r>
      <w:hyperlink w:anchor="fig-risk-factors">
        <w:r>
          <w:rPr>
            <w:rStyle w:val="Hyperlink"/>
          </w:rPr>
          <w:t xml:space="preserve">Figure 3</w:t>
        </w:r>
      </w:hyperlink>
      <w:r>
        <w:t xml:space="preserve">).</w:t>
      </w:r>
      <w:r>
        <w:t xml:space="preserve"> </w:t>
      </w:r>
      <w:r>
        <w:t xml:space="preserve">After adjustment, we observed greater weight loss with increasing age (-4.9% (-8.0 to -1.6) among those over 45, -3.3% (-6.3 to -0.2) among ages 30-45, compared to participants under 30); and among men (-3.3% (-5.2 to -1.4), compared to women).</w:t>
      </w:r>
      <w:r>
        <w:t xml:space="preserve"> </w:t>
      </w:r>
      <w:r>
        <w:t xml:space="preserve">Adjusted weight change relative to pre-war also varied by residence.</w:t>
      </w:r>
      <w:r>
        <w:t xml:space="preserve"> </w:t>
      </w:r>
      <w:r>
        <w:t xml:space="preserve">Weight loss was more limited among those resident in Deir Al Balah (+3.4% (0.7 to 6.1) compared to weight loss among residents of Khan Yunis and Rafah).</w:t>
      </w:r>
    </w:p>
    <w:p>
      <w:pPr>
        <w:pStyle w:val="BodyText"/>
      </w:pPr>
      <w:r>
        <w:t xml:space="preserve">Associations with the number of dependent children, and with professional role, weakened after adjustment.</w:t>
      </w:r>
      <w:r>
        <w:t xml:space="preserve"> </w:t>
      </w:r>
      <w:r>
        <w:t xml:space="preserve">Among the 144 participants asked about chronic conditions, those reporting one had lost more weight (crude -5.4% (-8.7 to -2.0)), but the difference was smaller and imprecise after adjustment (-3.1% (-7.4 to 1.4), n = 139; Table S8).</w:t>
      </w:r>
    </w:p>
    <w:tbl>
      <w:tblPr>
        <w:tblStyle w:val="Table"/>
        <w:tblW w:type="pct" w:w="5000"/>
        <w:tblLayout w:type="fixed"/>
        <w:tblLook w:firstRow="0" w:lastRow="0" w:firstColumn="0" w:lastColumn="0" w:noHBand="0" w:noVBand="0" w:val="0000"/>
      </w:tblPr>
      <w:tblGrid>
        <w:gridCol w:w="7920"/>
      </w:tblGrid>
      <w:tr>
        <w:tc>
          <w:tcPr/>
          <w:bookmarkStart w:id="43" w:name="fig-risk-factors"/>
          <w:p>
            <w:pPr>
              <w:pStyle w:val="Compact"/>
              <w:jc w:val="center"/>
            </w:pPr>
            <w:r>
              <w:drawing>
                <wp:inline>
                  <wp:extent cx="3657600" cy="4876800"/>
                  <wp:effectExtent b="0" l="0" r="0" t="0"/>
                  <wp:docPr descr="" title="" id="41" name="Picture"/>
                  <a:graphic>
                    <a:graphicData uri="http://schemas.openxmlformats.org/drawingml/2006/picture">
                      <pic:pic>
                        <pic:nvPicPr>
                          <pic:cNvPr descr="manuscript_files/figure-docx/fig-risk-factors-1.png" id="42" name="Picture"/>
                          <pic:cNvPicPr>
                            <a:picLocks noChangeArrowheads="1" noChangeAspect="1"/>
                          </pic:cNvPicPr>
                        </pic:nvPicPr>
                        <pic:blipFill>
                          <a:blip r:embed="rId40"/>
                          <a:stretch>
                            <a:fillRect/>
                          </a:stretch>
                        </pic:blipFill>
                        <pic:spPr bwMode="auto">
                          <a:xfrm>
                            <a:off x="0" y="0"/>
                            <a:ext cx="3657600" cy="4876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Adjusted difference in weight relative to pre-war, by participant characteristic, compared with the reference level (open points), from the adjusted model in</w:t>
            </w:r>
            <w:r>
              <w:t xml:space="preserve"> </w:t>
            </w:r>
            <w:hyperlink w:anchor="tbl-characteristics">
              <w:r>
                <w:rPr>
                  <w:rStyle w:val="Hyperlink"/>
                </w:rPr>
                <w:t xml:space="preserve">Table 1</w:t>
              </w:r>
            </w:hyperlink>
            <w:r>
              <w:t xml:space="preserve">. Lines: 95% confidence intervals. Vertical line indicates no difference.</w:t>
            </w:r>
          </w:p>
          <w:bookmarkEnd w:id="43"/>
        </w:tc>
      </w:tr>
    </w:tbl>
    <w:bookmarkEnd w:id="44"/>
    <w:bookmarkStart w:id="45" w:name="weight-change-during-follow-up"/>
    <w:p>
      <w:pPr>
        <w:pStyle w:val="Heading3"/>
      </w:pPr>
      <w:r>
        <w:t xml:space="preserve">Weight change during follow-up</w:t>
      </w:r>
    </w:p>
    <w:p>
      <w:pPr>
        <w:pStyle w:val="FirstParagraph"/>
      </w:pPr>
      <w:r>
        <w:t xml:space="preserve">After adjustment, participants in the October-November cohort had lost 4.3 (2.0 to 6.6) percentage points less of their pre-war weight than the August-September cohort.</w:t>
      </w:r>
      <w:r>
        <w:t xml:space="preserve"> </w:t>
      </w:r>
      <w:r>
        <w:t xml:space="preserve">Individually, we analysed 104 participants in the longitudinal set, providing 345 measurements including enrolment (</w:t>
      </w:r>
      <w:hyperlink w:anchor="fig-outcomes">
        <w:r>
          <w:rPr>
            <w:rStyle w:val="Hyperlink"/>
          </w:rPr>
          <w:t xml:space="preserve">Figure 2</w:t>
        </w:r>
      </w:hyperlink>
      <w:r>
        <w:t xml:space="preserve"> </w:t>
      </w:r>
      <w:r>
        <w:t xml:space="preserve">B).</w:t>
      </w:r>
      <w:r>
        <w:t xml:space="preserve"> </w:t>
      </w:r>
      <w:r>
        <w:t xml:space="preserve">For a typical participant, weight partly recovered, with fitted weight change rising by an estimated 3.9 (2.6 to 5.1) percentage points of pre-war weight over the 124-day study period (30 July-1 December).</w:t>
      </w:r>
      <w:r>
        <w:t xml:space="preserve"> </w:t>
      </w:r>
      <w:r>
        <w:t xml:space="preserve">The rate of change appeared to be linear over this period (a smooth fitted term with effective degrees of freedom 1.0), so we did not observe a marked change around the 10 October ceasefire.</w:t>
      </w:r>
    </w:p>
    <w:p>
      <w:pPr>
        <w:pStyle w:val="BodyText"/>
      </w:pPr>
      <w:r>
        <w:t xml:space="preserve">We explored potential selection bias in who returned for follow-up.</w:t>
      </w:r>
      <w:r>
        <w:t xml:space="preserve"> </w:t>
      </w:r>
      <w:r>
        <w:t xml:space="preserve">We compared participants who did or did not contribute to follow-up, and did not see a difference in pre-war weight change at enrolment (mean loss 16.5% and 15.3% respectively; Table S2).</w:t>
      </w:r>
      <w:r>
        <w:t xml:space="preserve"> </w:t>
      </w:r>
      <w:r>
        <w:t xml:space="preserve">Residents of Gaza City or North Gaza had lower odds of returning than residents of Deir Al Balah (odds ratio 0.45 (0.22 to 0.87)).</w:t>
      </w:r>
      <w:r>
        <w:t xml:space="preserve"> </w:t>
      </w:r>
      <w:r>
        <w:t xml:space="preserve">Participants in the October-November cohort also had much lower odds of contributing repeat measurements (0.18 (0.10 to 0.33)).</w:t>
      </w:r>
      <w:r>
        <w:t xml:space="preserve"> </w:t>
      </w:r>
      <w:r>
        <w:t xml:space="preserve">Participants with dependent children were more likely to return (about 2.2 for one, two, or three or more children, against none; Table S3).</w:t>
      </w:r>
      <w:r>
        <w:t xml:space="preserve"> </w:t>
      </w:r>
      <w:r>
        <w:t xml:space="preserve">In other respects, those with follow-up measurements had similar characteristics to participants who did not.</w:t>
      </w:r>
      <w:r>
        <w:t xml:space="preserve"> </w:t>
      </w:r>
      <w:r>
        <w:t xml:space="preserve">When fitting change in weight among participants in follow-up, results were consistent across four alternative choices of model and participant specification (a 3.5 to 3.8 percentage point rise; Table S9).</w:t>
      </w:r>
    </w:p>
    <w:bookmarkEnd w:id="45"/>
    <w:bookmarkEnd w:id="46"/>
    <w:bookmarkStart w:id="47" w:name="discussion"/>
    <w:p>
      <w:pPr>
        <w:pStyle w:val="Heading2"/>
      </w:pPr>
      <w:r>
        <w:t xml:space="preserve">Discussion</w:t>
      </w:r>
    </w:p>
    <w:p>
      <w:pPr>
        <w:pStyle w:val="FirstParagraph"/>
      </w:pPr>
      <w:r>
        <w:t xml:space="preserve">During a period of conflict-induced famine in the Gaza Strip, over 430 humanitarian staff measured and reported their own changing weight.</w:t>
      </w:r>
      <w:r>
        <w:t xml:space="preserve"> </w:t>
      </w:r>
      <w:r>
        <w:t xml:space="preserve">By August-November 2025 they had lost on average about one-sixth of their pre-war weight.</w:t>
      </w:r>
      <w:r>
        <w:t xml:space="preserve"> </w:t>
      </w:r>
      <w:r>
        <w:t xml:space="preserve">Weight loss was near universal and greatest among older participants.</w:t>
      </w:r>
      <w:r>
        <w:t xml:space="preserve"> </w:t>
      </w:r>
      <w:r>
        <w:t xml:space="preserve">We observed some very limited partial recovery by December 2025.</w:t>
      </w:r>
    </w:p>
    <w:p>
      <w:pPr>
        <w:pStyle w:val="BodyText"/>
      </w:pPr>
      <w:r>
        <w:t xml:space="preserve">Our findings support a timeline of evidence for the rapid and severe loss of food security among the adult population in Gaza.</w:t>
      </w:r>
      <w:r>
        <w:t xml:space="preserve"> </w:t>
      </w:r>
      <w:r>
        <w:t xml:space="preserve">Since conflict began in October 2023, food was scarce from November 2023 through to February 2024</w:t>
      </w:r>
      <w:r>
        <w:t xml:space="preserve"> </w:t>
      </w:r>
      <w:r>
        <w:t xml:space="preserve">(Checchi, Ververs, and Jamaluddine 2025; Davis et al. 2026)</w:t>
      </w:r>
      <w:r>
        <w:t xml:space="preserve">.</w:t>
      </w:r>
      <w:r>
        <w:t xml:space="preserve"> </w:t>
      </w:r>
      <w:r>
        <w:t xml:space="preserve">By April 2024, residents of northern Gaza had lost a mean 22% of their pre-war weight, with greater losses at older ages</w:t>
      </w:r>
      <w:r>
        <w:t xml:space="preserve"> </w:t>
      </w:r>
      <w:r>
        <w:t xml:space="preserve">(Alnabih et al. 2024)</w:t>
      </w:r>
      <w:r>
        <w:t xml:space="preserve">.</w:t>
      </w:r>
      <w:r>
        <w:t xml:space="preserve"> </w:t>
      </w:r>
      <w:r>
        <w:t xml:space="preserve">This was followed by a period of greater food availability over May-July 2024, when adults across Gaza reported a more limited loss of 13.4% compared to pre-war weight</w:t>
      </w:r>
      <w:r>
        <w:t xml:space="preserve"> </w:t>
      </w:r>
      <w:r>
        <w:t xml:space="preserve">(Faris et al. 2025)</w:t>
      </w:r>
      <w:r>
        <w:t xml:space="preserve">.</w:t>
      </w:r>
      <w:r>
        <w:t xml:space="preserve"> </w:t>
      </w:r>
      <w:r>
        <w:t xml:space="preserve">By 2025, food availability had collapsed again.</w:t>
      </w:r>
      <w:r>
        <w:t xml:space="preserve"> </w:t>
      </w:r>
      <w:r>
        <w:t xml:space="preserve">In July 2025, average consumption fell as low as 1,054 kcal per person per day</w:t>
      </w:r>
      <w:r>
        <w:t xml:space="preserve"> </w:t>
      </w:r>
      <w:r>
        <w:t xml:space="preserve">(Davis et al. 2026)</w:t>
      </w:r>
      <w:r>
        <w:t xml:space="preserve">.</w:t>
      </w:r>
    </w:p>
    <w:p>
      <w:pPr>
        <w:pStyle w:val="BodyText"/>
      </w:pPr>
      <w:r>
        <w:t xml:space="preserve">At this point, our study participants reported having lost a proportion of their pre-war weight within the range of earlier studies.</w:t>
      </w:r>
      <w:r>
        <w:t xml:space="preserve"> </w:t>
      </w:r>
      <w:r>
        <w:t xml:space="preserve">Meanwhile, we note that our participants’ BMI at enrolment was typically higher than the comparable Gazan adult population a year earlier</w:t>
      </w:r>
      <w:r>
        <w:t xml:space="preserve"> </w:t>
      </w:r>
      <w:r>
        <w:t xml:space="preserve">(Faris et al. 2025)</w:t>
      </w:r>
      <w:r>
        <w:t xml:space="preserve">.</w:t>
      </w:r>
      <w:r>
        <w:t xml:space="preserve"> </w:t>
      </w:r>
      <w:r>
        <w:t xml:space="preserve">This could reflect either that our sample were relatively more protected from food insecurity; or the experience of partial weight restoration during the early-2025 ceasefire, followed by renewed loss.</w:t>
      </w:r>
    </w:p>
    <w:p>
      <w:pPr>
        <w:pStyle w:val="BodyText"/>
      </w:pPr>
      <w:r>
        <w:t xml:space="preserve">Our participants were not representative of adults in the Gaza Strip, and our estimates likely understate weight loss in the general adult population.</w:t>
      </w:r>
      <w:r>
        <w:t xml:space="preserve"> </w:t>
      </w:r>
      <w:r>
        <w:t xml:space="preserve">Most importantly, all participants were employed, in contrast to an 8% adult employment rate in Gaza in 2025</w:t>
      </w:r>
      <w:r>
        <w:t xml:space="preserve"> </w:t>
      </w:r>
      <w:r>
        <w:t xml:space="preserve">(Palestinian Central Bureau of Statistics and Palestine Monetary Authority 2025)</w:t>
      </w:r>
      <w:r>
        <w:t xml:space="preserve">.</w:t>
      </w:r>
      <w:r>
        <w:t xml:space="preserve"> </w:t>
      </w:r>
      <w:r>
        <w:t xml:space="preserve">Employment typically protects food security through purchasing power</w:t>
      </w:r>
      <w:r>
        <w:t xml:space="preserve"> </w:t>
      </w:r>
      <w:r>
        <w:t xml:space="preserve">(Sen and Sen 1981)</w:t>
      </w:r>
      <w:r>
        <w:t xml:space="preserve">, and humanitarian staff may also have had better access to aid.</w:t>
      </w:r>
      <w:r>
        <w:t xml:space="preserve"> </w:t>
      </w:r>
      <w:r>
        <w:t xml:space="preserve">Employment status may modify the effect of demographic characteristics, which we could not test in an employed sample.</w:t>
      </w:r>
      <w:r>
        <w:t xml:space="preserve"> </w:t>
      </w:r>
      <w:r>
        <w:t xml:space="preserve">This affects our finding that men lost comparatively more weight than women.</w:t>
      </w:r>
      <w:r>
        <w:t xml:space="preserve"> </w:t>
      </w:r>
      <w:r>
        <w:t xml:space="preserve">While 55% of participants in our study were women, women were only 12% of employed adults in Gaza</w:t>
      </w:r>
      <w:r>
        <w:t xml:space="preserve"> </w:t>
      </w:r>
      <w:r>
        <w:t xml:space="preserve">(Palestinian Central Bureau of Statistics 2023)</w:t>
      </w:r>
      <w:r>
        <w:t xml:space="preserve">.</w:t>
      </w:r>
      <w:r>
        <w:t xml:space="preserve"> </w:t>
      </w:r>
      <w:r>
        <w:t xml:space="preserve">A convenience survey of adults in North Gaza and Gaza City used a similar measured-against-recalled weight design, and showed no sex difference in weight change over the conflict</w:t>
      </w:r>
      <w:r>
        <w:t xml:space="preserve"> </w:t>
      </w:r>
      <w:r>
        <w:t xml:space="preserve">(Alnabih et al. 2024)</w:t>
      </w:r>
      <w:r>
        <w:t xml:space="preserve">.</w:t>
      </w:r>
    </w:p>
    <w:p>
      <w:pPr>
        <w:pStyle w:val="BodyText"/>
      </w:pPr>
      <w:r>
        <w:t xml:space="preserve">Our findings depend on a self-selected sample’s recall of weight up to two years later, and we considered the resulting potential for bias in our findings.</w:t>
      </w:r>
      <w:r>
        <w:t xml:space="preserve"> </w:t>
      </w:r>
      <w:r>
        <w:t xml:space="preserve">Random error in participant recall would inflate the apparent loss among people who over-recall, creating regression to the mean.</w:t>
      </w:r>
      <w:r>
        <w:t xml:space="preserve"> </w:t>
      </w:r>
      <w:r>
        <w:t xml:space="preserve">This could partly explain our observation of disproportionately greater weight loss among those with higher pre-war BMI.</w:t>
      </w:r>
      <w:r>
        <w:t xml:space="preserve"> </w:t>
      </w:r>
      <w:r>
        <w:t xml:space="preserve">Alternatively, men in our study may have relatively over-recalled their pre-war weight.</w:t>
      </w:r>
      <w:r>
        <w:t xml:space="preserve"> </w:t>
      </w:r>
      <w:r>
        <w:t xml:space="preserve">When compared with population references for pre-war BMI, women in our cohort recalled a relatively lower, and men a relatively higher, pre-war BMI (Tables S10-S11)</w:t>
      </w:r>
      <w:r>
        <w:t xml:space="preserve"> </w:t>
      </w:r>
      <w:r>
        <w:t xml:space="preserve">(Abu Hamad et al. 2022; NCD Risk Factor Collaboration (NCD-RisC) 2026)</w:t>
      </w:r>
      <w:r>
        <w:t xml:space="preserve">.</w:t>
      </w:r>
      <w:r>
        <w:t xml:space="preserve"> </w:t>
      </w:r>
      <w:r>
        <w:t xml:space="preserve">Without measured pre-war weight, it was difficult to distinguish between selection and recall bias.</w:t>
      </w:r>
    </w:p>
    <w:p>
      <w:pPr>
        <w:pStyle w:val="BodyText"/>
      </w:pPr>
      <w:r>
        <w:t xml:space="preserve">From this perspective, our study design made trade-offs between a participant-led approach, and our ability to analyse change over the study period.</w:t>
      </w:r>
      <w:r>
        <w:t xml:space="preserve"> </w:t>
      </w:r>
      <w:r>
        <w:t xml:space="preserve">We recruited voluntary, self-selected participants who were delivering humanitarian response while living through the same hunger and insecurity as the population they worked to support.</w:t>
      </w:r>
      <w:r>
        <w:t xml:space="preserve"> </w:t>
      </w:r>
      <w:r>
        <w:t xml:space="preserve">We aimed to minimise additional burden from study participation.</w:t>
      </w:r>
      <w:r>
        <w:t xml:space="preserve"> </w:t>
      </w:r>
      <w:r>
        <w:t xml:space="preserve">We also prioritised participant anonymity, given the wider context of insecurity</w:t>
      </w:r>
      <w:r>
        <w:t xml:space="preserve"> </w:t>
      </w:r>
      <w:r>
        <w:t xml:space="preserve">(Tawil-Souri 2012)</w:t>
      </w:r>
      <w:r>
        <w:t xml:space="preserve">.</w:t>
      </w:r>
    </w:p>
    <w:p>
      <w:pPr>
        <w:pStyle w:val="BodyText"/>
      </w:pPr>
      <w:r>
        <w:t xml:space="preserve">However, unstructured changes in the participant mix affected our estimates.</w:t>
      </w:r>
      <w:r>
        <w:t xml:space="preserve"> </w:t>
      </w:r>
      <w:r>
        <w:t xml:space="preserve">Participants enrolling in October-November appeared to have lost less weight than those enrolling in August-September, but these two cohorts also lived in different areas, with likely different access to resources.</w:t>
      </w:r>
      <w:r>
        <w:t xml:space="preserve"> </w:t>
      </w:r>
      <w:r>
        <w:t xml:space="preserve">Three in four participants did not return for any repeat measurement.</w:t>
      </w:r>
      <w:r>
        <w:t xml:space="preserve"> </w:t>
      </w:r>
      <w:r>
        <w:t xml:space="preserve">We attribute this loss to follow-up partly to a lack of structured incentives for study participation, as well as to participant motivation in the face of both public and personal crises.</w:t>
      </w:r>
      <w:r>
        <w:t xml:space="preserve"> </w:t>
      </w:r>
      <w:r>
        <w:t xml:space="preserve">Meanwhile, the anonymised participant IDs made data linkage prone to error, and we were unable to use a substantial portion of the follow-up measurements we collected.</w:t>
      </w:r>
    </w:p>
    <w:p>
      <w:pPr>
        <w:pStyle w:val="BodyText"/>
      </w:pPr>
      <w:r>
        <w:t xml:space="preserve">Adult weight can give an accessible signal of long-term, cumulative deprivation that is a useful complement to child anthropometry.</w:t>
      </w:r>
      <w:r>
        <w:t xml:space="preserve"> </w:t>
      </w:r>
      <w:r>
        <w:t xml:space="preserve">Surveys among children suggest at least three substantial rises and falls in child acute wasting, ranging between c.5-15%, in periods of greater or lesser aid access from early 2024 through 2025</w:t>
      </w:r>
      <w:r>
        <w:t xml:space="preserve"> </w:t>
      </w:r>
      <w:r>
        <w:t xml:space="preserve">(Horino et al. 2025)</w:t>
      </w:r>
      <w:r>
        <w:t xml:space="preserve">.</w:t>
      </w:r>
      <w:r>
        <w:t xml:space="preserve"> </w:t>
      </w:r>
      <w:r>
        <w:t xml:space="preserve">However, child anthropometry may lag behind the burden among adults.</w:t>
      </w:r>
      <w:r>
        <w:t xml:space="preserve"> </w:t>
      </w:r>
      <w:r>
        <w:t xml:space="preserve">As coping mechanisms are exhausted, adults go without food to feed children</w:t>
      </w:r>
      <w:r>
        <w:t xml:space="preserve"> </w:t>
      </w:r>
      <w:r>
        <w:t xml:space="preserve">(Howe 2018; Checchi and Jamaluddine 2024)</w:t>
      </w:r>
      <w:r>
        <w:t xml:space="preserve">.</w:t>
      </w:r>
      <w:r>
        <w:t xml:space="preserve"> </w:t>
      </w:r>
      <w:r>
        <w:t xml:space="preserve">By the same mechanism, adult recovery may respond more slowly than children’s, and we saw only partial weight recovery by December 2025.</w:t>
      </w:r>
      <w:r>
        <w:t xml:space="preserve"> </w:t>
      </w:r>
      <w:r>
        <w:t xml:space="preserve">This suggests adult populations may give a more consistent, cumulative indicator of deprivation, than the child anthropometry relied on by famine classification systems</w:t>
      </w:r>
      <w:r>
        <w:t xml:space="preserve"> </w:t>
      </w:r>
      <w:r>
        <w:t xml:space="preserve">(Howe 2018)</w:t>
      </w:r>
      <w:r>
        <w:t xml:space="preserve">.</w:t>
      </w:r>
      <w:r>
        <w:t xml:space="preserve"> </w:t>
      </w:r>
      <w:r>
        <w:t xml:space="preserve">At the same time, we emphasise that our analysis of weight change is only a partial reflection of the impact of food insecurity.</w:t>
      </w:r>
      <w:r>
        <w:t xml:space="preserve"> </w:t>
      </w:r>
      <w:r>
        <w:t xml:space="preserve">Qualitative research in Gaza describes distressing experiences of intense hunger, and repetitive, low-quality diets</w:t>
      </w:r>
      <w:r>
        <w:t xml:space="preserve"> </w:t>
      </w:r>
      <w:r>
        <w:t xml:space="preserve">(Hamamra, Mahamid, and Mayaleh 2025; Ashour, Migdad, and Buheji 2025)</w:t>
      </w:r>
      <w:r>
        <w:t xml:space="preserve">, which we have not attempted to document here.</w:t>
      </w:r>
      <w:r>
        <w:t xml:space="preserve"> </w:t>
      </w:r>
      <w:r>
        <w:t xml:space="preserve">We therefore consider our results closer to a sentinel survey of adult weight, than representative of the total burden of food security.</w:t>
      </w:r>
    </w:p>
    <w:p>
      <w:pPr>
        <w:pStyle w:val="BodyText"/>
      </w:pPr>
      <w:r>
        <w:t xml:space="preserve">In this work, we aimed to develop a participatory surveillance system for adult weight in the Gaza Strip and estimate weight change across the conflict and during the 2025 famine.</w:t>
      </w:r>
      <w:r>
        <w:t xml:space="preserve"> </w:t>
      </w:r>
      <w:r>
        <w:t xml:space="preserve">Humanitarian staff had lost on average about one-sixth of their pre-war weight, and recovered only partly between August and December 2025.</w:t>
      </w:r>
      <w:r>
        <w:t xml:space="preserve"> </w:t>
      </w:r>
      <w:r>
        <w:t xml:space="preserve">These findings add to a convergence of evidence for the breadth and depth of the conflict’s impact on food insecurity in Gaza, undermining public and personal health. Our participatory approach and remote data collection system ran without substantial resources, or identifiable data.</w:t>
      </w:r>
      <w:r>
        <w:t xml:space="preserve"> </w:t>
      </w:r>
      <w:r>
        <w:t xml:space="preserve">This demonstrates the opportunity for collecting essential health data remotely and confidentially in near real-time, even in insecure settings, and this approach could transfer to other crises.</w:t>
      </w:r>
    </w:p>
    <w:bookmarkEnd w:id="47"/>
    <w:bookmarkStart w:id="48" w:name="acknowledgments"/>
    <w:p>
      <w:pPr>
        <w:pStyle w:val="Heading2"/>
      </w:pPr>
      <w:r>
        <w:t xml:space="preserve">Acknowledgments</w:t>
      </w:r>
    </w:p>
    <w:p>
      <w:pPr>
        <w:pStyle w:val="FirstParagraph"/>
      </w:pPr>
      <w:r>
        <w:t xml:space="preserve">We are grateful to Mervat Alhaffar for translation of study instruments into Arabic, and to staff at UNRWA and SCI for their extensive facilitation and participation.</w:t>
      </w:r>
    </w:p>
    <w:bookmarkEnd w:id="48"/>
    <w:bookmarkStart w:id="49" w:name="funding"/>
    <w:p>
      <w:pPr>
        <w:pStyle w:val="Heading2"/>
      </w:pPr>
      <w:r>
        <w:t xml:space="preserve">Funding</w:t>
      </w:r>
    </w:p>
    <w:p>
      <w:pPr>
        <w:pStyle w:val="FirstParagraph"/>
      </w:pPr>
      <w:r>
        <w:t xml:space="preserve">The study was not funded.</w:t>
      </w:r>
    </w:p>
    <w:bookmarkEnd w:id="49"/>
    <w:bookmarkStart w:id="50" w:name="competing-interests"/>
    <w:p>
      <w:pPr>
        <w:pStyle w:val="Heading2"/>
      </w:pPr>
      <w:r>
        <w:t xml:space="preserve">Competing interests</w:t>
      </w:r>
    </w:p>
    <w:p>
      <w:pPr>
        <w:pStyle w:val="FirstParagraph"/>
      </w:pPr>
      <w:r>
        <w:t xml:space="preserve">All authors declare that they have no conflicts of interest (</w:t>
      </w:r>
      <w:r>
        <w:rPr>
          <w:highlight w:val="yellow"/>
        </w:rPr>
        <w:t xml:space="preserve">Zeina CoI with FRC?</w:t>
      </w:r>
      <w:r>
        <w:t xml:space="preserve">).</w:t>
      </w:r>
    </w:p>
    <w:bookmarkEnd w:id="50"/>
    <w:bookmarkStart w:id="51" w:name="data-availability-statement"/>
    <w:p>
      <w:pPr>
        <w:pStyle w:val="Heading2"/>
      </w:pPr>
      <w:r>
        <w:t xml:space="preserve">Data availability statement</w:t>
      </w:r>
    </w:p>
    <w:p>
      <w:pPr>
        <w:pStyle w:val="FirstParagraph"/>
      </w:pPr>
      <w:r>
        <w:t xml:space="preserve">Aggregate data and all code are available at</w:t>
      </w:r>
      <w:r>
        <w:t xml:space="preserve"> </w:t>
      </w:r>
      <w:hyperlink r:id="rId27">
        <w:r>
          <w:rPr>
            <w:rStyle w:val="Hyperlink"/>
          </w:rPr>
          <w:t xml:space="preserve">https://github.com/cmmid/gaza-report</w:t>
        </w:r>
      </w:hyperlink>
      <w:r>
        <w:t xml:space="preserve">.</w:t>
      </w:r>
      <w:r>
        <w:t xml:space="preserve"> </w:t>
      </w:r>
      <w:r>
        <w:t xml:space="preserve">We retain anonymised individual-level data confidentially to reduce the risk of de-anonymisation in small samples; they are shareable on request.</w:t>
      </w:r>
    </w:p>
    <w:bookmarkEnd w:id="51"/>
    <w:bookmarkStart w:id="107" w:name="references"/>
    <w:p>
      <w:pPr>
        <w:pStyle w:val="Heading2"/>
      </w:pPr>
      <w:r>
        <w:t xml:space="preserve">References</w:t>
      </w:r>
    </w:p>
    <w:bookmarkStart w:id="106" w:name="refs"/>
    <w:bookmarkStart w:id="53" w:name="ref-abuhamadHypertensionCascadeCare2022"/>
    <w:p>
      <w:pPr>
        <w:pStyle w:val="Bibliography"/>
      </w:pPr>
      <w:r>
        <w:t xml:space="preserve">Abu Hamad, B. A., Z. Jamaluddine, G. Safadi, M.-E. Ragi, R. E. S. Ahmad, E. P. Vamos, et al. 2022.</w:t>
      </w:r>
      <w:r>
        <w:t xml:space="preserve"> </w:t>
      </w:r>
      <w:r>
        <w:t xml:space="preserve">“The Hypertension Cascade of Care in the Midst of Conflict: The Case of the</w:t>
      </w:r>
      <w:r>
        <w:t xml:space="preserve"> </w:t>
      </w:r>
      <w:r>
        <w:t xml:space="preserve">Gaza Strip</w:t>
      </w:r>
      <w:r>
        <w:t xml:space="preserve">.”</w:t>
      </w:r>
      <w:r>
        <w:t xml:space="preserve"> </w:t>
      </w:r>
      <w:r>
        <w:rPr>
          <w:i/>
          <w:iCs/>
        </w:rPr>
        <w:t xml:space="preserve">Journal of Human Hypertension</w:t>
      </w:r>
      <w:r>
        <w:t xml:space="preserve"> </w:t>
      </w:r>
      <w:r>
        <w:t xml:space="preserve">37: 957–68.</w:t>
      </w:r>
      <w:r>
        <w:t xml:space="preserve"> </w:t>
      </w:r>
      <w:hyperlink r:id="rId52">
        <w:r>
          <w:rPr>
            <w:rStyle w:val="Hyperlink"/>
          </w:rPr>
          <w:t xml:space="preserve">https://doi.org/10.1038/s41371-022-00783-w</w:t>
        </w:r>
      </w:hyperlink>
      <w:r>
        <w:t xml:space="preserve">.</w:t>
      </w:r>
    </w:p>
    <w:bookmarkEnd w:id="53"/>
    <w:bookmarkStart w:id="55" w:name="ref-ngoJointStatementMassStarvation2025"/>
    <w:p>
      <w:pPr>
        <w:pStyle w:val="Bibliography"/>
      </w:pPr>
      <w:r>
        <w:t xml:space="preserve">ACT Alliance, Action Against Hunger, Action for Humanity, ActionAid, et al. 2025.</w:t>
      </w:r>
      <w:r>
        <w:t xml:space="preserve"> </w:t>
      </w:r>
      <w:r>
        <w:t xml:space="preserve">“As Mass Starvation Spreads Across</w:t>
      </w:r>
      <w:r>
        <w:t xml:space="preserve"> </w:t>
      </w:r>
      <w:r>
        <w:t xml:space="preserve">Gaza</w:t>
      </w:r>
      <w:r>
        <w:t xml:space="preserve">, Our Colleagues and Those We Serve Are Wasting Away.”</w:t>
      </w:r>
      <w:r>
        <w:t xml:space="preserve"> </w:t>
      </w:r>
      <w:hyperlink r:id="rId54">
        <w:r>
          <w:rPr>
            <w:rStyle w:val="Hyperlink"/>
          </w:rPr>
          <w:t xml:space="preserve">https://reliefweb.int/report/occupied-palestinian-territory/mass-starvation-spreads-across-gaza-our-colleagues-and-those-we-serve-are-wasting-away-ena</w:t>
        </w:r>
      </w:hyperlink>
      <w:r>
        <w:t xml:space="preserve">.</w:t>
      </w:r>
    </w:p>
    <w:bookmarkEnd w:id="55"/>
    <w:bookmarkStart w:id="57" w:name="ref-alnabihFoodInsecurityWeight2024"/>
    <w:p>
      <w:pPr>
        <w:pStyle w:val="Bibliography"/>
      </w:pPr>
      <w:r>
        <w:t xml:space="preserve">Alnabih, Asem, Nour-Alhuda Alnabeh, Yousef Aljeesh, and Belal Aldabbour. 2024.</w:t>
      </w:r>
      <w:r>
        <w:t xml:space="preserve"> </w:t>
      </w:r>
      <w:r>
        <w:t xml:space="preserve">“Food Insecurity and Weight Loss During Wartime: A Mixed-Design Study from the</w:t>
      </w:r>
      <w:r>
        <w:t xml:space="preserve"> </w:t>
      </w:r>
      <w:r>
        <w:t xml:space="preserve">Gaza Strip</w:t>
      </w:r>
      <w:r>
        <w:t xml:space="preserve">.”</w:t>
      </w:r>
      <w:r>
        <w:t xml:space="preserve"> </w:t>
      </w:r>
      <w:r>
        <w:rPr>
          <w:i/>
          <w:iCs/>
        </w:rPr>
        <w:t xml:space="preserve">Journal of Health, Population and Nutrition</w:t>
      </w:r>
      <w:r>
        <w:t xml:space="preserve"> </w:t>
      </w:r>
      <w:r>
        <w:t xml:space="preserve">43 (1): 222.</w:t>
      </w:r>
      <w:r>
        <w:t xml:space="preserve"> </w:t>
      </w:r>
      <w:hyperlink r:id="rId56">
        <w:r>
          <w:rPr>
            <w:rStyle w:val="Hyperlink"/>
          </w:rPr>
          <w:t xml:space="preserve">https://doi.org/10.1186/s41043-024-00700-6</w:t>
        </w:r>
      </w:hyperlink>
      <w:r>
        <w:t xml:space="preserve">.</w:t>
      </w:r>
    </w:p>
    <w:bookmarkEnd w:id="57"/>
    <w:bookmarkStart w:id="59" w:name="X211c0d03304a160f793c5f90e754e8a3070e456"/>
    <w:p>
      <w:pPr>
        <w:pStyle w:val="Bibliography"/>
      </w:pPr>
      <w:r>
        <w:t xml:space="preserve">Arel-Bundock, Vincent, Noah Greifer, and Andrew Heiss. 2024.</w:t>
      </w:r>
      <w:r>
        <w:t xml:space="preserve"> </w:t>
      </w:r>
      <w:r>
        <w:t xml:space="preserve">“How to Interpret Statistical Models Using</w:t>
      </w:r>
      <w:r>
        <w:t xml:space="preserve"> </w:t>
      </w:r>
      <w:r>
        <w:t xml:space="preserve">marginaleffects</w:t>
      </w:r>
      <w:r>
        <w:t xml:space="preserve"> </w:t>
      </w:r>
      <w:r>
        <w:t xml:space="preserve">for</w:t>
      </w:r>
      <w:r>
        <w:t xml:space="preserve"> </w:t>
      </w:r>
      <w:r>
        <w:t xml:space="preserve">R</w:t>
      </w:r>
      <w:r>
        <w:t xml:space="preserve"> </w:t>
      </w:r>
      <w:r>
        <w:t xml:space="preserve">and</w:t>
      </w:r>
      <w:r>
        <w:t xml:space="preserve"> </w:t>
      </w:r>
      <w:r>
        <w:t xml:space="preserve">Python</w:t>
      </w:r>
      <w:r>
        <w:t xml:space="preserve">.”</w:t>
      </w:r>
      <w:r>
        <w:t xml:space="preserve"> </w:t>
      </w:r>
      <w:r>
        <w:rPr>
          <w:i/>
          <w:iCs/>
        </w:rPr>
        <w:t xml:space="preserve">Journal of Statistical Software</w:t>
      </w:r>
      <w:r>
        <w:t xml:space="preserve"> </w:t>
      </w:r>
      <w:r>
        <w:t xml:space="preserve">111 (9): 1–32.</w:t>
      </w:r>
      <w:r>
        <w:t xml:space="preserve"> </w:t>
      </w:r>
      <w:hyperlink r:id="rId58">
        <w:r>
          <w:rPr>
            <w:rStyle w:val="Hyperlink"/>
          </w:rPr>
          <w:t xml:space="preserve">https://doi.org/10.18637/jss.v111.i09</w:t>
        </w:r>
      </w:hyperlink>
      <w:r>
        <w:t xml:space="preserve">.</w:t>
      </w:r>
    </w:p>
    <w:bookmarkEnd w:id="59"/>
    <w:bookmarkStart w:id="61" w:name="ref-ashourImpactWarGaza2025"/>
    <w:p>
      <w:pPr>
        <w:pStyle w:val="Bibliography"/>
      </w:pPr>
      <w:r>
        <w:t xml:space="preserve">Ashour, S. A., M. Migdad, and M. Buheji. 2025.</w:t>
      </w:r>
      <w:r>
        <w:t xml:space="preserve"> </w:t>
      </w:r>
      <w:r>
        <w:t xml:space="preserve">“The</w:t>
      </w:r>
      <w:r>
        <w:t xml:space="preserve"> </w:t>
      </w:r>
      <w:r>
        <w:t xml:space="preserve">Impact</w:t>
      </w:r>
      <w:r>
        <w:t xml:space="preserve"> </w:t>
      </w:r>
      <w:r>
        <w:t xml:space="preserve">of</w:t>
      </w:r>
      <w:r>
        <w:t xml:space="preserve"> </w:t>
      </w:r>
      <w:r>
        <w:t xml:space="preserve">War</w:t>
      </w:r>
      <w:r>
        <w:t xml:space="preserve"> </w:t>
      </w:r>
      <w:r>
        <w:t xml:space="preserve">on</w:t>
      </w:r>
      <w:r>
        <w:t xml:space="preserve"> </w:t>
      </w:r>
      <w:r>
        <w:t xml:space="preserve">Gaza</w:t>
      </w:r>
      <w:r>
        <w:t xml:space="preserve"> </w:t>
      </w:r>
      <w:r>
        <w:t xml:space="preserve">on</w:t>
      </w:r>
      <w:r>
        <w:t xml:space="preserve"> </w:t>
      </w:r>
      <w:r>
        <w:t xml:space="preserve">Children</w:t>
      </w:r>
      <w:r>
        <w:t xml:space="preserve">’s</w:t>
      </w:r>
      <w:r>
        <w:t xml:space="preserve"> </w:t>
      </w:r>
      <w:r>
        <w:t xml:space="preserve">Malnutrition Since</w:t>
      </w:r>
      <w:r>
        <w:t xml:space="preserve"> </w:t>
      </w:r>
      <w:r>
        <w:t xml:space="preserve">2023.”</w:t>
      </w:r>
      <w:r>
        <w:t xml:space="preserve"> </w:t>
      </w:r>
      <w:r>
        <w:rPr>
          <w:i/>
          <w:iCs/>
        </w:rPr>
        <w:t xml:space="preserve">Public Health Research</w:t>
      </w:r>
      <w:r>
        <w:t xml:space="preserve"> </w:t>
      </w:r>
      <w:r>
        <w:t xml:space="preserve">15: 1–9.</w:t>
      </w:r>
      <w:r>
        <w:t xml:space="preserve"> </w:t>
      </w:r>
      <w:hyperlink r:id="rId60">
        <w:r>
          <w:rPr>
            <w:rStyle w:val="Hyperlink"/>
          </w:rPr>
          <w:t xml:space="preserve">https://doi.org/10.5923/j.phr.20251501.01</w:t>
        </w:r>
      </w:hyperlink>
      <w:r>
        <w:t xml:space="preserve">.</w:t>
      </w:r>
    </w:p>
    <w:bookmarkEnd w:id="61"/>
    <w:bookmarkStart w:id="63" w:name="ref-checchiEvolutionChildAcute2024"/>
    <w:p>
      <w:pPr>
        <w:pStyle w:val="Bibliography"/>
      </w:pPr>
      <w:r>
        <w:t xml:space="preserve">Checchi, Francesco, and Zeina Jamaluddine. 2024.</w:t>
      </w:r>
      <w:r>
        <w:t xml:space="preserve"> </w:t>
      </w:r>
      <w:r>
        <w:t xml:space="preserve">“Evolution of Child Acute Malnutrition During War in the</w:t>
      </w:r>
      <w:r>
        <w:t xml:space="preserve"> </w:t>
      </w:r>
      <w:r>
        <w:t xml:space="preserve">Gaza Strip</w:t>
      </w:r>
      <w:r>
        <w:t xml:space="preserve">, 2023-2024: Retrospective Estimates and Scenario-Based Projections.”</w:t>
      </w:r>
      <w:r>
        <w:t xml:space="preserve"> </w:t>
      </w:r>
      <w:r>
        <w:t xml:space="preserve">Nutrition.</w:t>
      </w:r>
      <w:r>
        <w:t xml:space="preserve"> </w:t>
      </w:r>
      <w:hyperlink r:id="rId62">
        <w:r>
          <w:rPr>
            <w:rStyle w:val="Hyperlink"/>
          </w:rPr>
          <w:t xml:space="preserve">https://doi.org/10.1101/2024.12.10.24318783</w:t>
        </w:r>
      </w:hyperlink>
      <w:r>
        <w:t xml:space="preserve">.</w:t>
      </w:r>
    </w:p>
    <w:bookmarkEnd w:id="63"/>
    <w:bookmarkStart w:id="65" w:name="ref-checchiWartimeFoodAvailability2025"/>
    <w:p>
      <w:pPr>
        <w:pStyle w:val="Bibliography"/>
      </w:pPr>
      <w:r>
        <w:t xml:space="preserve">Checchi, Francesco, Mija Ververs, and Zeina Jamaluddine. 2025.</w:t>
      </w:r>
      <w:r>
        <w:t xml:space="preserve"> </w:t>
      </w:r>
      <w:r>
        <w:t xml:space="preserve">“Wartime Food Availability in the</w:t>
      </w:r>
      <w:r>
        <w:t xml:space="preserve"> </w:t>
      </w:r>
      <w:r>
        <w:t xml:space="preserve">Gaza Strip</w:t>
      </w:r>
      <w:r>
        <w:t xml:space="preserve">,</w:t>
      </w:r>
      <w:r>
        <w:t xml:space="preserve"> </w:t>
      </w:r>
      <w:r>
        <w:t xml:space="preserve">October</w:t>
      </w:r>
      <w:r>
        <w:t xml:space="preserve"> </w:t>
      </w:r>
      <w:r>
        <w:t xml:space="preserve">2023 to</w:t>
      </w:r>
      <w:r>
        <w:t xml:space="preserve"> </w:t>
      </w:r>
      <w:r>
        <w:t xml:space="preserve">August</w:t>
      </w:r>
      <w:r>
        <w:t xml:space="preserve"> </w:t>
      </w:r>
      <w:r>
        <w:t xml:space="preserve">2024: A Retrospective Analysis.”</w:t>
      </w:r>
      <w:r>
        <w:t xml:space="preserve"> </w:t>
      </w:r>
      <w:r>
        <w:rPr>
          <w:i/>
          <w:iCs/>
        </w:rPr>
        <w:t xml:space="preserve">BMJ Global Health</w:t>
      </w:r>
      <w:r>
        <w:t xml:space="preserve"> </w:t>
      </w:r>
      <w:r>
        <w:t xml:space="preserve">10 (11).</w:t>
      </w:r>
      <w:r>
        <w:t xml:space="preserve"> </w:t>
      </w:r>
      <w:hyperlink r:id="rId64">
        <w:r>
          <w:rPr>
            <w:rStyle w:val="Hyperlink"/>
          </w:rPr>
          <w:t xml:space="preserve">https://doi.org/10.1136/bmjgh-2025-020648</w:t>
        </w:r>
      </w:hyperlink>
      <w:r>
        <w:t xml:space="preserve">.</w:t>
      </w:r>
    </w:p>
    <w:bookmarkEnd w:id="65"/>
    <w:bookmarkStart w:id="67" w:name="X9c637fc552d18f9b1916f2a1d129a4597897d29"/>
    <w:p>
      <w:pPr>
        <w:pStyle w:val="Bibliography"/>
      </w:pPr>
      <w:r>
        <w:t xml:space="preserve">Cole, T. J. 2000.</w:t>
      </w:r>
      <w:r>
        <w:t xml:space="preserve"> </w:t>
      </w:r>
      <w:r>
        <w:t xml:space="preserve">“Sympercents: Symmetric Percentage Differences on the 100 Log</w:t>
      </w:r>
      <m:oMath>
        <m:sSub>
          <m:e>
            <m:r>
              <m:t>​</m:t>
            </m:r>
          </m:e>
          <m:sub>
            <m:r>
              <m:t>e</m:t>
            </m:r>
          </m:sub>
        </m:sSub>
      </m:oMath>
      <w:r>
        <w:t xml:space="preserve"> </w:t>
      </w:r>
      <w:r>
        <w:t xml:space="preserve">Scale Simplify the Presentation of Log Transformed Data.”</w:t>
      </w:r>
      <w:r>
        <w:t xml:space="preserve"> </w:t>
      </w:r>
      <w:r>
        <w:rPr>
          <w:i/>
          <w:iCs/>
        </w:rPr>
        <w:t xml:space="preserve">Statistics in Medicine</w:t>
      </w:r>
      <w:r>
        <w:t xml:space="preserve"> </w:t>
      </w:r>
      <w:r>
        <w:t xml:space="preserve">19 (22): 3109–25.</w:t>
      </w:r>
      <w:r>
        <w:t xml:space="preserve"> </w:t>
      </w:r>
      <w:hyperlink r:id="rId66">
        <w:r>
          <w:rPr>
            <w:rStyle w:val="Hyperlink"/>
          </w:rPr>
          <w:t xml:space="preserve">https://doi.org/10.1002/1097-0258(20001130)19:22&lt;3109::AID-SIM558&gt;3.0.CO;2-F</w:t>
        </w:r>
      </w:hyperlink>
      <w:r>
        <w:t xml:space="preserve">.</w:t>
      </w:r>
    </w:p>
    <w:bookmarkEnd w:id="67"/>
    <w:bookmarkStart w:id="69" w:name="ref-coleStatisticsNotesPercentage2017"/>
    <w:p>
      <w:pPr>
        <w:pStyle w:val="Bibliography"/>
      </w:pPr>
      <w:r>
        <w:t xml:space="preserve">Cole, Tim J., and Douglas G. Altman. 2017.</w:t>
      </w:r>
      <w:r>
        <w:t xml:space="preserve"> </w:t>
      </w:r>
      <w:r>
        <w:t xml:space="preserve">“Statistics Notes: Percentage Differences, Symmetry, and Natural Logarithms.”</w:t>
      </w:r>
      <w:r>
        <w:t xml:space="preserve"> </w:t>
      </w:r>
      <w:r>
        <w:rPr>
          <w:i/>
          <w:iCs/>
        </w:rPr>
        <w:t xml:space="preserve">BMJ</w:t>
      </w:r>
      <w:r>
        <w:t xml:space="preserve"> </w:t>
      </w:r>
      <w:r>
        <w:t xml:space="preserve">358: j3683.</w:t>
      </w:r>
      <w:r>
        <w:t xml:space="preserve"> </w:t>
      </w:r>
      <w:hyperlink r:id="rId68">
        <w:r>
          <w:rPr>
            <w:rStyle w:val="Hyperlink"/>
          </w:rPr>
          <w:t xml:space="preserve">https://doi.org/10.1136/bmj.j3683</w:t>
        </w:r>
      </w:hyperlink>
      <w:r>
        <w:t xml:space="preserve">.</w:t>
      </w:r>
    </w:p>
    <w:bookmarkEnd w:id="69"/>
    <w:bookmarkStart w:id="71" w:name="Xb324aef3743bce0df6e9abf3b9569f88c783d57"/>
    <w:p>
      <w:pPr>
        <w:pStyle w:val="Bibliography"/>
      </w:pPr>
      <w:r>
        <w:t xml:space="preserve">Davis, B., S. D. Giuseppe, E. Heesemann, A. M. Giaquinto, and I. Staffieri. 2026.</w:t>
      </w:r>
      <w:r>
        <w:t xml:space="preserve"> </w:t>
      </w:r>
      <w:r>
        <w:t xml:space="preserve">“Availability, Consumption and Inequality in Access to Calories During Two Years of War and Food Import Restrictions in the</w:t>
      </w:r>
      <w:r>
        <w:t xml:space="preserve"> </w:t>
      </w:r>
      <w:r>
        <w:t xml:space="preserve">Gaza Strip</w:t>
      </w:r>
      <w:r>
        <w:t xml:space="preserve">.”</w:t>
      </w:r>
      <w:r>
        <w:t xml:space="preserve"> </w:t>
      </w:r>
      <w:r>
        <w:t xml:space="preserve">Research Square.</w:t>
      </w:r>
      <w:r>
        <w:t xml:space="preserve"> </w:t>
      </w:r>
      <w:hyperlink r:id="rId70">
        <w:r>
          <w:rPr>
            <w:rStyle w:val="Hyperlink"/>
          </w:rPr>
          <w:t xml:space="preserve">https://doi.org/10.21203/rs.3.rs-8653315/v1</w:t>
        </w:r>
      </w:hyperlink>
      <w:r>
        <w:t xml:space="preserve">.</w:t>
      </w:r>
    </w:p>
    <w:bookmarkEnd w:id="71"/>
    <w:bookmarkStart w:id="72" w:name="ref-famineReviewCommitteeGazaStrip2025"/>
    <w:p>
      <w:pPr>
        <w:pStyle w:val="Bibliography"/>
      </w:pPr>
      <w:r>
        <w:t xml:space="preserve">Famine Review Committee. 2025.</w:t>
      </w:r>
      <w:r>
        <w:t xml:space="preserve"> </w:t>
      </w:r>
      <w:r>
        <w:t xml:space="preserve">“Famine</w:t>
      </w:r>
      <w:r>
        <w:t xml:space="preserve"> </w:t>
      </w:r>
      <w:r>
        <w:t xml:space="preserve">Review Committee</w:t>
      </w:r>
      <w:r>
        <w:t xml:space="preserve">:</w:t>
      </w:r>
      <w:r>
        <w:t xml:space="preserve"> </w:t>
      </w:r>
      <w:r>
        <w:t xml:space="preserve">Gaza Strip</w:t>
      </w:r>
      <w:r>
        <w:t xml:space="preserve">,</w:t>
      </w:r>
      <w:r>
        <w:t xml:space="preserve"> </w:t>
      </w:r>
      <w:r>
        <w:t xml:space="preserve">August</w:t>
      </w:r>
      <w:r>
        <w:t xml:space="preserve"> </w:t>
      </w:r>
      <w:r>
        <w:t xml:space="preserve">2025 -</w:t>
      </w:r>
      <w:r>
        <w:t xml:space="preserve"> </w:t>
      </w:r>
      <w:r>
        <w:t xml:space="preserve">Conclusions</w:t>
      </w:r>
      <w:r>
        <w:t xml:space="preserve"> </w:t>
      </w:r>
      <w:r>
        <w:t xml:space="preserve">and</w:t>
      </w:r>
      <w:r>
        <w:t xml:space="preserve"> </w:t>
      </w:r>
      <w:r>
        <w:t xml:space="preserve">Recommendations</w:t>
      </w:r>
      <w:r>
        <w:t xml:space="preserve">.”</w:t>
      </w:r>
      <w:r>
        <w:t xml:space="preserve"> </w:t>
      </w:r>
      <w:r>
        <w:t xml:space="preserve">Rome: Integrated Food Security Phase Classification.</w:t>
      </w:r>
    </w:p>
    <w:bookmarkEnd w:id="72"/>
    <w:bookmarkStart w:id="74" w:name="ref-farisCatastrophicFamineGaza2025"/>
    <w:p>
      <w:pPr>
        <w:pStyle w:val="Bibliography"/>
      </w:pPr>
      <w:r>
        <w:t xml:space="preserve">Faris, M., A. S. Abutair, R. M. Elfarra, N. A. Barqawi, A. M. Firwana, R. M. Firwana, et al. 2025.</w:t>
      </w:r>
      <w:r>
        <w:t xml:space="preserve"> </w:t>
      </w:r>
      <w:r>
        <w:t xml:space="preserve">“Catastrophic Famine in</w:t>
      </w:r>
      <w:r>
        <w:t xml:space="preserve"> </w:t>
      </w:r>
      <w:r>
        <w:t xml:space="preserve">Gaza</w:t>
      </w:r>
      <w:r>
        <w:t xml:space="preserve">:</w:t>
      </w:r>
      <w:r>
        <w:t xml:space="preserve"> </w:t>
      </w:r>
      <w:r>
        <w:t xml:space="preserve">Unprecedented</w:t>
      </w:r>
      <w:r>
        <w:t xml:space="preserve"> </w:t>
      </w:r>
      <w:r>
        <w:t xml:space="preserve">Levels of Hunger Post-</w:t>
      </w:r>
      <w:r>
        <w:t xml:space="preserve">October</w:t>
      </w:r>
      <w:r>
        <w:t xml:space="preserve"> </w:t>
      </w:r>
      <w:r>
        <w:t xml:space="preserve">7th.</w:t>
      </w:r>
      <w:r>
        <w:t xml:space="preserve"> </w:t>
      </w:r>
      <w:r>
        <w:t xml:space="preserve">A</w:t>
      </w:r>
      <w:r>
        <w:t xml:space="preserve"> </w:t>
      </w:r>
      <w:r>
        <w:t xml:space="preserve">Real Population-Based Study from the</w:t>
      </w:r>
      <w:r>
        <w:t xml:space="preserve"> </w:t>
      </w:r>
      <w:r>
        <w:t xml:space="preserve">Gaza Strip</w:t>
      </w:r>
      <w:r>
        <w:t xml:space="preserve">.”</w:t>
      </w:r>
      <w:r>
        <w:t xml:space="preserve"> </w:t>
      </w:r>
      <w:r>
        <w:rPr>
          <w:i/>
          <w:iCs/>
        </w:rPr>
        <w:t xml:space="preserve">PLoS One</w:t>
      </w:r>
      <w:r>
        <w:t xml:space="preserve"> </w:t>
      </w:r>
      <w:r>
        <w:t xml:space="preserve">20: e0309854.</w:t>
      </w:r>
      <w:r>
        <w:t xml:space="preserve"> </w:t>
      </w:r>
      <w:hyperlink r:id="rId73">
        <w:r>
          <w:rPr>
            <w:rStyle w:val="Hyperlink"/>
          </w:rPr>
          <w:t xml:space="preserve">https://doi.org/10.1371/journal.pone.0309854</w:t>
        </w:r>
      </w:hyperlink>
      <w:r>
        <w:t xml:space="preserve">.</w:t>
      </w:r>
    </w:p>
    <w:bookmarkEnd w:id="74"/>
    <w:bookmarkStart w:id="76" w:name="ref-hamamraChildhoodSiegeBattling2025"/>
    <w:p>
      <w:pPr>
        <w:pStyle w:val="Bibliography"/>
      </w:pPr>
      <w:r>
        <w:t xml:space="preserve">Hamamra, B., F. Mahamid, and A. Mayaleh. 2025.</w:t>
      </w:r>
      <w:r>
        <w:t xml:space="preserve"> </w:t>
      </w:r>
      <w:r>
        <w:t xml:space="preserve">“Childhood Under Siege: Battling Malnutrition, Disease, and Despair During Genocide in</w:t>
      </w:r>
      <w:r>
        <w:t xml:space="preserve"> </w:t>
      </w:r>
      <w:r>
        <w:t xml:space="preserve">Gaza</w:t>
      </w:r>
      <w:r>
        <w:t xml:space="preserve">.”</w:t>
      </w:r>
      <w:r>
        <w:t xml:space="preserve"> </w:t>
      </w:r>
      <w:r>
        <w:rPr>
          <w:i/>
          <w:iCs/>
        </w:rPr>
        <w:t xml:space="preserve">Journal of Health, Population and Nutrition</w:t>
      </w:r>
      <w:r>
        <w:t xml:space="preserve"> </w:t>
      </w:r>
      <w:r>
        <w:t xml:space="preserve">44: 321.</w:t>
      </w:r>
      <w:r>
        <w:t xml:space="preserve"> </w:t>
      </w:r>
      <w:hyperlink r:id="rId75">
        <w:r>
          <w:rPr>
            <w:rStyle w:val="Hyperlink"/>
          </w:rPr>
          <w:t xml:space="preserve">https://doi.org/10.1186/s41043-025-00948-6</w:t>
        </w:r>
      </w:hyperlink>
      <w:r>
        <w:t xml:space="preserve">.</w:t>
      </w:r>
    </w:p>
    <w:bookmarkEnd w:id="76"/>
    <w:bookmarkStart w:id="78" w:name="X21bf49600b6a6b570d441f2c935047d16075373"/>
    <w:p>
      <w:pPr>
        <w:pStyle w:val="Bibliography"/>
      </w:pPr>
      <w:r>
        <w:t xml:space="preserve">Hassneiah, D., R. Sobh, F. Abed, A. Aqel, M. ElDakroury, M. Saleh, et al. 2025.</w:t>
      </w:r>
      <w:r>
        <w:t xml:space="preserve"> </w:t>
      </w:r>
      <w:r>
        <w:t xml:space="preserve">“Acute Malnutrition Among Children in the</w:t>
      </w:r>
      <w:r>
        <w:t xml:space="preserve"> </w:t>
      </w:r>
      <w:r>
        <w:t xml:space="preserve">Gaza Strip</w:t>
      </w:r>
      <w:r>
        <w:t xml:space="preserve">,</w:t>
      </w:r>
      <w:r>
        <w:t xml:space="preserve"> </w:t>
      </w:r>
      <w:r>
        <w:t xml:space="preserve">Palestine</w:t>
      </w:r>
      <w:r>
        <w:t xml:space="preserve">:</w:t>
      </w:r>
      <w:r>
        <w:t xml:space="preserve"> </w:t>
      </w:r>
      <w:r>
        <w:t xml:space="preserve">May</w:t>
      </w:r>
      <w:r>
        <w:t xml:space="preserve"> </w:t>
      </w:r>
      <w:r>
        <w:t xml:space="preserve">2024–</w:t>
      </w:r>
      <w:r>
        <w:t xml:space="preserve">November</w:t>
      </w:r>
      <w:r>
        <w:t xml:space="preserve"> </w:t>
      </w:r>
      <w:r>
        <w:t xml:space="preserve">2024.”</w:t>
      </w:r>
      <w:r>
        <w:t xml:space="preserve"> </w:t>
      </w:r>
      <w:r>
        <w:rPr>
          <w:i/>
          <w:iCs/>
        </w:rPr>
        <w:t xml:space="preserve">BMJ Global Health</w:t>
      </w:r>
      <w:r>
        <w:t xml:space="preserve"> </w:t>
      </w:r>
      <w:r>
        <w:t xml:space="preserve">10: e020764.</w:t>
      </w:r>
      <w:r>
        <w:t xml:space="preserve"> </w:t>
      </w:r>
      <w:hyperlink r:id="rId77">
        <w:r>
          <w:rPr>
            <w:rStyle w:val="Hyperlink"/>
          </w:rPr>
          <w:t xml:space="preserve">https://doi.org/10.1136/bmjgh-2025-020764</w:t>
        </w:r>
      </w:hyperlink>
      <w:r>
        <w:t xml:space="preserve">.</w:t>
      </w:r>
    </w:p>
    <w:bookmarkEnd w:id="78"/>
    <w:bookmarkStart w:id="80" w:name="X1cf22d385801516c908d68978dcd87e00a401b9"/>
    <w:p>
      <w:pPr>
        <w:pStyle w:val="Bibliography"/>
      </w:pPr>
      <w:r>
        <w:t xml:space="preserve">Horino, M., S. A. Najjar, A. Tabaza, H. Alkhammash, R. Jaffal, J. Chen, et al. 2025.</w:t>
      </w:r>
      <w:r>
        <w:t xml:space="preserve"> </w:t>
      </w:r>
      <w:r>
        <w:t xml:space="preserve">“Assessment of Malnutrition in Preschool-Aged Children by Mid-Upper Arm Circumference in the</w:t>
      </w:r>
      <w:r>
        <w:t xml:space="preserve"> </w:t>
      </w:r>
      <w:r>
        <w:t xml:space="preserve">Gaza Strip</w:t>
      </w:r>
      <w:r>
        <w:t xml:space="preserve"> </w:t>
      </w:r>
      <w:r>
        <w:t xml:space="preserve">(</w:t>
      </w:r>
      <w:r>
        <w:t xml:space="preserve">January</w:t>
      </w:r>
      <w:r>
        <w:t xml:space="preserve">, 2024–</w:t>
      </w:r>
      <w:r>
        <w:t xml:space="preserve">August</w:t>
      </w:r>
      <w:r>
        <w:t xml:space="preserve">, 2025): A Longitudinal, Cross-Sectional, Surveillance Study.”</w:t>
      </w:r>
      <w:r>
        <w:t xml:space="preserve"> </w:t>
      </w:r>
      <w:r>
        <w:rPr>
          <w:i/>
          <w:iCs/>
        </w:rPr>
        <w:t xml:space="preserve">The Lancet</w:t>
      </w:r>
      <w:r>
        <w:t xml:space="preserve"> </w:t>
      </w:r>
      <w:r>
        <w:t xml:space="preserve">406: 1993–2002.</w:t>
      </w:r>
      <w:r>
        <w:t xml:space="preserve"> </w:t>
      </w:r>
      <w:hyperlink r:id="rId79">
        <w:r>
          <w:rPr>
            <w:rStyle w:val="Hyperlink"/>
          </w:rPr>
          <w:t xml:space="preserve">https://doi.org/10.1016/S0140-6736(25)01820-3</w:t>
        </w:r>
      </w:hyperlink>
      <w:r>
        <w:t xml:space="preserve">.</w:t>
      </w:r>
    </w:p>
    <w:bookmarkEnd w:id="80"/>
    <w:bookmarkStart w:id="82" w:name="ref-howeFamineSystemsNew2018"/>
    <w:p>
      <w:pPr>
        <w:pStyle w:val="Bibliography"/>
      </w:pPr>
      <w:r>
        <w:t xml:space="preserve">Howe, P. 2018.</w:t>
      </w:r>
      <w:r>
        <w:t xml:space="preserve"> </w:t>
      </w:r>
      <w:r>
        <w:t xml:space="preserve">“Famine Systems:</w:t>
      </w:r>
      <w:r>
        <w:t xml:space="preserve"> </w:t>
      </w:r>
      <w:r>
        <w:t xml:space="preserve">A</w:t>
      </w:r>
      <w:r>
        <w:t xml:space="preserve"> </w:t>
      </w:r>
      <w:r>
        <w:t xml:space="preserve">New Model for Understanding the Development of Famines.”</w:t>
      </w:r>
      <w:r>
        <w:t xml:space="preserve"> </w:t>
      </w:r>
      <w:r>
        <w:rPr>
          <w:i/>
          <w:iCs/>
        </w:rPr>
        <w:t xml:space="preserve">World Development</w:t>
      </w:r>
      <w:r>
        <w:t xml:space="preserve"> </w:t>
      </w:r>
      <w:r>
        <w:t xml:space="preserve">105: 144–55.</w:t>
      </w:r>
      <w:r>
        <w:t xml:space="preserve"> </w:t>
      </w:r>
      <w:hyperlink r:id="rId81">
        <w:r>
          <w:rPr>
            <w:rStyle w:val="Hyperlink"/>
          </w:rPr>
          <w:t xml:space="preserve">https://doi.org/10.1016/j.worlddev.2017.12.028</w:t>
        </w:r>
      </w:hyperlink>
      <w:r>
        <w:t xml:space="preserve">.</w:t>
      </w:r>
    </w:p>
    <w:bookmarkEnd w:id="82"/>
    <w:bookmarkStart w:id="83" w:name="ref-ipcGazaStripAcute2025"/>
    <w:p>
      <w:pPr>
        <w:pStyle w:val="Bibliography"/>
      </w:pPr>
      <w:r>
        <w:t xml:space="preserve">Integrated Food Security Phase Classification. 2025.</w:t>
      </w:r>
      <w:r>
        <w:t xml:space="preserve"> </w:t>
      </w:r>
      <w:r>
        <w:t xml:space="preserve">“Gaza</w:t>
      </w:r>
      <w:r>
        <w:t xml:space="preserve"> </w:t>
      </w:r>
      <w:r>
        <w:t xml:space="preserve">Strip</w:t>
      </w:r>
      <w:r>
        <w:t xml:space="preserve">:</w:t>
      </w:r>
      <w:r>
        <w:t xml:space="preserve"> </w:t>
      </w:r>
      <w:r>
        <w:t xml:space="preserve">Acute Food Insecurity Situation</w:t>
      </w:r>
      <w:r>
        <w:t xml:space="preserve"> </w:t>
      </w:r>
      <w:r>
        <w:t xml:space="preserve">for 16</w:t>
      </w:r>
      <w:r>
        <w:t xml:space="preserve"> </w:t>
      </w:r>
      <w:r>
        <w:t xml:space="preserve">October</w:t>
      </w:r>
      <w:r>
        <w:t xml:space="preserve"> </w:t>
      </w:r>
      <w:r>
        <w:t xml:space="preserve">- 30</w:t>
      </w:r>
      <w:r>
        <w:t xml:space="preserve"> </w:t>
      </w:r>
      <w:r>
        <w:t xml:space="preserve">November</w:t>
      </w:r>
      <w:r>
        <w:t xml:space="preserve"> </w:t>
      </w:r>
      <w:r>
        <w:t xml:space="preserve">2025 and</w:t>
      </w:r>
      <w:r>
        <w:t xml:space="preserve"> </w:t>
      </w:r>
      <w:r>
        <w:t xml:space="preserve">Projection</w:t>
      </w:r>
      <w:r>
        <w:t xml:space="preserve"> </w:t>
      </w:r>
      <w:r>
        <w:t xml:space="preserve">for 1</w:t>
      </w:r>
      <w:r>
        <w:t xml:space="preserve"> </w:t>
      </w:r>
      <w:r>
        <w:t xml:space="preserve">December</w:t>
      </w:r>
      <w:r>
        <w:t xml:space="preserve"> </w:t>
      </w:r>
      <w:r>
        <w:t xml:space="preserve">2025 - 15</w:t>
      </w:r>
      <w:r>
        <w:t xml:space="preserve"> </w:t>
      </w:r>
      <w:r>
        <w:t xml:space="preserve">April</w:t>
      </w:r>
      <w:r>
        <w:t xml:space="preserve"> </w:t>
      </w:r>
      <w:r>
        <w:t xml:space="preserve">2026.”</w:t>
      </w:r>
      <w:r>
        <w:t xml:space="preserve"> </w:t>
      </w:r>
      <w:r>
        <w:t xml:space="preserve">Rome: IPC.</w:t>
      </w:r>
    </w:p>
    <w:bookmarkEnd w:id="83"/>
    <w:bookmarkStart w:id="85" w:name="X7206a322cc7b8dd69dd9991ea0f612a41cc3fc5"/>
    <w:p>
      <w:pPr>
        <w:pStyle w:val="Bibliography"/>
      </w:pPr>
      <w:r>
        <w:t xml:space="preserve">McNeil, Carrie, Sarah Verlander, Nomita Divi, and Mark Smolinski. 2022.</w:t>
      </w:r>
      <w:r>
        <w:t xml:space="preserve"> </w:t>
      </w:r>
      <w:r>
        <w:t xml:space="preserve">“The Landscape of Participatory Surveillance Systems Across the One Health Spectrum: Systematic Review.”</w:t>
      </w:r>
      <w:r>
        <w:t xml:space="preserve"> </w:t>
      </w:r>
      <w:r>
        <w:rPr>
          <w:i/>
          <w:iCs/>
        </w:rPr>
        <w:t xml:space="preserve">JMIR Public Health and Surveillance</w:t>
      </w:r>
      <w:r>
        <w:t xml:space="preserve"> </w:t>
      </w:r>
      <w:r>
        <w:t xml:space="preserve">8 (8): e38551.</w:t>
      </w:r>
      <w:r>
        <w:t xml:space="preserve"> </w:t>
      </w:r>
      <w:hyperlink r:id="rId84">
        <w:r>
          <w:rPr>
            <w:rStyle w:val="Hyperlink"/>
          </w:rPr>
          <w:t xml:space="preserve">https://doi.org/10.2196/38551</w:t>
        </w:r>
      </w:hyperlink>
      <w:r>
        <w:t xml:space="preserve">.</w:t>
      </w:r>
    </w:p>
    <w:bookmarkEnd w:id="85"/>
    <w:bookmarkStart w:id="87" w:name="ref-ncdriscObesityRisePlateaus2026"/>
    <w:p>
      <w:pPr>
        <w:pStyle w:val="Bibliography"/>
      </w:pPr>
      <w:r>
        <w:t xml:space="preserve">NCD Risk Factor Collaboration (NCD-RisC). 2026.</w:t>
      </w:r>
      <w:r>
        <w:t xml:space="preserve"> </w:t>
      </w:r>
      <w:r>
        <w:t xml:space="preserve">“Obesity Rise Plateaus in Developed Nations and Accelerates in Developing Nations.”</w:t>
      </w:r>
      <w:r>
        <w:t xml:space="preserve"> </w:t>
      </w:r>
      <w:r>
        <w:rPr>
          <w:i/>
          <w:iCs/>
        </w:rPr>
        <w:t xml:space="preserve">Nature</w:t>
      </w:r>
      <w:r>
        <w:t xml:space="preserve"> </w:t>
      </w:r>
      <w:r>
        <w:t xml:space="preserve">653: 510–18.</w:t>
      </w:r>
      <w:r>
        <w:t xml:space="preserve"> </w:t>
      </w:r>
      <w:hyperlink r:id="rId86">
        <w:r>
          <w:rPr>
            <w:rStyle w:val="Hyperlink"/>
          </w:rPr>
          <w:t xml:space="preserve">https://doi.org/10.1038/s41586-026-10383-0</w:t>
        </w:r>
      </w:hyperlink>
      <w:r>
        <w:t xml:space="preserve">.</w:t>
      </w:r>
    </w:p>
    <w:bookmarkEnd w:id="87"/>
    <w:bookmarkStart w:id="89" w:name="ref-pcbsLabourForceSurvey2023"/>
    <w:p>
      <w:pPr>
        <w:pStyle w:val="Bibliography"/>
      </w:pPr>
      <w:r>
        <w:t xml:space="preserve">Palestinian Central Bureau of Statistics. 2023.</w:t>
      </w:r>
      <w:r>
        <w:t xml:space="preserve"> </w:t>
      </w:r>
      <w:r>
        <w:t xml:space="preserve">“Labour Force Survey (</w:t>
      </w:r>
      <w:r>
        <w:t xml:space="preserve">July-September</w:t>
      </w:r>
      <w:r>
        <w:t xml:space="preserve">, 2023) Round (</w:t>
      </w:r>
      <w:r>
        <w:t xml:space="preserve">Q3</w:t>
      </w:r>
      <w:r>
        <w:t xml:space="preserve">/2023).”</w:t>
      </w:r>
      <w:r>
        <w:t xml:space="preserve"> </w:t>
      </w:r>
      <w:r>
        <w:t xml:space="preserve">Ramallah: Palestinian Central Bureau of Statistics.</w:t>
      </w:r>
      <w:r>
        <w:t xml:space="preserve"> </w:t>
      </w:r>
      <w:hyperlink r:id="rId88">
        <w:r>
          <w:rPr>
            <w:rStyle w:val="Hyperlink"/>
          </w:rPr>
          <w:t xml:space="preserve">https://www.pcbs.gov.ps/portals/_pcbs/PressRelease/Press_En_LFSQ32023E.pdf</w:t>
        </w:r>
      </w:hyperlink>
      <w:r>
        <w:t xml:space="preserve">.</w:t>
      </w:r>
    </w:p>
    <w:bookmarkEnd w:id="89"/>
    <w:bookmarkStart w:id="91" w:name="ref-pcbsEconomicForecasts2025"/>
    <w:p>
      <w:pPr>
        <w:pStyle w:val="Bibliography"/>
      </w:pPr>
      <w:r>
        <w:t xml:space="preserve">Palestinian Central Bureau of Statistics, and Palestine Monetary Authority. 2025.</w:t>
      </w:r>
      <w:r>
        <w:t xml:space="preserve"> </w:t>
      </w:r>
      <w:r>
        <w:t xml:space="preserve">“The Performance of the</w:t>
      </w:r>
      <w:r>
        <w:t xml:space="preserve"> </w:t>
      </w:r>
      <w:r>
        <w:t xml:space="preserve">Palestinian</w:t>
      </w:r>
      <w:r>
        <w:t xml:space="preserve"> </w:t>
      </w:r>
      <w:r>
        <w:t xml:space="preserve">Economy for 2025, and Economic Forecasts for 2026.”</w:t>
      </w:r>
      <w:r>
        <w:t xml:space="preserve"> </w:t>
      </w:r>
      <w:r>
        <w:t xml:space="preserve">Ramallah: Palestinian Central Bureau of Statistics.</w:t>
      </w:r>
      <w:r>
        <w:t xml:space="preserve"> </w:t>
      </w:r>
      <w:hyperlink r:id="rId90">
        <w:r>
          <w:rPr>
            <w:rStyle w:val="Hyperlink"/>
          </w:rPr>
          <w:t xml:space="preserve">https://www.pcbs.gov.ps/portals/_pcbs/PressRelease/Press_En_EconomicForecast2026E.pdf</w:t>
        </w:r>
      </w:hyperlink>
      <w:r>
        <w:t xml:space="preserve">.</w:t>
      </w:r>
    </w:p>
    <w:bookmarkEnd w:id="91"/>
    <w:bookmarkStart w:id="93" w:name="Xdf2cf5401331fd58c65fc0d43e2dff377af3d26"/>
    <w:p>
      <w:pPr>
        <w:pStyle w:val="Bibliography"/>
      </w:pPr>
      <w:r>
        <w:t xml:space="preserve">R Core Team. 2025.</w:t>
      </w:r>
      <w:r>
        <w:t xml:space="preserve"> </w:t>
      </w:r>
      <w:r>
        <w:rPr>
          <w:i/>
          <w:iCs/>
        </w:rPr>
        <w:t xml:space="preserve">R: A Language and Environment for Statistical Computing</w:t>
      </w:r>
      <w:r>
        <w:t xml:space="preserve">. Vienna, Austria: R Foundation for Statistical Computing.</w:t>
      </w:r>
      <w:r>
        <w:t xml:space="preserve"> </w:t>
      </w:r>
      <w:hyperlink r:id="rId92">
        <w:r>
          <w:rPr>
            <w:rStyle w:val="Hyperlink"/>
          </w:rPr>
          <w:t xml:space="preserve">https://www.R-project.org/</w:t>
        </w:r>
      </w:hyperlink>
      <w:r>
        <w:t xml:space="preserve">.</w:t>
      </w:r>
    </w:p>
    <w:bookmarkEnd w:id="93"/>
    <w:bookmarkStart w:id="95" w:name="X569e4695166d9d040a6e8073ee6cca2d9916c7e"/>
    <w:p>
      <w:pPr>
        <w:pStyle w:val="Bibliography"/>
      </w:pPr>
      <w:r>
        <w:t xml:space="preserve">Ratnayake, Ruwan, Meghan Tammaro, Amanda Tiffany, Anine Kongelf, Jonathan A. Polonsky, and Amanda McClelland. 2020.</w:t>
      </w:r>
      <w:r>
        <w:t xml:space="preserve"> </w:t>
      </w:r>
      <w:r>
        <w:t xml:space="preserve">“People-Centred Surveillance: A Narrative Review of Community-Based Surveillance Among Crisis-Affected Populations.”</w:t>
      </w:r>
      <w:r>
        <w:t xml:space="preserve"> </w:t>
      </w:r>
      <w:r>
        <w:rPr>
          <w:i/>
          <w:iCs/>
        </w:rPr>
        <w:t xml:space="preserve">The Lancet. Planetary Health</w:t>
      </w:r>
      <w:r>
        <w:t xml:space="preserve"> </w:t>
      </w:r>
      <w:r>
        <w:t xml:space="preserve">4 (10): e483–95.</w:t>
      </w:r>
      <w:r>
        <w:t xml:space="preserve"> </w:t>
      </w:r>
      <w:hyperlink r:id="rId94">
        <w:r>
          <w:rPr>
            <w:rStyle w:val="Hyperlink"/>
          </w:rPr>
          <w:t xml:space="preserve">https://doi.org/10.1016/S2542-5196(20)30221-7</w:t>
        </w:r>
      </w:hyperlink>
      <w:r>
        <w:t xml:space="preserve">.</w:t>
      </w:r>
    </w:p>
    <w:bookmarkEnd w:id="95"/>
    <w:bookmarkStart w:id="96" w:name="ref-sen1981poverty"/>
    <w:p>
      <w:pPr>
        <w:pStyle w:val="Bibliography"/>
      </w:pPr>
      <w:r>
        <w:t xml:space="preserve">Sen, Amartya, and Amartya Kumar Sen. 1981.</w:t>
      </w:r>
      <w:r>
        <w:t xml:space="preserve"> </w:t>
      </w:r>
      <w:r>
        <w:t xml:space="preserve">“Poverty and Famines.”</w:t>
      </w:r>
      <w:r>
        <w:t xml:space="preserve"> </w:t>
      </w:r>
      <w:r>
        <w:t xml:space="preserve">Clarendon press Oxford.</w:t>
      </w:r>
    </w:p>
    <w:bookmarkEnd w:id="96"/>
    <w:bookmarkStart w:id="98" w:name="ref-sjobergReproducibleSummaryTables2021"/>
    <w:p>
      <w:pPr>
        <w:pStyle w:val="Bibliography"/>
      </w:pPr>
      <w:r>
        <w:t xml:space="preserve">Sjoberg, Daniel D., Karissa Whiting, Michael Curry, Jessica A. Lavery, and Joseph Larmarange. 2021.</w:t>
      </w:r>
      <w:r>
        <w:t xml:space="preserve"> </w:t>
      </w:r>
      <w:r>
        <w:t xml:space="preserve">“Reproducible Summary Tables with the Gtsummary Package.”</w:t>
      </w:r>
      <w:r>
        <w:t xml:space="preserve"> </w:t>
      </w:r>
      <w:r>
        <w:rPr>
          <w:i/>
          <w:iCs/>
        </w:rPr>
        <w:t xml:space="preserve">The R Journal</w:t>
      </w:r>
      <w:r>
        <w:t xml:space="preserve"> </w:t>
      </w:r>
      <w:r>
        <w:t xml:space="preserve">13 (1): 570–80.</w:t>
      </w:r>
      <w:r>
        <w:t xml:space="preserve"> </w:t>
      </w:r>
      <w:hyperlink r:id="rId97">
        <w:r>
          <w:rPr>
            <w:rStyle w:val="Hyperlink"/>
          </w:rPr>
          <w:t xml:space="preserve">https://doi.org/10.32614/RJ-2021-053</w:t>
        </w:r>
      </w:hyperlink>
      <w:r>
        <w:t xml:space="preserve">.</w:t>
      </w:r>
    </w:p>
    <w:bookmarkEnd w:id="98"/>
    <w:bookmarkStart w:id="100" w:name="ref-tawilsouriDigitalOccupationGazas2012"/>
    <w:p>
      <w:pPr>
        <w:pStyle w:val="Bibliography"/>
      </w:pPr>
      <w:r>
        <w:t xml:space="preserve">Tawil-Souri, H. 2012.</w:t>
      </w:r>
      <w:r>
        <w:t xml:space="preserve"> </w:t>
      </w:r>
      <w:r>
        <w:t xml:space="preserve">“Digital</w:t>
      </w:r>
      <w:r>
        <w:t xml:space="preserve"> </w:t>
      </w:r>
      <w:r>
        <w:t xml:space="preserve">Occupation</w:t>
      </w:r>
      <w:r>
        <w:t xml:space="preserve">:</w:t>
      </w:r>
      <w:r>
        <w:t xml:space="preserve"> </w:t>
      </w:r>
      <w:r>
        <w:t xml:space="preserve">Gaza</w:t>
      </w:r>
      <w:r>
        <w:t xml:space="preserve">’s</w:t>
      </w:r>
      <w:r>
        <w:t xml:space="preserve"> </w:t>
      </w:r>
      <w:r>
        <w:t xml:space="preserve">High-Tech Enclosure</w:t>
      </w:r>
      <w:r>
        <w:t xml:space="preserve">.”</w:t>
      </w:r>
      <w:r>
        <w:t xml:space="preserve"> </w:t>
      </w:r>
      <w:r>
        <w:rPr>
          <w:i/>
          <w:iCs/>
        </w:rPr>
        <w:t xml:space="preserve">Journal of Palestine Studies</w:t>
      </w:r>
      <w:r>
        <w:t xml:space="preserve"> </w:t>
      </w:r>
      <w:r>
        <w:t xml:space="preserve">41: 27–43.</w:t>
      </w:r>
      <w:r>
        <w:t xml:space="preserve"> </w:t>
      </w:r>
      <w:hyperlink r:id="rId99">
        <w:r>
          <w:rPr>
            <w:rStyle w:val="Hyperlink"/>
          </w:rPr>
          <w:t xml:space="preserve">https://doi.org/10.1525/jps.2012.XLI.2.27</w:t>
        </w:r>
      </w:hyperlink>
      <w:r>
        <w:t xml:space="preserve">.</w:t>
      </w:r>
    </w:p>
    <w:bookmarkEnd w:id="100"/>
    <w:bookmarkStart w:id="102" w:name="ref-vanzandvoortGazaResponse2026"/>
    <w:p>
      <w:pPr>
        <w:pStyle w:val="Bibliography"/>
      </w:pPr>
      <w:r>
        <w:t xml:space="preserve">van Zandvoort, Kevin, Katharine Sherratt, Ciara Judge, Ciara McCarthy, and Clara Brigitta. 2026.</w:t>
      </w:r>
      <w:r>
        <w:t xml:space="preserve"> </w:t>
      </w:r>
      <w:r>
        <w:t xml:space="preserve">“Cmmid/Gaza-Response: First</w:t>
      </w:r>
      <w:r>
        <w:t xml:space="preserve"> </w:t>
      </w:r>
      <w:r>
        <w:t xml:space="preserve">Zenodo</w:t>
      </w:r>
      <w:r>
        <w:t xml:space="preserve"> </w:t>
      </w:r>
      <w:r>
        <w:t xml:space="preserve">Release.”</w:t>
      </w:r>
      <w:r>
        <w:t xml:space="preserve"> </w:t>
      </w:r>
      <w:r>
        <w:t xml:space="preserve">Zenodo.</w:t>
      </w:r>
      <w:r>
        <w:t xml:space="preserve"> </w:t>
      </w:r>
      <w:hyperlink r:id="rId101">
        <w:r>
          <w:rPr>
            <w:rStyle w:val="Hyperlink"/>
          </w:rPr>
          <w:t xml:space="preserve">https://doi.org/10.5281/zenodo.21406638</w:t>
        </w:r>
      </w:hyperlink>
      <w:r>
        <w:t xml:space="preserve">.</w:t>
      </w:r>
    </w:p>
    <w:bookmarkEnd w:id="102"/>
    <w:bookmarkStart w:id="103" w:name="ref-whoPhysicalStatusUse1995"/>
    <w:p>
      <w:pPr>
        <w:pStyle w:val="Bibliography"/>
      </w:pPr>
      <w:r>
        <w:t xml:space="preserve">WHO Expert Committee on Physical Status. 1995.</w:t>
      </w:r>
      <w:r>
        <w:t xml:space="preserve"> </w:t>
      </w:r>
      <w:r>
        <w:rPr>
          <w:i/>
          <w:iCs/>
        </w:rPr>
        <w:t xml:space="preserve">Physical Status: The Use and Interpretation of Anthropometry.</w:t>
      </w:r>
      <w:r>
        <w:rPr>
          <w:i/>
          <w:iCs/>
        </w:rPr>
        <w:t xml:space="preserve"> </w:t>
      </w:r>
      <w:r>
        <w:rPr>
          <w:i/>
          <w:iCs/>
        </w:rPr>
        <w:t xml:space="preserve">Report</w:t>
      </w:r>
      <w:r>
        <w:rPr>
          <w:i/>
          <w:iCs/>
        </w:rPr>
        <w:t xml:space="preserve"> </w:t>
      </w:r>
      <w:r>
        <w:rPr>
          <w:i/>
          <w:iCs/>
        </w:rPr>
        <w:t xml:space="preserve">of a</w:t>
      </w:r>
      <w:r>
        <w:rPr>
          <w:i/>
          <w:iCs/>
        </w:rPr>
        <w:t xml:space="preserve"> </w:t>
      </w:r>
      <w:r>
        <w:rPr>
          <w:i/>
          <w:iCs/>
        </w:rPr>
        <w:t xml:space="preserve">WHO Expert Committee</w:t>
      </w:r>
      <w:r>
        <w:t xml:space="preserve">. WHO Technical Report Series 854. Geneva: World Health Organization.</w:t>
      </w:r>
    </w:p>
    <w:bookmarkEnd w:id="103"/>
    <w:bookmarkStart w:id="105" w:name="ref-woodMgcvMixedGAM2000"/>
    <w:p>
      <w:pPr>
        <w:pStyle w:val="Bibliography"/>
      </w:pPr>
      <w:r>
        <w:t xml:space="preserve">Wood, S. 2000.</w:t>
      </w:r>
      <w:r>
        <w:t xml:space="preserve"> </w:t>
      </w:r>
      <w:r>
        <w:t xml:space="preserve">“Mgcv:</w:t>
      </w:r>
      <w:r>
        <w:t xml:space="preserve"> </w:t>
      </w:r>
      <w:r>
        <w:t xml:space="preserve">Mixed GAM Computation Vehicle</w:t>
      </w:r>
      <w:r>
        <w:t xml:space="preserve"> </w:t>
      </w:r>
      <w:r>
        <w:t xml:space="preserve">with</w:t>
      </w:r>
      <w:r>
        <w:t xml:space="preserve"> </w:t>
      </w:r>
      <w:r>
        <w:t xml:space="preserve">Automatic Smoothness Estimation</w:t>
      </w:r>
      <w:r>
        <w:t xml:space="preserve">.”</w:t>
      </w:r>
      <w:r>
        <w:t xml:space="preserve"> </w:t>
      </w:r>
      <w:hyperlink r:id="rId104">
        <w:r>
          <w:rPr>
            <w:rStyle w:val="Hyperlink"/>
          </w:rPr>
          <w:t xml:space="preserve">https://doi.org/10.32614/CRAN.package.mgcv</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30" Target="media/rId30.png" /><Relationship Type="http://schemas.openxmlformats.org/officeDocument/2006/relationships/hyperlink" Id="rId25" Target="https://cmmid.github.io/gaza-response/" TargetMode="External" /><Relationship Type="http://schemas.openxmlformats.org/officeDocument/2006/relationships/hyperlink" Id="rId24" Target="https://cmmid.github.io/gaza-response/about.html" TargetMode="External" /><Relationship Type="http://schemas.openxmlformats.org/officeDocument/2006/relationships/hyperlink" Id="rId66" Target="https://doi.org/10.1002/1097-0258(20001130)19:22&lt;3109::AID-SIM558&gt;3.0.CO;2-F" TargetMode="External" /><Relationship Type="http://schemas.openxmlformats.org/officeDocument/2006/relationships/hyperlink" Id="rId79" Target="https://doi.org/10.1016/S0140-6736(25)01820-3" TargetMode="External" /><Relationship Type="http://schemas.openxmlformats.org/officeDocument/2006/relationships/hyperlink" Id="rId94" Target="https://doi.org/10.1016/S2542-5196(20)30221-7" TargetMode="External" /><Relationship Type="http://schemas.openxmlformats.org/officeDocument/2006/relationships/hyperlink" Id="rId81" Target="https://doi.org/10.1016/j.worlddev.2017.12.028" TargetMode="External" /><Relationship Type="http://schemas.openxmlformats.org/officeDocument/2006/relationships/hyperlink" Id="rId52" Target="https://doi.org/10.1038/s41371-022-00783-w" TargetMode="External" /><Relationship Type="http://schemas.openxmlformats.org/officeDocument/2006/relationships/hyperlink" Id="rId86" Target="https://doi.org/10.1038/s41586-026-10383-0" TargetMode="External" /><Relationship Type="http://schemas.openxmlformats.org/officeDocument/2006/relationships/hyperlink" Id="rId62" Target="https://doi.org/10.1101/2024.12.10.24318783" TargetMode="External" /><Relationship Type="http://schemas.openxmlformats.org/officeDocument/2006/relationships/hyperlink" Id="rId68" Target="https://doi.org/10.1136/bmj.j3683" TargetMode="External" /><Relationship Type="http://schemas.openxmlformats.org/officeDocument/2006/relationships/hyperlink" Id="rId64" Target="https://doi.org/10.1136/bmjgh-2025-020648" TargetMode="External" /><Relationship Type="http://schemas.openxmlformats.org/officeDocument/2006/relationships/hyperlink" Id="rId77" Target="https://doi.org/10.1136/bmjgh-2025-020764" TargetMode="External" /><Relationship Type="http://schemas.openxmlformats.org/officeDocument/2006/relationships/hyperlink" Id="rId56" Target="https://doi.org/10.1186/s41043-024-00700-6" TargetMode="External" /><Relationship Type="http://schemas.openxmlformats.org/officeDocument/2006/relationships/hyperlink" Id="rId75" Target="https://doi.org/10.1186/s41043-025-00948-6" TargetMode="External" /><Relationship Type="http://schemas.openxmlformats.org/officeDocument/2006/relationships/hyperlink" Id="rId73" Target="https://doi.org/10.1371/journal.pone.0309854" TargetMode="External" /><Relationship Type="http://schemas.openxmlformats.org/officeDocument/2006/relationships/hyperlink" Id="rId99" Target="https://doi.org/10.1525/jps.2012.XLI.2.27" TargetMode="External" /><Relationship Type="http://schemas.openxmlformats.org/officeDocument/2006/relationships/hyperlink" Id="rId58" Target="https://doi.org/10.18637/jss.v111.i09" TargetMode="External" /><Relationship Type="http://schemas.openxmlformats.org/officeDocument/2006/relationships/hyperlink" Id="rId70" Target="https://doi.org/10.21203/rs.3.rs-8653315/v1" TargetMode="External" /><Relationship Type="http://schemas.openxmlformats.org/officeDocument/2006/relationships/hyperlink" Id="rId84" Target="https://doi.org/10.2196/38551" TargetMode="External" /><Relationship Type="http://schemas.openxmlformats.org/officeDocument/2006/relationships/hyperlink" Id="rId104" Target="https://doi.org/10.32614/CRAN.package.mgcv" TargetMode="External" /><Relationship Type="http://schemas.openxmlformats.org/officeDocument/2006/relationships/hyperlink" Id="rId97" Target="https://doi.org/10.32614/RJ-2021-053" TargetMode="External" /><Relationship Type="http://schemas.openxmlformats.org/officeDocument/2006/relationships/hyperlink" Id="rId101" Target="https://doi.org/10.5281/zenodo.21406638" TargetMode="External" /><Relationship Type="http://schemas.openxmlformats.org/officeDocument/2006/relationships/hyperlink" Id="rId60" Target="https://doi.org/10.5923/j.phr.20251501.01" TargetMode="External" /><Relationship Type="http://schemas.openxmlformats.org/officeDocument/2006/relationships/hyperlink" Id="rId27" Target="https://github.com/cmmid/gaza-report" TargetMode="External" /><Relationship Type="http://schemas.openxmlformats.org/officeDocument/2006/relationships/hyperlink" Id="rId54" Target="https://reliefweb.int/report/occupied-palestinian-territory/mass-starvation-spreads-across-gaza-our-colleagues-and-those-we-serve-are-wasting-away-ena" TargetMode="External" /><Relationship Type="http://schemas.openxmlformats.org/officeDocument/2006/relationships/hyperlink" Id="rId92" Target="https://www.R-project.org/" TargetMode="External" /><Relationship Type="http://schemas.openxmlformats.org/officeDocument/2006/relationships/hyperlink" Id="rId90" Target="https://www.pcbs.gov.ps/portals/_pcbs/PressRelease/Press_En_EconomicForecast2026E.pdf" TargetMode="External" /><Relationship Type="http://schemas.openxmlformats.org/officeDocument/2006/relationships/hyperlink" Id="rId88" Target="https://www.pcbs.gov.ps/portals/_pcbs/PressRelease/Press_En_LFSQ32023E.pdf" TargetMode="External" /><Relationship Type="http://schemas.openxmlformats.org/officeDocument/2006/relationships/hyperlink" Id="rId20" Target="mailto:Francesco.checchi@lshtm.ac.uk" TargetMode="External" /></Relationships>
</file>

<file path=word/_rels/footnotes.xml.rels><?xml version="1.0" encoding="UTF-8"?><Relationships xmlns="http://schemas.openxmlformats.org/package/2006/relationships"><Relationship Type="http://schemas.openxmlformats.org/officeDocument/2006/relationships/hyperlink" Id="rId25" Target="https://cmmid.github.io/gaza-response/" TargetMode="External" /><Relationship Type="http://schemas.openxmlformats.org/officeDocument/2006/relationships/hyperlink" Id="rId24" Target="https://cmmid.github.io/gaza-response/about.html" TargetMode="External" /><Relationship Type="http://schemas.openxmlformats.org/officeDocument/2006/relationships/hyperlink" Id="rId66" Target="https://doi.org/10.1002/1097-0258(20001130)19:22&lt;3109::AID-SIM558&gt;3.0.CO;2-F" TargetMode="External" /><Relationship Type="http://schemas.openxmlformats.org/officeDocument/2006/relationships/hyperlink" Id="rId79" Target="https://doi.org/10.1016/S0140-6736(25)01820-3" TargetMode="External" /><Relationship Type="http://schemas.openxmlformats.org/officeDocument/2006/relationships/hyperlink" Id="rId94" Target="https://doi.org/10.1016/S2542-5196(20)30221-7" TargetMode="External" /><Relationship Type="http://schemas.openxmlformats.org/officeDocument/2006/relationships/hyperlink" Id="rId81" Target="https://doi.org/10.1016/j.worlddev.2017.12.028" TargetMode="External" /><Relationship Type="http://schemas.openxmlformats.org/officeDocument/2006/relationships/hyperlink" Id="rId52" Target="https://doi.org/10.1038/s41371-022-00783-w" TargetMode="External" /><Relationship Type="http://schemas.openxmlformats.org/officeDocument/2006/relationships/hyperlink" Id="rId86" Target="https://doi.org/10.1038/s41586-026-10383-0" TargetMode="External" /><Relationship Type="http://schemas.openxmlformats.org/officeDocument/2006/relationships/hyperlink" Id="rId62" Target="https://doi.org/10.1101/2024.12.10.24318783" TargetMode="External" /><Relationship Type="http://schemas.openxmlformats.org/officeDocument/2006/relationships/hyperlink" Id="rId68" Target="https://doi.org/10.1136/bmj.j3683" TargetMode="External" /><Relationship Type="http://schemas.openxmlformats.org/officeDocument/2006/relationships/hyperlink" Id="rId64" Target="https://doi.org/10.1136/bmjgh-2025-020648" TargetMode="External" /><Relationship Type="http://schemas.openxmlformats.org/officeDocument/2006/relationships/hyperlink" Id="rId77" Target="https://doi.org/10.1136/bmjgh-2025-020764" TargetMode="External" /><Relationship Type="http://schemas.openxmlformats.org/officeDocument/2006/relationships/hyperlink" Id="rId56" Target="https://doi.org/10.1186/s41043-024-00700-6" TargetMode="External" /><Relationship Type="http://schemas.openxmlformats.org/officeDocument/2006/relationships/hyperlink" Id="rId75" Target="https://doi.org/10.1186/s41043-025-00948-6" TargetMode="External" /><Relationship Type="http://schemas.openxmlformats.org/officeDocument/2006/relationships/hyperlink" Id="rId73" Target="https://doi.org/10.1371/journal.pone.0309854" TargetMode="External" /><Relationship Type="http://schemas.openxmlformats.org/officeDocument/2006/relationships/hyperlink" Id="rId99" Target="https://doi.org/10.1525/jps.2012.XLI.2.27" TargetMode="External" /><Relationship Type="http://schemas.openxmlformats.org/officeDocument/2006/relationships/hyperlink" Id="rId58" Target="https://doi.org/10.18637/jss.v111.i09" TargetMode="External" /><Relationship Type="http://schemas.openxmlformats.org/officeDocument/2006/relationships/hyperlink" Id="rId70" Target="https://doi.org/10.21203/rs.3.rs-8653315/v1" TargetMode="External" /><Relationship Type="http://schemas.openxmlformats.org/officeDocument/2006/relationships/hyperlink" Id="rId84" Target="https://doi.org/10.2196/38551" TargetMode="External" /><Relationship Type="http://schemas.openxmlformats.org/officeDocument/2006/relationships/hyperlink" Id="rId104" Target="https://doi.org/10.32614/CRAN.package.mgcv" TargetMode="External" /><Relationship Type="http://schemas.openxmlformats.org/officeDocument/2006/relationships/hyperlink" Id="rId97" Target="https://doi.org/10.32614/RJ-2021-053" TargetMode="External" /><Relationship Type="http://schemas.openxmlformats.org/officeDocument/2006/relationships/hyperlink" Id="rId101" Target="https://doi.org/10.5281/zenodo.21406638" TargetMode="External" /><Relationship Type="http://schemas.openxmlformats.org/officeDocument/2006/relationships/hyperlink" Id="rId60" Target="https://doi.org/10.5923/j.phr.20251501.01" TargetMode="External" /><Relationship Type="http://schemas.openxmlformats.org/officeDocument/2006/relationships/hyperlink" Id="rId27" Target="https://github.com/cmmid/gaza-report" TargetMode="External" /><Relationship Type="http://schemas.openxmlformats.org/officeDocument/2006/relationships/hyperlink" Id="rId54" Target="https://reliefweb.int/report/occupied-palestinian-territory/mass-starvation-spreads-across-gaza-our-colleagues-and-those-we-serve-are-wasting-away-ena" TargetMode="External" /><Relationship Type="http://schemas.openxmlformats.org/officeDocument/2006/relationships/hyperlink" Id="rId92" Target="https://www.R-project.org/" TargetMode="External" /><Relationship Type="http://schemas.openxmlformats.org/officeDocument/2006/relationships/hyperlink" Id="rId90" Target="https://www.pcbs.gov.ps/portals/_pcbs/PressRelease/Press_En_EconomicForecast2026E.pdf" TargetMode="External" /><Relationship Type="http://schemas.openxmlformats.org/officeDocument/2006/relationships/hyperlink" Id="rId88" Target="https://www.pcbs.gov.ps/portals/_pcbs/PressRelease/Press_En_LFSQ32023E.pdf" TargetMode="External" /><Relationship Type="http://schemas.openxmlformats.org/officeDocument/2006/relationships/hyperlink" Id="rId20" Target="mailto:Francesco.checchi@lshtm.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Participatory surveillance of adult weight among humanitarian staff in the Gaza Strip, 2025</dc:title>
  <dc:creator/>
  <cp:keywords/>
  <dcterms:created xsi:type="dcterms:W3CDTF">2026-10-25T05:46:00Z</dcterms:created>
  <dcterms:modified xsi:type="dcterms:W3CDTF">2026-10-25T05:46:00Z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gaza.bib</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