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information</w:t>
      </w:r>
    </w:p>
    <w:p>
      <w:pPr>
        <w:pStyle w:val="Subtitle"/>
      </w:pPr>
      <w:r>
        <w:t xml:space="preserve">Participatory surveillance of adult weight among humanitarian staff in the Gaza Strip, 2025</w:t>
      </w:r>
    </w:p>
    <w:p>
      <w:pPr>
        <w:pStyle w:val="FirstParagraph"/>
      </w:pPr>
      <w:r>
        <w:t xml:space="preserve">Katharine Sherratt, Kevin van Zandvoort, Zeina Jamaluddine, Clara Brigitta, Ciara McCarthy, Ciara Judge, Catharina van der Boor, Francesco Checchi</w:t>
      </w:r>
    </w:p>
    <w:bookmarkStart w:id="27" w:name="participation-and-data-collection"/>
    <w:p>
      <w:pPr>
        <w:pStyle w:val="Heading2"/>
      </w:pPr>
      <w:r>
        <w:t xml:space="preserve">Participation and data collection</w:t>
      </w:r>
    </w:p>
    <w:p>
      <w:pPr>
        <w:pStyle w:val="FirstParagraph"/>
      </w:pPr>
      <w:r>
        <w:t xml:space="preserve">We collected weight data in two Open Data Kit forms: an enrolment form carrying all characteristics, and a follow-up form carrying date and weight only, both identified by the participant’s anonymised ID.</w:t>
      </w:r>
    </w:p>
    <w:bookmarkStart w:id="23" w:name="recruitment-and-selection"/>
    <w:p>
      <w:pPr>
        <w:pStyle w:val="Heading3"/>
      </w:pPr>
      <w:r>
        <w:t xml:space="preserve">Recruitment and selection</w:t>
      </w:r>
    </w:p>
    <w:p>
      <w:pPr>
        <w:pStyle w:val="FirstParagraph"/>
      </w:pPr>
      <w:r>
        <w:t xml:space="preserve">Participants enrolled in two cohorts, August-September and October-November 2025 (Figure 1B of the manuscript).</w:t>
      </w:r>
    </w:p>
    <w:p>
      <w:pPr>
        <w:pStyle w:val="BodyText"/>
      </w:pPr>
      <w:r>
        <w:t xml:space="preserve">We assessed selection by reporting distributions of enrolment characteristics across subgroups: enrolment cohort, and whether participants provided one or multiple measurements over time.</w:t>
      </w:r>
    </w:p>
    <w:tbl>
      <w:tblPr>
        <w:tblStyle w:val="Table"/>
        <w:tblW w:type="pct" w:w="5000"/>
        <w:tblLayout w:type="fixed"/>
        <w:tblLook w:firstRow="0" w:lastRow="0" w:firstColumn="0" w:lastColumn="0" w:noHBand="0" w:noVBand="0" w:val="0000"/>
      </w:tblPr>
      <w:tblGrid>
        <w:gridCol w:w="7920"/>
      </w:tblGrid>
      <w:tr>
        <w:tc>
          <w:tcPr/>
          <w:bookmarkStart w:id="20" w:name="tbl-balance-cohort"/>
          <w:p>
            <w:pPr>
              <w:jc w:val="center"/>
            </w:pPr>
            <w:pPr>
              <w:jc w:val="start"/>
              <w:spacing w:before="200"/>
              <w:pStyle w:val="ImageCaption"/>
            </w:pPr>
            <w:r>
              <w:t xml:space="preserve">Table S 1. Enrolment characteristics by enrolment cohort.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7"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Aug-Sep 2025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 = 258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Oct-Nov 2025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 = 176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p>
              </w:tc>
            </w:tr>
            <w:tr>
              <w:trPr>
                <w:trHeight w:val="473"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group</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under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54 (21.9%)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37 (21.8%)</w:t>
                  </w:r>
                </w:p>
              </w:tc>
            </w:tr>
            <w:tr>
              <w:trPr>
                <w:trHeight w:val="4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30-45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126 (51.0%)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83 (48.8%)</w:t>
                  </w:r>
                </w:p>
              </w:tc>
            </w:tr>
            <w:tr>
              <w:trPr>
                <w:trHeight w:val="4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over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67 (27.1%)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50 (29.4%)</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143 (55.4%)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96 (54.5%)</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115 (44.6%)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80 (45.5%)</w:t>
                  </w:r>
                </w:p>
              </w:tc>
            </w:tr>
            <w:tr>
              <w:trPr>
                <w:trHeight w:val="43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Deir Al Balah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41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96 (54.5%)</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Gaza City, North Gaza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120 (46.5%)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23 (13.1%)</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Khan Yunis, Rafah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97 (37.6%)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57 (32.4%)</w:t>
                  </w:r>
                </w:p>
              </w:tc>
            </w:tr>
            <w:tr>
              <w:trPr>
                <w:trHeight w:val="4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Dependent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111 (43.2%)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84 (47.7%)</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34 (19.3%)</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44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30 (17.0%)</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58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28 (15.9%)</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w:t>
                  </w:r>
                </w:p>
              </w:tc>
            </w:tr>
            <w:tr>
              <w:trPr>
                <w:trHeight w:val="43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Professional role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National staff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162 (62.8%)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126 (71.6%)</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Casual worker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86 (33.3%)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43 (24.4%)</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 (4.0%)</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38.5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39.3 (10.5)</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Pre-war BMI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28.6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28.5 (5.8)</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BMI at enrolment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23.5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24.7 (4.8)</w:t>
                  </w:r>
                </w:p>
              </w:tc>
            </w:tr>
            <w:tr>
              <w:trPr>
                <w:trHeight w:val="475"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Weight change since pre-war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-17.6 (8.2)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-12.7 (9.2)</w:t>
                  </w:r>
                </w:p>
              </w:tc>
            </w:tr>
            <w:tr>
              <w:trPr>
                <w:trHeight w:val="360" w:hRule="auto"/>
              </w:trPr>
              <w:tc>
                <w:tcPr>
                  <w:gridSpan w:val="3"/>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 (%); Mean (SD)</w:t>
                  </w:r>
                </w:p>
              </w:tc>
            </w:tr>
          </w:tbl>
          <w:bookmarkEnd w:id="20"/>
        </w:tc>
      </w:tr>
    </w:tbl>
    <w:tbl>
      <w:tblPr>
        <w:tblStyle w:val="Table"/>
        <w:tblW w:type="pct" w:w="5000"/>
        <w:tblLayout w:type="fixed"/>
        <w:tblLook w:firstRow="0" w:lastRow="0" w:firstColumn="0" w:lastColumn="0" w:noHBand="0" w:noVBand="0" w:val="0000"/>
      </w:tblPr>
      <w:tblGrid>
        <w:gridCol w:w="7920"/>
      </w:tblGrid>
      <w:tr>
        <w:tc>
          <w:tcPr/>
          <w:bookmarkStart w:id="21" w:name="tbl-balance-followup"/>
          <w:p>
            <w:pPr>
              <w:jc w:val="center"/>
            </w:pPr>
            <w:pPr>
              <w:jc w:val="start"/>
              <w:spacing w:before="200"/>
              <w:pStyle w:val="ImageCaption"/>
            </w:pPr>
            <w:r>
              <w:t xml:space="preserve">Table S 2. Enrolment characteristics by whether the participant contributed any follow-up measurement.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7"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Single measurement</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 = 328</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2+ measurements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 = 106</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p>
              </w:tc>
            </w:tr>
            <w:tr>
              <w:trPr>
                <w:trHeight w:val="473"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group</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under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71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 (18.9%)</w:t>
                  </w:r>
                </w:p>
              </w:tc>
            </w:tr>
            <w:tr>
              <w:trPr>
                <w:trHeight w:val="4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30-45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154 (49.5%)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55 (51.9%)</w:t>
                  </w:r>
                </w:p>
              </w:tc>
            </w:tr>
            <w:tr>
              <w:trPr>
                <w:trHeight w:val="4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over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86 (27.7%)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31 (29.2%)</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179 (54.6%)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60 (56.6%)</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149 (45.4%)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46 (43.4%)</w:t>
                  </w:r>
                </w:p>
              </w:tc>
            </w:tr>
            <w:tr>
              <w:trPr>
                <w:trHeight w:val="43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Deir Al Balah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105 (32.0%)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32 (30.2%)</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Gaza City, North Gaza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110 (33.5%)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33 (31.1%)</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Khan Yunis, Rafah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113 (34.5%)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41 (38.7%)</w:t>
                  </w:r>
                </w:p>
              </w:tc>
            </w:tr>
            <w:tr>
              <w:trPr>
                <w:trHeight w:val="4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Dependent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159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36 (34.0%)</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55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23 (21.7%)</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53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21 (19.8%)</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60 (18.3%)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26 (24.5%)</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w:t>
                  </w:r>
                </w:p>
              </w:tc>
            </w:tr>
            <w:tr>
              <w:trPr>
                <w:trHeight w:val="43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Professional role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National staff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220 (67.1%)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68 (64.2%)</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Casual worker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97 (29.6%)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32 (30.2%)</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6 (5.7%)</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38.7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39.2 (10.0)</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Pre-war BMI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28.4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29.0 (5.4)</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BMI at enrolment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23.9 (4.4)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24.0 (4.1)</w:t>
                  </w:r>
                </w:p>
              </w:tc>
            </w:tr>
            <w:tr>
              <w:trPr>
                <w:trHeight w:val="475"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Weight change since pre-war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-15.3 (9.1)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-16.5 (8.3)</w:t>
                  </w:r>
                </w:p>
              </w:tc>
            </w:tr>
            <w:tr>
              <w:trPr>
                <w:trHeight w:val="360" w:hRule="auto"/>
              </w:trPr>
              <w:tc>
                <w:tcPr>
                  <w:gridSpan w:val="3"/>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 (%); Mean (SD)</w:t>
                  </w:r>
                </w:p>
              </w:tc>
            </w:tr>
          </w:tbl>
          <w:bookmarkEnd w:id="21"/>
        </w:tc>
      </w:tr>
    </w:tbl>
    <w:p>
      <w:pPr>
        <w:pStyle w:val="BodyText"/>
      </w:pPr>
      <w:r>
        <w:t xml:space="preserve">We modelled the odds of contributing any follow-up measurement by participant characteristic (age, sex, residence, dependent children, role, BMI at enrolment and enrolment cohort) with logistic regression.</w:t>
      </w:r>
    </w:p>
    <w:tbl>
      <w:tblPr>
        <w:tblStyle w:val="Table"/>
        <w:tblW w:type="pct" w:w="5000"/>
        <w:tblLayout w:type="fixed"/>
        <w:tblLook w:firstRow="0" w:lastRow="0" w:firstColumn="0" w:lastColumn="0" w:noHBand="0" w:noVBand="0" w:val="0000"/>
      </w:tblPr>
      <w:tblGrid>
        <w:gridCol w:w="7920"/>
      </w:tblGrid>
      <w:tr>
        <w:tc>
          <w:tcPr/>
          <w:bookmarkStart w:id="22" w:name="tbl-return"/>
          <w:p>
            <w:pPr>
              <w:jc w:val="center"/>
            </w:pPr>
            <w:pPr>
              <w:jc w:val="start"/>
              <w:spacing w:before="200"/>
              <w:pStyle w:val="ImageCaption"/>
            </w:pPr>
            <w:r>
              <w:t xml:space="preserve">Table S 3. Odds of contributing at least one follow-up measurement, by participant characteristic at enrolment.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7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OR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95% CI</w:t>
                  </w:r>
                </w:p>
              </w:tc>
            </w:tr>
            <w:tr>
              <w:trPr>
                <w:trHeight w:val="473"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group</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under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r>
            <w:tr>
              <w:trPr>
                <w:trHeight w:val="4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30-45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0.40 to 1.98</w:t>
                  </w:r>
                </w:p>
              </w:tc>
            </w:tr>
            <w:tr>
              <w:trPr>
                <w:trHeight w:val="4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Age over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0.56 to 3.39</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r>
            <w:tr>
              <w:trPr>
                <w:trHeight w:val="4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0.52 to 1.38</w:t>
                  </w:r>
                </w:p>
              </w:tc>
            </w:tr>
            <w:tr>
              <w:trPr>
                <w:trHeight w:val="43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Residence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3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Deir Al Balah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Gaza City, North Gaza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0.22 to 0.87</w:t>
                  </w:r>
                </w:p>
              </w:tc>
            </w:tr>
            <w:tr>
              <w:trPr>
                <w:trHeight w:val="46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Khan Yunis, Rafah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0.39 to 1.50</w:t>
                  </w:r>
                </w:p>
              </w:tc>
            </w:tr>
            <w:tr>
              <w:trPr>
                <w:trHeight w:val="4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Dependent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r>
            <w:tr>
              <w:trPr>
                <w:trHeight w:val="43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1.09 to 4.42</w:t>
                  </w:r>
                </w:p>
              </w:tc>
            </w:tr>
            <w:tr>
              <w:trPr>
                <w:trHeight w:val="43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1.09 to 4.93</w:t>
                  </w:r>
                </w:p>
              </w:tc>
            </w:tr>
            <w:tr>
              <w:trPr>
                <w:trHeight w:val="43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1.03 to 4.80</w:t>
                  </w:r>
                </w:p>
              </w:tc>
            </w:tr>
            <w:tr>
              <w:trPr>
                <w:trHeight w:val="43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Professional role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3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National staff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Casual worker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0.60 to 2.29</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0.48 to 5.33</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BMI at enrolment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0.97 to 1.09</w:t>
                  </w:r>
                </w:p>
              </w:tc>
            </w:tr>
            <w:tr>
              <w:trPr>
                <w:trHeight w:val="43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Enrolment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7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Aug-Sep 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r>
            <w:tr>
              <w:trPr>
                <w:trHeight w:val="44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Oct-Nov 2025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0.10 to 0.33</w:t>
                  </w:r>
                </w:p>
              </w:tc>
            </w:tr>
            <w:tr>
              <w:trPr>
                <w:trHeight w:val="360" w:hRule="auto"/>
              </w:trPr>
              <w:tc>
                <w:tcPr>
                  <w:gridSpan w:val="3"/>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Abbreviations: CI = Confidence Interval, OR = Odds Ratio</w:t>
                  </w:r>
                </w:p>
              </w:tc>
            </w:tr>
          </w:tbl>
          <w:bookmarkEnd w:id="22"/>
        </w:tc>
      </w:tr>
    </w:tbl>
    <w:p>
      <w:pPr>
        <w:pStyle w:val="BodyText"/>
      </w:pPr>
      <w:r>
        <w:t xml:space="preserve">Change since pre-war was similar among participants who did or did not contribute follow-up measurements (mean loss 16.5% and 15.3% respectively).</w:t>
      </w:r>
      <w:r>
        <w:t xml:space="preserve"> </w:t>
      </w:r>
      <w:r>
        <w:t xml:space="preserve">Participants with dependent children had higher odds of returning than those with none (odds ratio 2.20 (1.09 to 4.42) for one child, similar for two or more), and residents of Gaza City and North Gaza lower odds than residents of Deir Al Balah (0.45 (0.22 to 0.87)).</w:t>
      </w:r>
      <w:r>
        <w:t xml:space="preserve"> </w:t>
      </w:r>
      <w:r>
        <w:t xml:space="preserve">Participants in the October-November cohort had much lower odds of returning (0.18 (0.10 to 0.33)).</w:t>
      </w:r>
    </w:p>
    <w:bookmarkEnd w:id="23"/>
    <w:bookmarkStart w:id="26" w:name="exclusion-criteria"/>
    <w:p>
      <w:pPr>
        <w:pStyle w:val="Heading3"/>
      </w:pPr>
      <w:r>
        <w:t xml:space="preserve">Exclusion criteria</w:t>
      </w:r>
    </w:p>
    <w:p>
      <w:pPr>
        <w:pStyle w:val="FirstParagraph"/>
      </w:pPr>
      <w:r>
        <w:t xml:space="preserve">Exclusions were dominated by 214 (20%) follow-up records that we could not link to a previously enrolled participant (see below).</w:t>
      </w:r>
      <w:r>
        <w:t xml:space="preserve"> </w:t>
      </w:r>
      <w:r>
        <w:t xml:space="preserve">We also excluded 148 records as duplicates, 37 that refused consent, and 6 for a missing or implausible value.</w:t>
      </w:r>
    </w:p>
    <w:tbl>
      <w:tblPr>
        <w:tblStyle w:val="Table"/>
        <w:tblW w:type="pct" w:w="5000"/>
        <w:tblLayout w:type="fixed"/>
        <w:tblLook w:firstRow="0" w:lastRow="0" w:firstColumn="0" w:lastColumn="0" w:noHBand="0" w:noVBand="0" w:val="0000"/>
      </w:tblPr>
      <w:tblGrid>
        <w:gridCol w:w="7920"/>
      </w:tblGrid>
      <w:tr>
        <w:tc>
          <w:tcPr/>
          <w:bookmarkStart w:id="24" w:name="tbl-exclusions"/>
          <w:p>
            <w:pPr>
              <w:jc w:val="center"/>
            </w:pPr>
            <w:pPr>
              <w:jc w:val="start"/>
              <w:spacing w:before="200"/>
              <w:pStyle w:val="ImageCaption"/>
            </w:pPr>
            <w:r>
              <w:t xml:space="preserve">Table S 4. Weight measurements by exclusion criterion.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Criteria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Measurements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Measurements remaining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Participants remaining</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 consent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 baseline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Duplicate record (same participant/day)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Missing weight measurement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Missing pre-war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Weight outside 30-180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Height outside 140-210 cm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BMI outside 10-60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Weight change &gt;10%/day since entry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Included in analysis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434</w:t>
                  </w:r>
                </w:p>
              </w:tc>
            </w:tr>
          </w:tbl>
          <w:bookmarkEnd w:id="24"/>
        </w:tc>
      </w:tr>
    </w:tbl>
    <w:bookmarkStart w:id="25" w:name="unlinked-follow-up-measurements"/>
    <w:p>
      <w:pPr>
        <w:pStyle w:val="Heading4"/>
      </w:pPr>
      <w:r>
        <w:t xml:space="preserve">Unlinked follow-up measurements</w:t>
      </w:r>
    </w:p>
    <w:p>
      <w:pPr>
        <w:pStyle w:val="FirstParagraph"/>
      </w:pPr>
      <w:r>
        <w:t xml:space="preserve">We collected 570 follow-up records.</w:t>
      </w:r>
      <w:r>
        <w:t xml:space="preserve"> </w:t>
      </w:r>
      <w:r>
        <w:t xml:space="preserve">Among valid records, 214 (from 202 participant IDs) did not match any enrolment record participant ID, so we could not identify these with pre-war weight, height or demographics.</w:t>
      </w:r>
      <w:r>
        <w:t xml:space="preserve"> </w:t>
      </w:r>
      <w:r>
        <w:t xml:space="preserve">Almost all of these unlinked measurements came after the second round of recruitment (86% appeared over 8-12 November 2025; Figure 1B of the manuscript).</w:t>
      </w:r>
    </w:p>
    <w:p>
      <w:pPr>
        <w:pStyle w:val="BodyText"/>
      </w:pPr>
      <w:r>
        <w:t xml:space="preserve">These may be participants who entered a different ID combination from their enrolment ID, or who only ever used the follow-up form without enrolling.</w:t>
      </w:r>
      <w:r>
        <w:t xml:space="preserve"> </w:t>
      </w:r>
      <w:r>
        <w:t xml:space="preserve">Linkage failure was likely partly due to mistyped composite IDs: 68% of follow-up records with a composite ID were unmatched, against 14% of those with a national ID.</w:t>
      </w:r>
      <w:r>
        <w:t xml:space="preserve"> </w:t>
      </w:r>
      <w:r>
        <w:t xml:space="preserve">All identifiers were stored only as one-way hashes, so mistyped IDs could not be corrected.</w:t>
      </w:r>
      <w:r>
        <w:t xml:space="preserve"> </w:t>
      </w:r>
      <w:r>
        <w:t xml:space="preserve">At least some of these records also come from people who only ever used the follow-up form; in the 8-12 November week we saw more unmatched composite IDs (157) than there were participants ever enrolled with a composite ID (137).</w:t>
      </w:r>
      <w:r>
        <w:t xml:space="preserve"> </w:t>
      </w:r>
      <w:r>
        <w:t xml:space="preserve">Unlinked measurements were also heavier than linked follow-up measurements (median 71 against 66 kg).</w:t>
      </w:r>
    </w:p>
    <w:bookmarkEnd w:id="25"/>
    <w:bookmarkEnd w:id="26"/>
    <w:bookmarkEnd w:id="27"/>
    <w:bookmarkStart w:id="35" w:name="analysis"/>
    <w:p>
      <w:pPr>
        <w:pStyle w:val="Heading2"/>
      </w:pPr>
      <w:r>
        <w:t xml:space="preserve">Analysis</w:t>
      </w:r>
    </w:p>
    <w:bookmarkStart w:id="34" w:name="change-over-conflict-period"/>
    <w:p>
      <w:pPr>
        <w:pStyle w:val="Heading3"/>
      </w:pPr>
      <w:r>
        <w:t xml:space="preserve">Change over conflict period</w:t>
      </w:r>
    </w:p>
    <w:tbl>
      <w:tblPr>
        <w:tblStyle w:val="Table"/>
        <w:tblW w:type="pct" w:w="5000"/>
        <w:tblLayout w:type="fixed"/>
        <w:tblLook w:firstRow="0" w:lastRow="0" w:firstColumn="0" w:lastColumn="0" w:noHBand="0" w:noVBand="0" w:val="0000"/>
      </w:tblPr>
      <w:tblGrid>
        <w:gridCol w:w="7920"/>
      </w:tblGrid>
      <w:tr>
        <w:tc>
          <w:tcPr/>
          <w:bookmarkStart w:id="28" w:name="tbl-headline"/>
          <w:p>
            <w:pPr>
              <w:jc w:val="center"/>
            </w:pPr>
            <w:pPr>
              <w:jc w:val="start"/>
              <w:spacing w:before="200"/>
              <w:pStyle w:val="ImageCaption"/>
            </w:pPr>
            <w:r>
              <w:t xml:space="preserve">Table S 5. Mean change from self-recalled pre-war (October 2023) weight to the first measured weight at enrolment.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720"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 = 434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95% CI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Aug-Sep 2025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 = 258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95% CI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Oct-Nov 2025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 = 176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95% CI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p>
              </w:tc>
            </w:tr>
            <w:tr>
              <w:trPr>
                <w:trHeight w:val="475"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Weight change since pre-war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-15.6 (-16.5 to -14.8)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-17.6 (-18.6 to -16.6)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-12.7 (-14.1 to -11.4)</w:t>
                  </w:r>
                </w:p>
              </w:tc>
            </w:tr>
            <w:tr>
              <w:trPr>
                <w:trHeight w:val="475"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BMI change since pre-war (kg/m2)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-4.64 (-4.92 to -4.35)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-5.18 (-5.53 to -4.83)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-3.84 (-4.29 to -3.39)</w:t>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Mean</w:t>
                  </w:r>
                </w:p>
              </w:tc>
            </w:tr>
            <w:tr>
              <w:trPr>
                <w:trHeight w:val="360" w:hRule="auto"/>
              </w:trP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Abbreviation: CI = Confidence Interval</w:t>
                  </w:r>
                </w:p>
              </w:tc>
            </w:tr>
          </w:tbl>
          <w:bookmarkEnd w:id="28"/>
        </w:tc>
      </w:tr>
    </w:tbl>
    <w:tbl>
      <w:tblPr>
        <w:tblStyle w:val="Table"/>
        <w:tblW w:type="pct" w:w="5000"/>
        <w:tblLayout w:type="fixed"/>
        <w:tblLook w:firstRow="0" w:lastRow="0" w:firstColumn="0" w:lastColumn="0" w:noHBand="0" w:noVBand="0" w:val="0000"/>
      </w:tblPr>
      <w:tblGrid>
        <w:gridCol w:w="7920"/>
      </w:tblGrid>
      <w:tr>
        <w:tc>
          <w:tcPr/>
          <w:bookmarkStart w:id="29" w:name="tbl-loss-by-bmi"/>
          <w:p>
            <w:pPr>
              <w:jc w:val="center"/>
            </w:pPr>
            <w:pPr>
              <w:jc w:val="start"/>
              <w:spacing w:before="200"/>
              <w:pStyle w:val="ImageCaption"/>
            </w:pPr>
            <w:r>
              <w:t xml:space="preserve">Table S 6. Mean (95% CI) weight lost from pre-war to enrolment by pre-war BMI category, in kilograms and as a percentage of pre-war weight, with the number underweight (BMI &lt; 18.5 kg/m2) at enrolment.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720"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Underweight</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 = 3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95% CI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Normal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 = 118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95% CI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Overweight</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 = 145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95% CI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Obese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 = 168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95% CI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p>
              </w:tc>
            </w:tr>
            <w:tr>
              <w:trPr>
                <w:trHeight w:val="473"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Weight lost, kg</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5.6 (-2.9 to 14.0)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7.2 (6.1 to 8.3)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12.7 (11.6 to 13.8)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18.0 (16.6 to 19.5)</w:t>
                  </w:r>
                </w:p>
              </w:tc>
            </w:tr>
            <w:tr>
              <w:trPr>
                <w:trHeight w:val="4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Weight lost, % of pre-war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11.4 (-5.2 to 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11.0 (9.4 to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16.2 (14.9 to 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18.4 (17.1 to 19.7)</w:t>
                  </w:r>
                </w:p>
              </w:tc>
            </w:tr>
            <w:tr>
              <w:trPr>
                <w:trHeight w:val="473"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Underweight at enrolment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 / 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27 / 118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5 / 145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0 / 168</w:t>
                  </w:r>
                </w:p>
              </w:tc>
            </w:tr>
            <w:tr>
              <w:trPr>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16"/>
                      <w:szCs w:val="16"/>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Mean; n / N</w:t>
                  </w:r>
                </w:p>
              </w:tc>
            </w:tr>
            <w:tr>
              <w:trPr>
                <w:trHeight w:val="360" w:hRule="auto"/>
              </w:trPr>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Abbreviation: CI = Confidence Interval</w:t>
                  </w:r>
                </w:p>
              </w:tc>
            </w:tr>
          </w:tbl>
          <w:bookmarkEnd w:id="29"/>
        </w:tc>
      </w:tr>
    </w:tbl>
    <w:tbl>
      <w:tblPr>
        <w:tblStyle w:val="Table"/>
        <w:tblW w:type="pct" w:w="5000"/>
        <w:tblLayout w:type="fixed"/>
        <w:tblLook w:firstRow="0" w:lastRow="0" w:firstColumn="0" w:lastColumn="0" w:noHBand="0" w:noVBand="0" w:val="0000"/>
      </w:tblPr>
      <w:tblGrid>
        <w:gridCol w:w="7920"/>
      </w:tblGrid>
      <w:tr>
        <w:tc>
          <w:tcPr/>
          <w:bookmarkStart w:id="33" w:name="fig-bmi-pyramid"/>
          <w:p>
            <w:pPr>
              <w:pStyle w:val="Compact"/>
              <w:jc w:val="center"/>
            </w:pPr>
            <w:r>
              <w:drawing>
                <wp:inline>
                  <wp:extent cx="5334000" cy="3000375"/>
                  <wp:effectExtent b="0" l="0" r="0" t="0"/>
                  <wp:docPr descr="" title="" id="31" name="Picture"/>
                  <a:graphic>
                    <a:graphicData uri="http://schemas.openxmlformats.org/drawingml/2006/picture">
                      <pic:pic>
                        <pic:nvPicPr>
                          <pic:cNvPr descr="supplement_files/figure-docx/fig-bmi-pyramid-1.png" id="32"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S 1. Participants by BMI category, age band and sex, pre-war (recalled) and at enrolment (measured).</w:t>
            </w:r>
          </w:p>
          <w:bookmarkEnd w:id="33"/>
        </w:tc>
      </w:tr>
    </w:tbl>
    <w:bookmarkEnd w:id="34"/>
    <w:bookmarkEnd w:id="35"/>
    <w:bookmarkStart w:id="45" w:name="mean-median-and-geometric-mean-of-change"/>
    <w:p>
      <w:pPr>
        <w:pStyle w:val="Heading2"/>
      </w:pPr>
      <w:r>
        <w:t xml:space="preserve">Mean, median and geometric mean of change</w:t>
      </w:r>
    </w:p>
    <w:tbl>
      <w:tblPr>
        <w:tblStyle w:val="Table"/>
        <w:tblW w:type="pct" w:w="5000"/>
        <w:tblLayout w:type="fixed"/>
        <w:tblLook w:firstRow="0" w:lastRow="0" w:firstColumn="0" w:lastColumn="0" w:noHBand="0" w:noVBand="0" w:val="0000"/>
      </w:tblPr>
      <w:tblGrid>
        <w:gridCol w:w="7920"/>
      </w:tblGrid>
      <w:tr>
        <w:tc>
          <w:tcPr/>
          <w:bookmarkStart w:id="36" w:name="tbl-centre-comparison"/>
          <w:p>
            <w:pPr>
              <w:jc w:val="center"/>
            </w:pPr>
            <w:pPr>
              <w:jc w:val="start"/>
              <w:spacing w:before="200"/>
              <w:pStyle w:val="ImageCaption"/>
            </w:pPr>
            <w:r>
              <w:t xml:space="preserve">Table S 7. Sensitivity to the choice of summary: each mean reported in the manuscript, with the median and geometric mean of the same quantity. Mean: t-based 95% CI, except standardisation rows. Median: exact order-statistic 95% CI. Geometric mean: exp(mean log ratio of weight to pre-war weight) - 1, as a percentage, with a t-based 95% CI on the log scale; not applicable to BMI change or to percentage-point differences. Standardisation rows: as Table S12, with percentile 95% intervals from 2000 bootstrap resamples and a weighted median. Not shown: mean pre-war BMI against the 2020 survey (Table S10), which publishes means only.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Manuscript section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Quantity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Median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Geometric mean (95%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Abstract; Plain summary; Results, change over the conflict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Weight change, % of pre-war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 participants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-15.6 (-16.5 to -14.8)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-15.8 (-16.9 to -14.9)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-16.1 (-16.9 to -15.2)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Results, change over the conflict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BMI change,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 participants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-4.64 (-4.92 to -4.35)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-4.34 (-4.73 to -4.06)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Results, change over the conflict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Weight change, % of pre-war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Aug-Sep 2025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-17.6 (-18.6 to -16.6)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-17.6 (-18.9 to -16.4)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-18.0 (-19.0 to -17.0)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Results, change over the conflict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Weight change, % of pre-war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Oct-Nov 2025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-12.7 (-14.1 to -11.4)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-13.3 (-14.9 to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-13.2 (-14.6 to -11.8)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Results, reference populations; Discussion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Weight change, % of pre-war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Participants of known 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-15.6 (-16.5 to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-15.7 (-16.9 to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-16.1 (-17.0 to -15.2)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Results, reference populations; Discussion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Weight change, % of pre-war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Standardised to adults in the Gaza Strip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-14.7 (-15.6 to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-14.7 (-15.7 to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-15.1 (-16.0 to -14.2)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Results, follow-up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Weight change, % of pre-war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Single measurement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-15.3 (-16.3 to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-15.6 (-16.7 to -14.5)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-15.8 (-16.8 to -14.8)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Results, follow-up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Weight change, % of pre-war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 measurements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-16.5 (-18.1 to -14.9)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-16.8 (-18.1 to -14.4)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-17.0 (-18.6 to -15.3)</w:t>
                  </w:r>
                </w:p>
              </w:tc>
            </w:tr>
          </w:tbl>
          <w:bookmarkEnd w:id="36"/>
        </w:tc>
      </w:tr>
    </w:tbl>
    <w:bookmarkStart w:id="38" w:name="Xf8be6e7fdd55ef61b182a6346abe70a6ab5522b"/>
    <w:p>
      <w:pPr>
        <w:pStyle w:val="Heading3"/>
      </w:pPr>
      <w:r>
        <w:t xml:space="preserve">Risk factors for weight change since pre-war</w:t>
      </w:r>
    </w:p>
    <w:p>
      <w:pPr>
        <w:pStyle w:val="FirstParagraph"/>
      </w:pPr>
      <w:r>
        <w:t xml:space="preserve">Chronic condition was recorded for only 144 participants, almost all enrolling from late October, so we did not include it in the main adjusted model and analysed it separately among the participants asked.</w:t>
      </w:r>
    </w:p>
    <w:tbl>
      <w:tblPr>
        <w:tblStyle w:val="Table"/>
        <w:tblW w:type="pct" w:w="5000"/>
        <w:tblLayout w:type="fixed"/>
        <w:tblLook w:firstRow="0" w:lastRow="0" w:firstColumn="0" w:lastColumn="0" w:noHBand="0" w:noVBand="0" w:val="0000"/>
      </w:tblPr>
      <w:tblGrid>
        <w:gridCol w:w="7920"/>
      </w:tblGrid>
      <w:tr>
        <w:tc>
          <w:tcPr/>
          <w:bookmarkStart w:id="37" w:name="tbl-chronic"/>
          <w:p>
            <w:pPr>
              <w:jc w:val="center"/>
            </w:pPr>
            <w:pPr>
              <w:jc w:val="start"/>
              <w:spacing w:before="200"/>
              <w:pStyle w:val="ImageCaption"/>
            </w:pPr>
            <w:r>
              <w:t xml:space="preserve">Table S 8. Difference in weight change since pre-war for participants reporting a chronic condition, adjusted, among those who were asked.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10"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6"/>
                      <w:szCs w:val="16"/>
                      <w:color w:val="000000"/>
                    </w:rPr>
                    <w:t xml:space="preserve">% difference (95% CI)</w:t>
                  </w:r>
                </w:p>
              </w:tc>
            </w:tr>
            <w:tr>
              <w:trPr>
                <w:trHeight w:val="44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Chronic condition</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r>
            <w:tr>
              <w:trPr>
                <w:trHeight w:val="43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No chronic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w:t>
                  </w:r>
                </w:p>
              </w:tc>
            </w:tr>
            <w:tr>
              <w:trPr>
                <w:trHeight w:val="4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Chronic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-3.1 (-7.4 to 1.4)</w:t>
                  </w:r>
                </w:p>
              </w:tc>
            </w:tr>
            <w:tr>
              <w:trPr>
                <w:trHeight w:val="44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No. Obs.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139</w:t>
                  </w:r>
                </w:p>
              </w:tc>
            </w:tr>
            <w:tr>
              <w:trPr>
                <w:trHeight w:val="360" w:hRule="auto"/>
              </w:trPr>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60" w:right="6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Abbreviation: CI = Confidence Interval</w:t>
                  </w:r>
                </w:p>
              </w:tc>
            </w:tr>
          </w:tbl>
          <w:bookmarkEnd w:id="37"/>
        </w:tc>
      </w:tr>
    </w:tbl>
    <w:bookmarkEnd w:id="38"/>
    <w:bookmarkStart w:id="44" w:name="weight-change-during-follow-up"/>
    <w:p>
      <w:pPr>
        <w:pStyle w:val="Heading3"/>
      </w:pPr>
      <w:r>
        <w:t xml:space="preserve">Weight change during follow-up</w:t>
      </w:r>
    </w:p>
    <w:tbl>
      <w:tblPr>
        <w:tblStyle w:val="Table"/>
        <w:tblW w:type="pct" w:w="5000"/>
        <w:tblLayout w:type="fixed"/>
        <w:tblLook w:firstRow="0" w:lastRow="0" w:firstColumn="0" w:lastColumn="0" w:noHBand="0" w:noVBand="0" w:val="0000"/>
      </w:tblPr>
      <w:tblGrid>
        <w:gridCol w:w="7920"/>
      </w:tblGrid>
      <w:tr>
        <w:tc>
          <w:tcPr/>
          <w:bookmarkStart w:id="42" w:name="fig-followup-spanning"/>
          <w:p>
            <w:pPr>
              <w:pStyle w:val="Compact"/>
              <w:jc w:val="center"/>
            </w:pPr>
            <w:r>
              <w:drawing>
                <wp:inline>
                  <wp:extent cx="5334000" cy="3810000"/>
                  <wp:effectExtent b="0" l="0" r="0" t="0"/>
                  <wp:docPr descr="" title="" id="40" name="Picture"/>
                  <a:graphic>
                    <a:graphicData uri="http://schemas.openxmlformats.org/drawingml/2006/picture">
                      <pic:pic>
                        <pic:nvPicPr>
                          <pic:cNvPr descr="supplement_files/figure-docx/fig-followup-spanning-1.png" id="41" name="Picture"/>
                          <pic:cNvPicPr>
                            <a:picLocks noChangeArrowheads="1" noChangeAspect="1"/>
                          </pic:cNvPicPr>
                        </pic:nvPicPr>
                        <pic:blipFill>
                          <a:blip r:embed="rId39"/>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S 2. Individual trajectories of weight relative to pre-war, with the fitted population-level trajectory (line, 95% confidence band) from a smooth of calendar day. Participants measured both before and after the 10 October 2025 ceasefire (dashed line), with the model refitted to this subset. Points are filled by BMI category at enrolment (triangles: underweight), as in Figure 2 of the manuscript; larger points are each participant’s first measurement.</w:t>
            </w:r>
          </w:p>
          <w:bookmarkEnd w:id="42"/>
        </w:tc>
      </w:tr>
    </w:tbl>
    <w:tbl>
      <w:tblPr>
        <w:tblStyle w:val="Table"/>
        <w:tblW w:type="pct" w:w="5000"/>
        <w:tblLayout w:type="fixed"/>
        <w:tblLook w:firstRow="0" w:lastRow="0" w:firstColumn="0" w:lastColumn="0" w:noHBand="0" w:noVBand="0" w:val="0000"/>
      </w:tblPr>
      <w:tblGrid>
        <w:gridCol w:w="7920"/>
      </w:tblGrid>
      <w:tr>
        <w:tc>
          <w:tcPr/>
          <w:bookmarkStart w:id="43" w:name="tbl-followup-sensitivity"/>
          <w:p>
            <w:pPr>
              <w:jc w:val="center"/>
            </w:pPr>
            <w:pPr>
              <w:jc w:val="start"/>
              <w:spacing w:before="200"/>
              <w:pStyle w:val="ImageCaption"/>
            </w:pPr>
            <w:r>
              <w:t xml:space="preserve">Table S 9. Sensitivity of the fitted change in weight over follow-up to model specification and participant selection. Change: fitted weight on the last day of follow-up minus the first day, percentage points of pre-war weight (delta-method 95% CI). Main model: smooth of calendar day, linear term for day of enrolment, participant random intercept. Each other row changes one element; with participant as a fixed effect, change is averaged over participants. EDF: effective degrees of freedom of the calendar-day smooth (1 = linear).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Participants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Measurements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Days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Change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EDF</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Main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3.9 (2.6 to 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 term for day of enrolment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3.8 (2.6 to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Participant as a fixed effect (change within participants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3.8 (2.5 to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Participants measured before and after the ceasefire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3.5 (2.0 to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Participants measured over 30 days or more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 (2.3 to 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w:t>
                  </w:r>
                </w:p>
              </w:tc>
            </w:tr>
          </w:tbl>
          <w:bookmarkEnd w:id="43"/>
        </w:tc>
      </w:tr>
    </w:tbl>
    <w:bookmarkEnd w:id="44"/>
    <w:bookmarkEnd w:id="45"/>
    <w:bookmarkStart w:id="56" w:name="population-comparisons"/>
    <w:p>
      <w:pPr>
        <w:pStyle w:val="Heading2"/>
      </w:pPr>
      <w:r>
        <w:t xml:space="preserve">Population comparisons</w:t>
      </w:r>
    </w:p>
    <w:bookmarkStart w:id="50" w:name="pre-war-bmi"/>
    <w:p>
      <w:pPr>
        <w:pStyle w:val="Heading3"/>
      </w:pPr>
      <w:r>
        <w:t xml:space="preserve">Pre-war BMI</w:t>
      </w:r>
    </w:p>
    <w:bookmarkStart w:id="47" w:name="population-survey"/>
    <w:p>
      <w:pPr>
        <w:pStyle w:val="Heading4"/>
      </w:pPr>
      <w:r>
        <w:t xml:space="preserve">2020 population survey</w:t>
      </w:r>
    </w:p>
    <w:p>
      <w:pPr>
        <w:pStyle w:val="FirstParagraph"/>
      </w:pPr>
      <w:r>
        <w:t xml:space="preserve">We compared the pre-war BMI of participants aged 40-59 (the age bands with 10 or more participants) with an independent 2020 survey of a representative sample of the Gaza Strip population in this age group</w:t>
      </w:r>
      <w:r>
        <w:t xml:space="preserve"> </w:t>
      </w:r>
      <w:r>
        <w:t xml:space="preserve">(Abu Hamad et al. 2022)</w:t>
      </w:r>
      <w:r>
        <w:t xml:space="preserve">.</w:t>
      </w:r>
      <w:r>
        <w:t xml:space="preserve"> </w:t>
      </w:r>
      <w:r>
        <w:t xml:space="preserve">Participants shared a similar weight distribution; however, mean BMI was lower among women in our sample compared to the representative survey (by 2.1-2.5 kg/m</w:t>
      </w:r>
      <w:r>
        <w:rPr>
          <w:vertAlign w:val="superscript"/>
        </w:rPr>
        <w:t xml:space="preserve">2</w:t>
      </w:r>
      <w:r>
        <w:t xml:space="preserve">), and higher among men (by 1.5-2.1 kg/m</w:t>
      </w:r>
      <w:r>
        <w:rPr>
          <w:vertAlign w:val="superscript"/>
        </w:rPr>
        <w:t xml:space="preserve">2</w:t>
      </w:r>
      <w:r>
        <w:t xml:space="preserve">; Table S10).</w:t>
      </w:r>
    </w:p>
    <w:tbl>
      <w:tblPr>
        <w:tblStyle w:val="Table"/>
        <w:tblW w:type="pct" w:w="5000"/>
        <w:tblLayout w:type="fixed"/>
        <w:tblLook w:firstRow="0" w:lastRow="0" w:firstColumn="0" w:lastColumn="0" w:noHBand="0" w:noVBand="0" w:val="0000"/>
      </w:tblPr>
      <w:tblGrid>
        <w:gridCol w:w="7920"/>
      </w:tblGrid>
      <w:tr>
        <w:tc>
          <w:tcPr/>
          <w:bookmarkStart w:id="46" w:name="tbl-external"/>
          <w:p>
            <w:pPr>
              <w:jc w:val="center"/>
            </w:pPr>
            <w:pPr>
              <w:jc w:val="start"/>
              <w:spacing w:before="200"/>
              <w:pStyle w:val="ImageCaption"/>
            </w:pPr>
            <w:r>
              <w:t xml:space="preserve">Table S 10. Pre-war BMI in this study compared with a 2020 cross-sectional survey of adults aged 40 and over, by age band and sex. Men aged 60-69 (n = 2) are shown but not included in the comparison in the text.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Age band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This study,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This study, mean BMI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2020 survey, mean BMI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29.6 (5.1)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30.2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31.9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30.5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29.1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60-69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29.0 (8.6)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29.7</w:t>
                  </w:r>
                </w:p>
              </w:tc>
            </w:tr>
          </w:tbl>
          <w:bookmarkEnd w:id="46"/>
        </w:tc>
      </w:tr>
    </w:tbl>
    <w:bookmarkEnd w:id="47"/>
    <w:bookmarkStart w:id="49" w:name="ncd-risc-estimates"/>
    <w:p>
      <w:pPr>
        <w:pStyle w:val="Heading4"/>
      </w:pPr>
      <w:r>
        <w:t xml:space="preserve">NCD-RisC estimates</w:t>
      </w:r>
    </w:p>
    <w:p>
      <w:pPr>
        <w:pStyle w:val="FirstParagraph"/>
      </w:pPr>
      <w:r>
        <w:t xml:space="preserve">We compared the prevalence of underweight and obesity from recalled pre-war weight with modelled prevalence for 2022</w:t>
      </w:r>
      <w:r>
        <w:t xml:space="preserve"> </w:t>
      </w:r>
      <w:r>
        <w:t xml:space="preserve">(NCD Risk Factor Collaboration (NCD-RisC) 2026)</w:t>
      </w:r>
      <w:r>
        <w:t xml:space="preserve">.</w:t>
      </w:r>
      <w:r>
        <w:t xml:space="preserve"> </w:t>
      </w:r>
      <w:r>
        <w:t xml:space="preserve">For Palestine we used estimates by sex and 5-year age group, weighted to participants’ ages; for the world, age-standardised estimates by sex.</w:t>
      </w:r>
      <w:r>
        <w:t xml:space="preserve"> </w:t>
      </w:r>
      <w:r>
        <w:t xml:space="preserve">We used point estimates only.</w:t>
      </w:r>
      <w:r>
        <w:t xml:space="preserve"> </w:t>
      </w:r>
      <w:r>
        <w:t xml:space="preserve">Estimates for Palestine include the West Bank.</w:t>
      </w:r>
    </w:p>
    <w:p>
      <w:pPr>
        <w:pStyle w:val="BodyText"/>
      </w:pPr>
      <w:r>
        <w:t xml:space="preserve">Among women, we observed similar prevalence of underweight (1.3% in our sample, against 1.4% in the modelled estimate), and lower prevalence of obese BMI (38% and 45% respectively).</w:t>
      </w:r>
      <w:r>
        <w:t xml:space="preserve"> </w:t>
      </w:r>
      <w:r>
        <w:t xml:space="preserve">Among men, our sample had lower prevalence of underweight (0%, against 2%), but higher prevalence of obese BMI (37%, against 29%), compared to the modelled estimate.</w:t>
      </w:r>
    </w:p>
    <w:tbl>
      <w:tblPr>
        <w:tblStyle w:val="Table"/>
        <w:tblW w:type="pct" w:w="5000"/>
        <w:tblLayout w:type="fixed"/>
        <w:tblLook w:firstRow="0" w:lastRow="0" w:firstColumn="0" w:lastColumn="0" w:noHBand="0" w:noVBand="0" w:val="0000"/>
      </w:tblPr>
      <w:tblGrid>
        <w:gridCol w:w="7920"/>
      </w:tblGrid>
      <w:tr>
        <w:tc>
          <w:tcPr/>
          <w:bookmarkStart w:id="48" w:name="tbl-prewar-reference"/>
          <w:p>
            <w:pPr>
              <w:jc w:val="center"/>
            </w:pPr>
            <w:pPr>
              <w:jc w:val="start"/>
              <w:spacing w:before="200"/>
              <w:pStyle w:val="ImageCaption"/>
            </w:pPr>
            <w:r>
              <w:t xml:space="preserve">Table S 11. Underweight (BMI &lt; 18.5 kg/m2) and obesity (BMI of 30 kg/m2 or more) from recalled pre-war weight, compared with NCD-RisC modelled prevalence for 2022. Palestine: by sex and 5-year age group, weighted to participants’ ages; includes the West Bank. World: by sex, age-standardised. Both sexes are weighted to participants’ sex mix.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Underweight, %: recalled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Underweight, %: Palestine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Underweight, %: world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Obese, %: recalled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Obese, %: Palestine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Obese, %: world</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Both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14.7</w:t>
                  </w:r>
                </w:p>
              </w:tc>
            </w:tr>
          </w:tbl>
          <w:bookmarkEnd w:id="48"/>
        </w:tc>
      </w:tr>
    </w:tbl>
    <w:bookmarkEnd w:id="49"/>
    <w:bookmarkEnd w:id="50"/>
    <w:bookmarkStart w:id="55" w:name="adult-weight-change"/>
    <w:p>
      <w:pPr>
        <w:pStyle w:val="Heading3"/>
      </w:pPr>
      <w:r>
        <w:t xml:space="preserve">Adult weight change</w:t>
      </w:r>
    </w:p>
    <w:bookmarkStart w:id="52" w:name="Xf4566d5c81f88f3078e85d8c73463ba3854b4b5"/>
    <w:p>
      <w:pPr>
        <w:pStyle w:val="Heading4"/>
      </w:pPr>
      <w:r>
        <w:t xml:space="preserve">Change since pre-war standardised to adults in the Gaza Strip</w:t>
      </w:r>
    </w:p>
    <w:p>
      <w:pPr>
        <w:pStyle w:val="FirstParagraph"/>
      </w:pPr>
      <w:r>
        <w:t xml:space="preserve">We asked what mean weight change, mean BMI change and the prevalence of underweight at enrolment would be among adults in the Gaza Strip, if each sex and age group had the mean observed among study participants of that group.</w:t>
      </w:r>
      <w:r>
        <w:t xml:space="preserve"> </w:t>
      </w:r>
      <w:r>
        <w:t xml:space="preserve">We used direct standardisation, as the mean within each sex and age group (under 30, 30-45, over 45), weighted by that group’s share of the population.</w:t>
      </w:r>
      <w:r>
        <w:t xml:space="preserve"> </w:t>
      </w:r>
      <w:r>
        <w:t xml:space="preserve">The population was the projected mid-2025 population of the Gaza Strip aged 18-65, by sex and single year of age, from the December 2025 release of the International Database</w:t>
      </w:r>
      <w:r>
        <w:t xml:space="preserve"> </w:t>
      </w:r>
      <w:r>
        <w:t xml:space="preserve">(U.S. Census Bureau 2025)</w:t>
      </w:r>
      <w:r>
        <w:t xml:space="preserve">.</w:t>
      </w:r>
      <w:r>
        <w:t xml:space="preserve"> </w:t>
      </w:r>
      <w:r>
        <w:t xml:space="preserve">It is projected from the 2017 census and is not adjusted for deaths or displacement during the war.</w:t>
      </w:r>
      <w:r>
        <w:t xml:space="preserve"> </w:t>
      </w:r>
      <w:r>
        <w:t xml:space="preserve">Participants were aged 19-65.</w:t>
      </w:r>
      <w:r>
        <w:t xml:space="preserve"> </w:t>
      </w:r>
      <w:r>
        <w:t xml:space="preserve">We excluded 17 participants with no recorded age (n = 417).</w:t>
      </w:r>
      <w:r>
        <w:t xml:space="preserve"> </w:t>
      </w:r>
      <w:r>
        <w:t xml:space="preserve">We took 95% intervals as percentiles of 2000 bootstrap resamples of participants, holding population shares fixed.</w:t>
      </w:r>
    </w:p>
    <w:tbl>
      <w:tblPr>
        <w:tblStyle w:val="Table"/>
        <w:tblW w:type="pct" w:w="5000"/>
        <w:tblLayout w:type="fixed"/>
        <w:tblLook w:firstRow="0" w:lastRow="0" w:firstColumn="0" w:lastColumn="0" w:noHBand="0" w:noVBand="0" w:val="0000"/>
      </w:tblPr>
      <w:tblGrid>
        <w:gridCol w:w="7920"/>
      </w:tblGrid>
      <w:tr>
        <w:tc>
          <w:tcPr/>
          <w:bookmarkStart w:id="51" w:name="tbl-standardised"/>
          <w:p>
            <w:pPr>
              <w:jc w:val="center"/>
            </w:pPr>
            <w:pPr>
              <w:jc w:val="start"/>
              <w:spacing w:before="200"/>
              <w:pStyle w:val="ImageCaption"/>
            </w:pPr>
            <w:r>
              <w:t xml:space="preserve">Table S 12. Change from pre-war to enrolment and underweight (BMI &lt; 18.5 kg/m2) at enrolment, by sex and age group, among participants and standardised to adults in the Gaza Strip. Standardised: the mean in each sex and age group, weighted by that group’s share of the projected mid-2025 population aged 18-65 (US Census Bureau International Database), which is not adjusted for deaths or displacement during the war. 95% intervals from 2000 bootstrap resamples of participants, with population shares held fixed.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Sex and 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Participants, 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Adults in the Gaza Strip,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Weight change, % of pre-war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BMI change, kg/m2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Underweight at enrolment,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 under 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47 (11%)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 30-45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113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Female, over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67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Male, under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44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Male, 30-45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96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Male, over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50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All participants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417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-15.6 (-16.5 to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-4.64 (-4.94 to -4.34)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8.4 (5.8 to 11.3)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Standardised to adults in the Gaza Strip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-14.7 (-15.6 to -13.8)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-4.20 (-4.48 to -3.94)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11.6 (7.9 to 15.6)</w:t>
                  </w:r>
                </w:p>
              </w:tc>
            </w:tr>
          </w:tbl>
          <w:bookmarkEnd w:id="51"/>
        </w:tc>
      </w:tr>
    </w:tbl>
    <w:bookmarkEnd w:id="52"/>
    <w:bookmarkStart w:id="54" w:name="comparable-estimates-of-change"/>
    <w:p>
      <w:pPr>
        <w:pStyle w:val="Heading4"/>
      </w:pPr>
      <w:r>
        <w:t xml:space="preserve">Comparable estimates of change</w:t>
      </w:r>
    </w:p>
    <w:p>
      <w:pPr>
        <w:pStyle w:val="FirstParagraph"/>
      </w:pPr>
      <w:r>
        <w:t xml:space="preserve">We compared weight change in this study with other studies of adults in the Gaza Strip since October 2023 that reported weight before and during the war</w:t>
      </w:r>
      <w:r>
        <w:t xml:space="preserve"> </w:t>
      </w:r>
      <w:r>
        <w:t xml:space="preserve">(Alnabih et al. 2024; Faris et al. 2025)</w:t>
      </w:r>
      <w:r>
        <w:t xml:space="preserve">.</w:t>
      </w:r>
    </w:p>
    <w:tbl>
      <w:tblPr>
        <w:tblStyle w:val="Table"/>
        <w:tblW w:type="pct" w:w="5000"/>
        <w:tblLayout w:type="fixed"/>
        <w:tblLook w:firstRow="0" w:lastRow="0" w:firstColumn="0" w:lastColumn="0" w:noHBand="0" w:noVBand="0" w:val="0000"/>
      </w:tblPr>
      <w:tblGrid>
        <w:gridCol w:w="7920"/>
      </w:tblGrid>
      <w:tr>
        <w:tc>
          <w:tcPr/>
          <w:bookmarkStart w:id="53" w:name="tbl-literature"/>
          <w:p>
            <w:pPr>
              <w:jc w:val="center"/>
            </w:pPr>
            <w:pPr>
              <w:jc w:val="start"/>
              <w:spacing w:before="200"/>
              <w:pStyle w:val="ImageCaption"/>
            </w:pPr>
            <w:r>
              <w:t xml:space="preserve">Table S 13. Studies of weight change among adults in the Gaza Strip since October 2023. Weights and BMI are sample means. Loss is the difference between mean pre-war and mean current weight, as a percentage of mean pre-war weight, for comparability with the published studies; the mean of individual percentage changes in this study is reported in the manuscript. Alnabih et al.: no height recorded, so no BMI.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Study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Period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Population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Women,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Pre-war weight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Current weight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 weight, kg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Loss,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 BMI, kg/m2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Underweight now,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Alnabih et al. 2024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April 2024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Residents of North Gaza and Gaza City, recruited in shelters and markets (convenience)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13-83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Self-reported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Measured by study team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84.9 to 66.2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Faris et al. 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May-July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Households in all five governorates (convenience)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 38.0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Self-reported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Self-reported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74.8 to 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26.4 to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This study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 July to 13 November 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Staff of UNRWA and SCI (self-selected)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mean 38.8 years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Self-reported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Self-measured on calibrated scales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80.8 to 67.6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28.6 to 23.9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8.1</w:t>
                  </w:r>
                </w:p>
              </w:tc>
            </w:tr>
          </w:tbl>
          <w:bookmarkEnd w:id="53"/>
        </w:tc>
      </w:tr>
    </w:tbl>
    <w:bookmarkEnd w:id="54"/>
    <w:bookmarkEnd w:id="55"/>
    <w:bookmarkEnd w:id="56"/>
    <w:bookmarkStart w:id="69" w:name="study-materials"/>
    <w:p>
      <w:pPr>
        <w:pStyle w:val="Heading2"/>
      </w:pPr>
      <w:r>
        <w:t xml:space="preserve">Study materials</w:t>
      </w:r>
    </w:p>
    <w:bookmarkStart w:id="68" w:name="survey-questionnaires"/>
    <w:p>
      <w:pPr>
        <w:pStyle w:val="Heading3"/>
      </w:pPr>
      <w:r>
        <w:t xml:space="preserve">Survey questionnaires</w:t>
      </w:r>
    </w:p>
    <w:p>
      <w:pPr>
        <w:pStyle w:val="FirstParagraph"/>
      </w:pPr>
      <w:r>
        <w:t xml:space="preserve">[TODO: add enrolment and follow-up survey forms]</w:t>
      </w:r>
    </w:p>
    <w:bookmarkStart w:id="67" w:name="refs"/>
    <w:bookmarkStart w:id="58" w:name="ref-abuhamadHypertensionCascadeCare2022"/>
    <w:p>
      <w:pPr>
        <w:pStyle w:val="Bibliography"/>
      </w:pPr>
      <w:r>
        <w:t xml:space="preserve">Abu Hamad, B. A., Z. Jamaluddine, G. Safadi, M.-E. Ragi, R. E. S. Ahmad, E. P. Vamos, et al. 2022.</w:t>
      </w:r>
      <w:r>
        <w:t xml:space="preserve"> </w:t>
      </w:r>
      <w:r>
        <w:t xml:space="preserve">“The Hypertension Cascade of Care in the Midst of Conflict: The Case of the</w:t>
      </w:r>
      <w:r>
        <w:t xml:space="preserve"> </w:t>
      </w:r>
      <w:r>
        <w:t xml:space="preserve">Gaza Strip</w:t>
      </w:r>
      <w:r>
        <w:t xml:space="preserve">.”</w:t>
      </w:r>
      <w:r>
        <w:t xml:space="preserve"> </w:t>
      </w:r>
      <w:r>
        <w:rPr>
          <w:i/>
          <w:iCs/>
        </w:rPr>
        <w:t xml:space="preserve">Journal of Human Hypertension</w:t>
      </w:r>
      <w:r>
        <w:t xml:space="preserve"> </w:t>
      </w:r>
      <w:r>
        <w:t xml:space="preserve">37: 957–68.</w:t>
      </w:r>
      <w:r>
        <w:t xml:space="preserve"> </w:t>
      </w:r>
      <w:hyperlink r:id="rId57">
        <w:r>
          <w:rPr>
            <w:rStyle w:val="Hyperlink"/>
          </w:rPr>
          <w:t xml:space="preserve">https://doi.org/10.1038/s41371-022-00783-w</w:t>
        </w:r>
      </w:hyperlink>
      <w:r>
        <w:t xml:space="preserve">.</w:t>
      </w:r>
    </w:p>
    <w:bookmarkEnd w:id="58"/>
    <w:bookmarkStart w:id="60" w:name="ref-alnabihFoodInsecurityWeight2024"/>
    <w:p>
      <w:pPr>
        <w:pStyle w:val="Bibliography"/>
      </w:pPr>
      <w:r>
        <w:t xml:space="preserve">Alnabih, Asem, Nour-Alhuda Alnabeh, Yousef Aljeesh, and Belal Aldabbour. 2024.</w:t>
      </w:r>
      <w:r>
        <w:t xml:space="preserve"> </w:t>
      </w:r>
      <w:r>
        <w:t xml:space="preserve">“Food Insecurity and Weight Loss During Wartime: A Mixed-Design Study from the</w:t>
      </w:r>
      <w:r>
        <w:t xml:space="preserve"> </w:t>
      </w:r>
      <w:r>
        <w:t xml:space="preserve">Gaza Strip</w:t>
      </w:r>
      <w:r>
        <w:t xml:space="preserve">.”</w:t>
      </w:r>
      <w:r>
        <w:t xml:space="preserve"> </w:t>
      </w:r>
      <w:r>
        <w:rPr>
          <w:i/>
          <w:iCs/>
        </w:rPr>
        <w:t xml:space="preserve">Journal of Health, Population and Nutrition</w:t>
      </w:r>
      <w:r>
        <w:t xml:space="preserve"> </w:t>
      </w:r>
      <w:r>
        <w:t xml:space="preserve">43 (1): 222.</w:t>
      </w:r>
      <w:r>
        <w:t xml:space="preserve"> </w:t>
      </w:r>
      <w:hyperlink r:id="rId59">
        <w:r>
          <w:rPr>
            <w:rStyle w:val="Hyperlink"/>
          </w:rPr>
          <w:t xml:space="preserve">https://doi.org/10.1186/s41043-024-00700-6</w:t>
        </w:r>
      </w:hyperlink>
      <w:r>
        <w:t xml:space="preserve">.</w:t>
      </w:r>
    </w:p>
    <w:bookmarkEnd w:id="60"/>
    <w:bookmarkStart w:id="62" w:name="ref-farisCatastrophicFamineGaza2025"/>
    <w:p>
      <w:pPr>
        <w:pStyle w:val="Bibliography"/>
      </w:pPr>
      <w:r>
        <w:t xml:space="preserve">Faris, M., A. S. Abutair, R. M. Elfarra, N. A. Barqawi, A. M. Firwana, R. M. Firwana, et al. 2025.</w:t>
      </w:r>
      <w:r>
        <w:t xml:space="preserve"> </w:t>
      </w:r>
      <w:r>
        <w:t xml:space="preserve">“Catastrophic Famine in</w:t>
      </w:r>
      <w:r>
        <w:t xml:space="preserve"> </w:t>
      </w:r>
      <w:r>
        <w:t xml:space="preserve">Gaza</w:t>
      </w:r>
      <w:r>
        <w:t xml:space="preserve">:</w:t>
      </w:r>
      <w:r>
        <w:t xml:space="preserve"> </w:t>
      </w:r>
      <w:r>
        <w:t xml:space="preserve">Unprecedented</w:t>
      </w:r>
      <w:r>
        <w:t xml:space="preserve"> </w:t>
      </w:r>
      <w:r>
        <w:t xml:space="preserve">Levels of Hunger Post-</w:t>
      </w:r>
      <w:r>
        <w:t xml:space="preserve">October</w:t>
      </w:r>
      <w:r>
        <w:t xml:space="preserve"> </w:t>
      </w:r>
      <w:r>
        <w:t xml:space="preserve">7th.</w:t>
      </w:r>
      <w:r>
        <w:t xml:space="preserve"> </w:t>
      </w:r>
      <w:r>
        <w:t xml:space="preserve">A</w:t>
      </w:r>
      <w:r>
        <w:t xml:space="preserve"> </w:t>
      </w:r>
      <w:r>
        <w:t xml:space="preserve">Real Population-Based Study from the</w:t>
      </w:r>
      <w:r>
        <w:t xml:space="preserve"> </w:t>
      </w:r>
      <w:r>
        <w:t xml:space="preserve">Gaza Strip</w:t>
      </w:r>
      <w:r>
        <w:t xml:space="preserve">.”</w:t>
      </w:r>
      <w:r>
        <w:t xml:space="preserve"> </w:t>
      </w:r>
      <w:r>
        <w:rPr>
          <w:i/>
          <w:iCs/>
        </w:rPr>
        <w:t xml:space="preserve">PLoS One</w:t>
      </w:r>
      <w:r>
        <w:t xml:space="preserve"> </w:t>
      </w:r>
      <w:r>
        <w:t xml:space="preserve">20: e0309854.</w:t>
      </w:r>
      <w:r>
        <w:t xml:space="preserve"> </w:t>
      </w:r>
      <w:hyperlink r:id="rId61">
        <w:r>
          <w:rPr>
            <w:rStyle w:val="Hyperlink"/>
          </w:rPr>
          <w:t xml:space="preserve">https://doi.org/10.1371/journal.pone.0309854</w:t>
        </w:r>
      </w:hyperlink>
      <w:r>
        <w:t xml:space="preserve">.</w:t>
      </w:r>
    </w:p>
    <w:bookmarkEnd w:id="62"/>
    <w:bookmarkStart w:id="64" w:name="ref-ncdriscObesityRisePlateaus2026"/>
    <w:p>
      <w:pPr>
        <w:pStyle w:val="Bibliography"/>
      </w:pPr>
      <w:r>
        <w:t xml:space="preserve">NCD Risk Factor Collaboration (NCD-RisC). 2026.</w:t>
      </w:r>
      <w:r>
        <w:t xml:space="preserve"> </w:t>
      </w:r>
      <w:r>
        <w:t xml:space="preserve">“Obesity Rise Plateaus in Developed Nations and Accelerates in Developing Nations.”</w:t>
      </w:r>
      <w:r>
        <w:t xml:space="preserve"> </w:t>
      </w:r>
      <w:r>
        <w:rPr>
          <w:i/>
          <w:iCs/>
        </w:rPr>
        <w:t xml:space="preserve">Nature</w:t>
      </w:r>
      <w:r>
        <w:t xml:space="preserve"> </w:t>
      </w:r>
      <w:r>
        <w:t xml:space="preserve">653: 510–18.</w:t>
      </w:r>
      <w:r>
        <w:t xml:space="preserve"> </w:t>
      </w:r>
      <w:hyperlink r:id="rId63">
        <w:r>
          <w:rPr>
            <w:rStyle w:val="Hyperlink"/>
          </w:rPr>
          <w:t xml:space="preserve">https://doi.org/10.1038/s41586-026-10383-0</w:t>
        </w:r>
      </w:hyperlink>
      <w:r>
        <w:t xml:space="preserve">.</w:t>
      </w:r>
    </w:p>
    <w:bookmarkEnd w:id="64"/>
    <w:bookmarkStart w:id="66" w:name="Xf8bfb4cea697c96d4f66629ca4567ee0393575f"/>
    <w:p>
      <w:pPr>
        <w:pStyle w:val="Bibliography"/>
      </w:pPr>
      <w:r>
        <w:t xml:space="preserve">U.S. Census Bureau. 2025.</w:t>
      </w:r>
      <w:r>
        <w:t xml:space="preserve"> </w:t>
      </w:r>
      <w:r>
        <w:t xml:space="preserve">“International Database, December 2025 Release.”</w:t>
      </w:r>
      <w:r>
        <w:t xml:space="preserve"> </w:t>
      </w:r>
      <w:hyperlink r:id="rId65">
        <w:r>
          <w:rPr>
            <w:rStyle w:val="Hyperlink"/>
          </w:rPr>
          <w:t xml:space="preserve">https://www.census.gov/programs-surveys/international-programs/about/idb.html</w:t>
        </w:r>
      </w:hyperlink>
      <w:r>
        <w:t xml:space="preserve">.</w:t>
      </w:r>
    </w:p>
    <w:bookmarkEnd w:id="66"/>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hyperlink" Id="rId57" Target="https://doi.org/10.1038/s41371-022-00783-w" TargetMode="External" /><Relationship Type="http://schemas.openxmlformats.org/officeDocument/2006/relationships/hyperlink" Id="rId63" Target="https://doi.org/10.1038/s41586-026-10383-0" TargetMode="External" /><Relationship Type="http://schemas.openxmlformats.org/officeDocument/2006/relationships/hyperlink" Id="rId59" Target="https://doi.org/10.1186/s41043-024-00700-6" TargetMode="External" /><Relationship Type="http://schemas.openxmlformats.org/officeDocument/2006/relationships/hyperlink" Id="rId61" Target="https://doi.org/10.1371/journal.pone.0309854" TargetMode="External" /><Relationship Type="http://schemas.openxmlformats.org/officeDocument/2006/relationships/hyperlink" Id="rId65" Target="https://www.census.gov/programs-surveys/international-programs/about/idb.html" TargetMode="External" /></Relationships>
</file>

<file path=word/_rels/footnotes.xml.rels><?xml version="1.0" encoding="UTF-8"?><Relationships xmlns="http://schemas.openxmlformats.org/package/2006/relationships"><Relationship Type="http://schemas.openxmlformats.org/officeDocument/2006/relationships/hyperlink" Id="rId57" Target="https://doi.org/10.1038/s41371-022-00783-w" TargetMode="External" /><Relationship Type="http://schemas.openxmlformats.org/officeDocument/2006/relationships/hyperlink" Id="rId63" Target="https://doi.org/10.1038/s41586-026-10383-0" TargetMode="External" /><Relationship Type="http://schemas.openxmlformats.org/officeDocument/2006/relationships/hyperlink" Id="rId59" Target="https://doi.org/10.1186/s41043-024-00700-6" TargetMode="External" /><Relationship Type="http://schemas.openxmlformats.org/officeDocument/2006/relationships/hyperlink" Id="rId61" Target="https://doi.org/10.1371/journal.pone.0309854" TargetMode="External" /><Relationship Type="http://schemas.openxmlformats.org/officeDocument/2006/relationships/hyperlink" Id="rId65" Target="https://www.census.gov/programs-surveys/international-programs/about/idb.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
  <cp:keywords/>
  <dcterms:created xsi:type="dcterms:W3CDTF">2026-10-25T05:47:40Z</dcterms:created>
  <dcterms:modified xsi:type="dcterms:W3CDTF">2026-10-25T05:47:40Z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gaza.bib</vt:lpwstr>
  </property>
  <property fmtid="{D5CDD505-2E9C-101B-9397-08002B2CF9AE}" pid="4" name="crossref">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Participatory surveillance of adult weight among humanitarian staff in the Gaza Strip, 2025</vt:lpwstr>
  </property>
  <property fmtid="{D5CDD505-2E9C-101B-9397-08002B2CF9AE}" pid="11" name="toc-title">
    <vt:lpwstr>Table of contents</vt:lpwstr>
  </property>
</Properties>
</file>