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A844A" w14:textId="77777777" w:rsidR="00A23A3C" w:rsidRDefault="00000000">
      <w:pPr>
        <w:pStyle w:val="Title"/>
      </w:pPr>
      <w:r>
        <w:t>Institutional Support for Emergency Research Responses</w:t>
      </w:r>
    </w:p>
    <w:p w14:paraId="2191F12A" w14:textId="77777777" w:rsidR="00A23A3C" w:rsidRDefault="00000000">
      <w:pPr>
        <w:pStyle w:val="Author"/>
      </w:pPr>
      <w:r>
        <w:t>Sebastian Funk</w:t>
      </w:r>
    </w:p>
    <w:p w14:paraId="76DD897C" w14:textId="77777777" w:rsidR="00A23A3C" w:rsidRDefault="00000000">
      <w:pPr>
        <w:pStyle w:val="Author"/>
      </w:pPr>
      <w:r>
        <w:t>Katharine Sherratt</w:t>
      </w:r>
    </w:p>
    <w:p w14:paraId="2BF040DA" w14:textId="77777777" w:rsidR="00A23A3C" w:rsidRDefault="00000000">
      <w:pPr>
        <w:pStyle w:val="Author"/>
      </w:pPr>
      <w:r>
        <w:t>Kathleen O’Reilly</w:t>
      </w:r>
    </w:p>
    <w:p w14:paraId="3AF4A6C4" w14:textId="77777777" w:rsidR="00A23A3C" w:rsidRDefault="00000000">
      <w:pPr>
        <w:pStyle w:val="Author"/>
      </w:pPr>
      <w:r>
        <w:t>Sam Abbott</w:t>
      </w:r>
    </w:p>
    <w:p w14:paraId="7D12CA1C" w14:textId="69217BF0" w:rsidR="00A23A3C" w:rsidRDefault="00000000" w:rsidP="00C266EB">
      <w:pPr>
        <w:pStyle w:val="Author"/>
      </w:pPr>
      <w:r>
        <w:t>Roz Eggo</w:t>
      </w:r>
    </w:p>
    <w:p w14:paraId="6BC3148C" w14:textId="77777777" w:rsidR="00A23A3C" w:rsidRDefault="00000000">
      <w:pPr>
        <w:pStyle w:val="Heading1"/>
      </w:pPr>
      <w:bookmarkStart w:id="0" w:name="rationale-and-context"/>
      <w:bookmarkStart w:id="1" w:name="_Toc221100194"/>
      <w:r>
        <w:t>Rationale and context</w:t>
      </w:r>
      <w:bookmarkEnd w:id="1"/>
    </w:p>
    <w:p w14:paraId="35F8371F" w14:textId="77777777" w:rsidR="00A23A3C" w:rsidRDefault="00000000">
      <w:pPr>
        <w:pStyle w:val="FirstParagraph"/>
      </w:pPr>
      <w:r>
        <w:t xml:space="preserve">LSHTM has a substantial history in supporting the response to acute infectious disease outbreaks nationally and internationally. In the 2021 REF, LSHTM scored first on impact, with three of the 20 </w:t>
      </w:r>
      <w:hyperlink r:id="rId5">
        <w:r>
          <w:rPr>
            <w:rStyle w:val="Hyperlink"/>
          </w:rPr>
          <w:t>Impact case studies</w:t>
        </w:r>
      </w:hyperlink>
      <w:r>
        <w:t xml:space="preserve"> submitted involving outbreak responses (to Ebola, Zika and COVID-19). The responses to Ebola and COVID-19 further won LSHTM two prestigious </w:t>
      </w:r>
      <w:hyperlink r:id="rId6">
        <w:r>
          <w:rPr>
            <w:rStyle w:val="Hyperlink"/>
          </w:rPr>
          <w:t>Queen’s Anniversary Prizes</w:t>
        </w:r>
      </w:hyperlink>
      <w:r>
        <w:t>. The response to COVID-19 led to the establishment of the Centre for Epidemic Preparedness and Response and unlocked some new research funding, for example through the Epiverse-TRACE project and grants for work on Electronic Health Records, as well as the development of new short courses e.g. on pandemic preparedness using R for outbreak response, all generating substantial income to the School.</w:t>
      </w:r>
    </w:p>
    <w:p w14:paraId="0E676845" w14:textId="77777777" w:rsidR="00A23A3C" w:rsidRDefault="00000000">
      <w:pPr>
        <w:pStyle w:val="BodyText"/>
      </w:pPr>
      <w:r>
        <w:t xml:space="preserve">Work on outbreak response is different from other research work because it arises spontaneously (usually in response to an ask from a national and/or international public health agency or charity), requires </w:t>
      </w:r>
      <w:hyperlink r:id="rId7">
        <w:r>
          <w:rPr>
            <w:rStyle w:val="Hyperlink"/>
          </w:rPr>
          <w:t>team work</w:t>
        </w:r>
      </w:hyperlink>
      <w:r>
        <w:t>, and is as such usually unfunded through standard mechanisms. Meanwhile, there is an ethical prerogative to respond with the best available expertise, which LSHTM is in a unique position to provide.</w:t>
      </w:r>
    </w:p>
    <w:p w14:paraId="3017E7E6" w14:textId="77777777" w:rsidR="00A23A3C" w:rsidRDefault="00000000">
      <w:pPr>
        <w:pStyle w:val="BodyText"/>
      </w:pPr>
      <w:r>
        <w:t>LSHTM has some outbreak response infrastructure through the UK Public Health Rapid Support Team (UKPHRST) providing deployed capacity, NIHR Health Protection Research Units (HPRUs) with some outbreak response mechanisms in-built, and sometimes research grants with built-in flexibility for emergency responses. These generally do not provide explicit support for staff members that are involved in the responses, and there is no clear and generally applicable mechanism for redeploying staff to active outbreak response. This means that for the vast majority of LSHTM outbreak response work, staff are individually and voluntarily choosing to contribute to outbreak response.</w:t>
      </w:r>
    </w:p>
    <w:p w14:paraId="20282B50" w14:textId="77777777" w:rsidR="00A23A3C" w:rsidRDefault="00000000">
      <w:pPr>
        <w:pStyle w:val="BodyText"/>
      </w:pPr>
      <w:r>
        <w:t xml:space="preserve">LSHTM does not have a sustainable infrastructure to repeat the success of previous outbreak work. A workshop held in 2023 and co-funded by LSHTM brought together members of the UK infectious disease modelling community in order to reflect specifically on the modelling response to COVID-19 and lessons that could be learned to improve </w:t>
      </w:r>
      <w:r>
        <w:lastRenderedPageBreak/>
        <w:t xml:space="preserve">preparedness for future events. The resulting </w:t>
      </w:r>
      <w:hyperlink r:id="rId8">
        <w:r>
          <w:rPr>
            <w:rStyle w:val="Hyperlink"/>
          </w:rPr>
          <w:t>report</w:t>
        </w:r>
      </w:hyperlink>
      <w:r>
        <w:t xml:space="preserve"> identified lack of institutional support, particularly for early-career researchers, as a key theme, specifically:</w:t>
      </w:r>
    </w:p>
    <w:p w14:paraId="40125DDA" w14:textId="77777777" w:rsidR="00A23A3C" w:rsidRDefault="00000000">
      <w:pPr>
        <w:pStyle w:val="Compact"/>
        <w:numPr>
          <w:ilvl w:val="0"/>
          <w:numId w:val="2"/>
        </w:numPr>
      </w:pPr>
      <w:r>
        <w:t>lack of clear processes for responding to emergencies, resulting in both inefficiencies and inequalities in the response</w:t>
      </w:r>
    </w:p>
    <w:p w14:paraId="1BA73A1B" w14:textId="77777777" w:rsidR="00A23A3C" w:rsidRDefault="00000000">
      <w:pPr>
        <w:pStyle w:val="Compact"/>
        <w:numPr>
          <w:ilvl w:val="0"/>
          <w:numId w:val="2"/>
        </w:numPr>
      </w:pPr>
      <w:r>
        <w:t>contract insecurity and inflexible funding rules</w:t>
      </w:r>
    </w:p>
    <w:p w14:paraId="796CE357" w14:textId="77777777" w:rsidR="00A23A3C" w:rsidRDefault="00000000">
      <w:pPr>
        <w:pStyle w:val="Compact"/>
        <w:numPr>
          <w:ilvl w:val="0"/>
          <w:numId w:val="2"/>
        </w:numPr>
      </w:pPr>
      <w:r>
        <w:t>competing demands with research and teaching</w:t>
      </w:r>
    </w:p>
    <w:p w14:paraId="615A7006" w14:textId="77777777" w:rsidR="00A23A3C" w:rsidRDefault="00000000">
      <w:pPr>
        <w:pStyle w:val="Compact"/>
        <w:numPr>
          <w:ilvl w:val="0"/>
          <w:numId w:val="2"/>
        </w:numPr>
      </w:pPr>
      <w:r>
        <w:t>inadequate structural rewards, with strong disincentives (including where outbreak work prevents career progression in the absence of public outputs)</w:t>
      </w:r>
    </w:p>
    <w:p w14:paraId="658873EA" w14:textId="77777777" w:rsidR="00A23A3C" w:rsidRDefault="00000000">
      <w:pPr>
        <w:pStyle w:val="FirstParagraph"/>
      </w:pPr>
      <w:r>
        <w:t xml:space="preserve">A follow-up </w:t>
      </w:r>
      <w:hyperlink r:id="rId9">
        <w:r>
          <w:rPr>
            <w:rStyle w:val="Hyperlink"/>
          </w:rPr>
          <w:t>survey</w:t>
        </w:r>
      </w:hyperlink>
      <w:r>
        <w:t xml:space="preserve"> among participants revealed that little action was perceived to have been taken to improve these aspects. Furthermore, none of them are addressed by e.g. by the pandemic preparedness component in the HPRUs.</w:t>
      </w:r>
    </w:p>
    <w:p w14:paraId="3ED3BAC4" w14:textId="77777777" w:rsidR="00A23A3C" w:rsidRDefault="00000000">
      <w:pPr>
        <w:pStyle w:val="BodyText"/>
      </w:pPr>
      <w:r>
        <w:t>The recent initiation of Exercise Pegasus, a Tier 1 government exercise to test mechanisms for pandemic preparedness, and associated requests to LSHTM staff members to contribute to this provides an opportunity to reflect on and improve institutional structures at LSHTM in order to improve the way LSHTM supports outbreak response work.</w:t>
      </w:r>
    </w:p>
    <w:p w14:paraId="5BB0B41D" w14:textId="77777777" w:rsidR="00A23A3C" w:rsidRDefault="00000000">
      <w:pPr>
        <w:pStyle w:val="Heading1"/>
      </w:pPr>
      <w:bookmarkStart w:id="2" w:name="Xe922b14c39f27f07a8cc139671867605a94708a"/>
      <w:bookmarkStart w:id="3" w:name="_Toc221100195"/>
      <w:bookmarkEnd w:id="0"/>
      <w:r>
        <w:t>Expectations and support for outbreak response</w:t>
      </w:r>
      <w:bookmarkEnd w:id="3"/>
    </w:p>
    <w:p w14:paraId="24FA9E3E" w14:textId="77777777" w:rsidR="00A23A3C" w:rsidRDefault="00000000">
      <w:pPr>
        <w:pStyle w:val="FirstParagraph"/>
      </w:pPr>
      <w:r>
        <w:t>If it is the expectation of LSHTM that individuals contribute their time and expertise in such situations then it would be helpful to have clear expectations and policies for support. When deciding whether to respond to a specific request for help, or otherwise contribute their expertise, staff members need to balance the ethical prerogative to support efforts to prevent morbidity and mortality in line with LSHTM’s mission with the potential for negative implications on other activities including funded projects, teaching, citizenship and, consequently, individual career progression.</w:t>
      </w:r>
    </w:p>
    <w:p w14:paraId="3D9584F8" w14:textId="77777777" w:rsidR="00A23A3C" w:rsidRDefault="00000000">
      <w:pPr>
        <w:pStyle w:val="BodyText"/>
      </w:pPr>
      <w:r>
        <w:t>An explicit statement that in certain situations individuals would be expected to put their routine work aside to instead contribute to an outbreak response would recognise that</w:t>
      </w:r>
    </w:p>
    <w:p w14:paraId="2C1AECC5" w14:textId="77777777" w:rsidR="00A23A3C" w:rsidRDefault="00000000">
      <w:pPr>
        <w:pStyle w:val="Compact"/>
        <w:numPr>
          <w:ilvl w:val="0"/>
          <w:numId w:val="3"/>
        </w:numPr>
      </w:pPr>
      <w:r>
        <w:t>Outbreak response work represents a core application of LSHTM’s research and training mission</w:t>
      </w:r>
    </w:p>
    <w:p w14:paraId="1FFA10C5" w14:textId="77777777" w:rsidR="00A23A3C" w:rsidRDefault="00000000">
      <w:pPr>
        <w:pStyle w:val="Compact"/>
        <w:numPr>
          <w:ilvl w:val="0"/>
          <w:numId w:val="3"/>
        </w:numPr>
      </w:pPr>
      <w:r>
        <w:t>LSHTM’s expertise can make critical contributions to saving lives and reducing suffering during emergencies</w:t>
      </w:r>
    </w:p>
    <w:p w14:paraId="576208D1" w14:textId="77777777" w:rsidR="00A23A3C" w:rsidRDefault="00000000">
      <w:pPr>
        <w:pStyle w:val="Compact"/>
        <w:numPr>
          <w:ilvl w:val="0"/>
          <w:numId w:val="3"/>
        </w:numPr>
      </w:pPr>
      <w:r>
        <w:t>Contributing to outbreak responses advances public health and aligns with the School’s values</w:t>
      </w:r>
    </w:p>
    <w:p w14:paraId="66F91D0E" w14:textId="77777777" w:rsidR="00A23A3C" w:rsidRDefault="00000000">
      <w:pPr>
        <w:pStyle w:val="Compact"/>
        <w:numPr>
          <w:ilvl w:val="0"/>
          <w:numId w:val="3"/>
        </w:numPr>
      </w:pPr>
      <w:r>
        <w:t>Such contributions enhance LSHTM’s research quality, reputation, impact, and future funding opportunities</w:t>
      </w:r>
    </w:p>
    <w:p w14:paraId="7DDC87D6" w14:textId="77777777" w:rsidR="00A23A3C" w:rsidRDefault="00000000">
      <w:pPr>
        <w:pStyle w:val="FirstParagraph"/>
      </w:pPr>
      <w:r>
        <w:t>However, such an expectation would have to be balanced with:</w:t>
      </w:r>
    </w:p>
    <w:p w14:paraId="10541036" w14:textId="77777777" w:rsidR="00A23A3C" w:rsidRDefault="00000000">
      <w:pPr>
        <w:pStyle w:val="Compact"/>
        <w:numPr>
          <w:ilvl w:val="0"/>
          <w:numId w:val="4"/>
        </w:numPr>
      </w:pPr>
      <w:r>
        <w:t>Provision of appropriate institutional support to enable effective contributions</w:t>
      </w:r>
    </w:p>
    <w:p w14:paraId="03FE97A6" w14:textId="77777777" w:rsidR="00A23A3C" w:rsidRDefault="00000000">
      <w:pPr>
        <w:pStyle w:val="Compact"/>
        <w:numPr>
          <w:ilvl w:val="0"/>
          <w:numId w:val="4"/>
        </w:numPr>
      </w:pPr>
      <w:r>
        <w:lastRenderedPageBreak/>
        <w:t>Acknowledgement of competing demands (teaching, existing research commitments, personal circumstances)</w:t>
      </w:r>
    </w:p>
    <w:p w14:paraId="590C7F57" w14:textId="77777777" w:rsidR="00A23A3C" w:rsidRDefault="00000000">
      <w:pPr>
        <w:pStyle w:val="Compact"/>
        <w:numPr>
          <w:ilvl w:val="0"/>
          <w:numId w:val="4"/>
        </w:numPr>
      </w:pPr>
      <w:r>
        <w:t>Fair recognition and reward for outbreak response work reflecting career stage and contractual constraints</w:t>
      </w:r>
    </w:p>
    <w:p w14:paraId="4F7E03BF" w14:textId="77777777" w:rsidR="00A23A3C" w:rsidRDefault="00000000">
      <w:pPr>
        <w:pStyle w:val="Compact"/>
        <w:numPr>
          <w:ilvl w:val="0"/>
          <w:numId w:val="4"/>
        </w:numPr>
      </w:pPr>
      <w:r>
        <w:t>Protection of staff wellbeing and psychological safety</w:t>
      </w:r>
    </w:p>
    <w:p w14:paraId="306299BE" w14:textId="77777777" w:rsidR="00A23A3C" w:rsidRDefault="00000000">
      <w:pPr>
        <w:pStyle w:val="FirstParagraph"/>
      </w:pPr>
      <w:r>
        <w:t>We are proposing that LSHTM develop a framework that sets out when staff members will be expected to contribute to outbreak response and how staff will be supported in meeting these expectations whilst protecting their careers, wellbeing, and professional development.</w:t>
      </w:r>
    </w:p>
    <w:p w14:paraId="51B0E251" w14:textId="77777777" w:rsidR="00A23A3C" w:rsidRDefault="00000000">
      <w:pPr>
        <w:pStyle w:val="Heading1"/>
      </w:pPr>
      <w:bookmarkStart w:id="4" w:name="when-should-lshtm-respond"/>
      <w:bookmarkStart w:id="5" w:name="_Toc221100196"/>
      <w:bookmarkEnd w:id="2"/>
      <w:r>
        <w:t>When should LSHTM respond?</w:t>
      </w:r>
      <w:bookmarkEnd w:id="5"/>
    </w:p>
    <w:p w14:paraId="09E72488" w14:textId="77777777" w:rsidR="00A23A3C" w:rsidRDefault="00000000">
      <w:pPr>
        <w:pStyle w:val="FirstParagraph"/>
      </w:pPr>
      <w:r>
        <w:t>Not all public health events warrant institutional support beyond existing mechanisms. Institutional support could be triggered when the following conditions are all met:</w:t>
      </w:r>
    </w:p>
    <w:p w14:paraId="0371267D" w14:textId="77777777" w:rsidR="00A23A3C" w:rsidRDefault="00000000">
      <w:pPr>
        <w:pStyle w:val="Compact"/>
        <w:numPr>
          <w:ilvl w:val="0"/>
          <w:numId w:val="5"/>
        </w:numPr>
      </w:pPr>
      <w:r>
        <w:t>The emergency represents a substantial threat to public health at national or international scale.</w:t>
      </w:r>
    </w:p>
    <w:p w14:paraId="26DE3BEA" w14:textId="77777777" w:rsidR="00A23A3C" w:rsidRDefault="00000000">
      <w:pPr>
        <w:pStyle w:val="Compact"/>
        <w:numPr>
          <w:ilvl w:val="0"/>
          <w:numId w:val="5"/>
        </w:numPr>
      </w:pPr>
      <w:r>
        <w:t>LSHTM possesses unique, leading, or critically needed expertise for the response.</w:t>
      </w:r>
    </w:p>
    <w:p w14:paraId="36AD43D2" w14:textId="77777777" w:rsidR="00A23A3C" w:rsidRDefault="00000000">
      <w:pPr>
        <w:pStyle w:val="Compact"/>
        <w:numPr>
          <w:ilvl w:val="0"/>
          <w:numId w:val="5"/>
        </w:numPr>
      </w:pPr>
      <w:r>
        <w:t>There is an identifiable request from public health agencies, government, or international organisations, OR a clearly articulated need for LSHTM’s specific expertise.</w:t>
      </w:r>
    </w:p>
    <w:p w14:paraId="300F9187" w14:textId="77777777" w:rsidR="00A23A3C" w:rsidRDefault="00000000">
      <w:pPr>
        <w:pStyle w:val="Compact"/>
        <w:numPr>
          <w:ilvl w:val="0"/>
          <w:numId w:val="5"/>
        </w:numPr>
      </w:pPr>
      <w:r>
        <w:t>The response requirements demonstrably exceed the capacity or mandate of UKPHRST, HPRUs, and existing project flexibility.</w:t>
      </w:r>
    </w:p>
    <w:p w14:paraId="604EB165" w14:textId="77777777" w:rsidR="00A23A3C" w:rsidRDefault="00000000">
      <w:pPr>
        <w:pStyle w:val="FirstParagraph"/>
      </w:pPr>
      <w:r>
        <w:t>Institutional support may not be necessary when:</w:t>
      </w:r>
    </w:p>
    <w:p w14:paraId="45F8693A" w14:textId="77777777" w:rsidR="00A23A3C" w:rsidRDefault="00000000">
      <w:pPr>
        <w:pStyle w:val="Compact"/>
        <w:numPr>
          <w:ilvl w:val="0"/>
          <w:numId w:val="6"/>
        </w:numPr>
      </w:pPr>
      <w:r>
        <w:t>The response can be adequately supported through UKPHRST, HPRUs, or existing grant flexibility</w:t>
      </w:r>
    </w:p>
    <w:p w14:paraId="65E9A15F" w14:textId="77777777" w:rsidR="00A23A3C" w:rsidRDefault="00000000">
      <w:pPr>
        <w:pStyle w:val="Compact"/>
        <w:numPr>
          <w:ilvl w:val="0"/>
          <w:numId w:val="6"/>
        </w:numPr>
      </w:pPr>
      <w:r>
        <w:t>The request falls within routine consultancy or advisory work that can be accommodated within normal workload</w:t>
      </w:r>
    </w:p>
    <w:p w14:paraId="4EE0A868" w14:textId="77777777" w:rsidR="00A23A3C" w:rsidRDefault="00000000">
      <w:pPr>
        <w:pStyle w:val="Compact"/>
        <w:numPr>
          <w:ilvl w:val="0"/>
          <w:numId w:val="6"/>
        </w:numPr>
      </w:pPr>
      <w:r>
        <w:t>LSHTM does not have clear comparative advantage or the expertise requested</w:t>
      </w:r>
    </w:p>
    <w:p w14:paraId="1BA97107" w14:textId="77777777" w:rsidR="00A23A3C" w:rsidRDefault="00000000">
      <w:pPr>
        <w:pStyle w:val="Compact"/>
        <w:numPr>
          <w:ilvl w:val="0"/>
          <w:numId w:val="6"/>
        </w:numPr>
      </w:pPr>
      <w:r>
        <w:t>The time commitment required is minimal (e.g., single or infrequent meeting attendance, brief written input)</w:t>
      </w:r>
    </w:p>
    <w:p w14:paraId="4E61EBD0" w14:textId="77777777" w:rsidR="00A23A3C" w:rsidRDefault="00000000">
      <w:pPr>
        <w:pStyle w:val="Heading1"/>
      </w:pPr>
      <w:bookmarkStart w:id="6" w:name="what-mechanisms-can-be-activated"/>
      <w:bookmarkStart w:id="7" w:name="_Toc221100197"/>
      <w:bookmarkEnd w:id="4"/>
      <w:r>
        <w:t>What mechanisms can be activated?</w:t>
      </w:r>
      <w:bookmarkEnd w:id="7"/>
    </w:p>
    <w:p w14:paraId="1DA07556" w14:textId="77777777" w:rsidR="00A23A3C" w:rsidRDefault="00000000">
      <w:pPr>
        <w:pStyle w:val="FirstParagraph"/>
      </w:pPr>
      <w:r>
        <w:t>When institutional support is triggered, LSHTM can activate a range of mechanisms to enable an effective and sustainable response. Some examples of these that could be used on a case-by-case basis are:</w:t>
      </w:r>
    </w:p>
    <w:tbl>
      <w:tblPr>
        <w:tblStyle w:val="Table"/>
        <w:tblW w:w="5000" w:type="pct"/>
        <w:tblLayout w:type="fixed"/>
        <w:tblLook w:val="0020" w:firstRow="1" w:lastRow="0" w:firstColumn="0" w:lastColumn="0" w:noHBand="0" w:noVBand="0"/>
      </w:tblPr>
      <w:tblGrid>
        <w:gridCol w:w="2394"/>
        <w:gridCol w:w="2394"/>
        <w:gridCol w:w="2394"/>
        <w:gridCol w:w="2394"/>
      </w:tblGrid>
      <w:tr w:rsidR="00A23A3C" w14:paraId="63DD9D37" w14:textId="77777777" w:rsidTr="00A23A3C">
        <w:trPr>
          <w:cnfStyle w:val="100000000000" w:firstRow="1" w:lastRow="0" w:firstColumn="0" w:lastColumn="0" w:oddVBand="0" w:evenVBand="0" w:oddHBand="0" w:evenHBand="0" w:firstRowFirstColumn="0" w:firstRowLastColumn="0" w:lastRowFirstColumn="0" w:lastRowLastColumn="0"/>
          <w:tblHeader/>
        </w:trPr>
        <w:tc>
          <w:tcPr>
            <w:tcW w:w="1980" w:type="dxa"/>
          </w:tcPr>
          <w:p w14:paraId="2FC237DD" w14:textId="77777777" w:rsidR="00A23A3C" w:rsidRDefault="00000000">
            <w:pPr>
              <w:pStyle w:val="Compact"/>
            </w:pPr>
            <w:r>
              <w:t>Support Action</w:t>
            </w:r>
          </w:p>
        </w:tc>
        <w:tc>
          <w:tcPr>
            <w:tcW w:w="1980" w:type="dxa"/>
          </w:tcPr>
          <w:p w14:paraId="48E5E809" w14:textId="77777777" w:rsidR="00A23A3C" w:rsidRDefault="00000000">
            <w:pPr>
              <w:pStyle w:val="Compact"/>
            </w:pPr>
            <w:r>
              <w:t>Cost to LSHTM</w:t>
            </w:r>
          </w:p>
        </w:tc>
        <w:tc>
          <w:tcPr>
            <w:tcW w:w="1980" w:type="dxa"/>
          </w:tcPr>
          <w:p w14:paraId="37037770" w14:textId="77777777" w:rsidR="00A23A3C" w:rsidRDefault="00000000">
            <w:pPr>
              <w:pStyle w:val="Compact"/>
            </w:pPr>
            <w:r>
              <w:t>Duration of Disruption</w:t>
            </w:r>
          </w:p>
        </w:tc>
        <w:tc>
          <w:tcPr>
            <w:tcW w:w="1980" w:type="dxa"/>
          </w:tcPr>
          <w:p w14:paraId="1B09D92F" w14:textId="77777777" w:rsidR="00A23A3C" w:rsidRDefault="00000000">
            <w:pPr>
              <w:pStyle w:val="Compact"/>
            </w:pPr>
            <w:r>
              <w:t>Level of Approval</w:t>
            </w:r>
          </w:p>
        </w:tc>
      </w:tr>
      <w:tr w:rsidR="00A23A3C" w14:paraId="1C36D179" w14:textId="77777777">
        <w:tc>
          <w:tcPr>
            <w:tcW w:w="1980" w:type="dxa"/>
          </w:tcPr>
          <w:p w14:paraId="47E52936" w14:textId="77777777" w:rsidR="00A23A3C" w:rsidRDefault="00000000">
            <w:pPr>
              <w:pStyle w:val="Compact"/>
            </w:pPr>
            <w:r>
              <w:lastRenderedPageBreak/>
              <w:t>Teaching flexibility</w:t>
            </w:r>
          </w:p>
        </w:tc>
        <w:tc>
          <w:tcPr>
            <w:tcW w:w="1980" w:type="dxa"/>
          </w:tcPr>
          <w:p w14:paraId="3D6ADB7A" w14:textId="77777777" w:rsidR="00A23A3C" w:rsidRDefault="00000000">
            <w:pPr>
              <w:pStyle w:val="Compact"/>
            </w:pPr>
            <w:r>
              <w:t>Low</w:t>
            </w:r>
          </w:p>
        </w:tc>
        <w:tc>
          <w:tcPr>
            <w:tcW w:w="1980" w:type="dxa"/>
          </w:tcPr>
          <w:p w14:paraId="4772AF83" w14:textId="77777777" w:rsidR="00A23A3C" w:rsidRDefault="00000000">
            <w:pPr>
              <w:pStyle w:val="Compact"/>
            </w:pPr>
            <w:r>
              <w:t>Short (1-4 weeks)</w:t>
            </w:r>
          </w:p>
        </w:tc>
        <w:tc>
          <w:tcPr>
            <w:tcW w:w="1980" w:type="dxa"/>
          </w:tcPr>
          <w:p w14:paraId="15C4066A" w14:textId="77777777" w:rsidR="00A23A3C" w:rsidRDefault="00000000">
            <w:pPr>
              <w:pStyle w:val="Compact"/>
            </w:pPr>
            <w:r>
              <w:t>ADE</w:t>
            </w:r>
          </w:p>
        </w:tc>
      </w:tr>
      <w:tr w:rsidR="00A23A3C" w14:paraId="3B71EA5A" w14:textId="77777777">
        <w:tc>
          <w:tcPr>
            <w:tcW w:w="1980" w:type="dxa"/>
          </w:tcPr>
          <w:p w14:paraId="7E0ED4F0" w14:textId="77777777" w:rsidR="00A23A3C" w:rsidRDefault="00000000">
            <w:pPr>
              <w:pStyle w:val="Compact"/>
            </w:pPr>
            <w:r>
              <w:t>Allowing short time off in lieu where this isn’t otherwise compensated</w:t>
            </w:r>
          </w:p>
        </w:tc>
        <w:tc>
          <w:tcPr>
            <w:tcW w:w="1980" w:type="dxa"/>
          </w:tcPr>
          <w:p w14:paraId="1A0BEE0E" w14:textId="77777777" w:rsidR="00A23A3C" w:rsidRDefault="00000000">
            <w:pPr>
              <w:pStyle w:val="Compact"/>
            </w:pPr>
            <w:r>
              <w:t>Low</w:t>
            </w:r>
          </w:p>
        </w:tc>
        <w:tc>
          <w:tcPr>
            <w:tcW w:w="1980" w:type="dxa"/>
          </w:tcPr>
          <w:p w14:paraId="56B85418" w14:textId="77777777" w:rsidR="00A23A3C" w:rsidRDefault="00000000">
            <w:pPr>
              <w:pStyle w:val="Compact"/>
            </w:pPr>
            <w:r>
              <w:t>Short (1-4 weeks)</w:t>
            </w:r>
          </w:p>
        </w:tc>
        <w:tc>
          <w:tcPr>
            <w:tcW w:w="1980" w:type="dxa"/>
          </w:tcPr>
          <w:p w14:paraId="787F01B8" w14:textId="77777777" w:rsidR="00A23A3C" w:rsidRDefault="00000000">
            <w:pPr>
              <w:pStyle w:val="Compact"/>
            </w:pPr>
            <w:r>
              <w:t>Line manager</w:t>
            </w:r>
          </w:p>
        </w:tc>
      </w:tr>
      <w:tr w:rsidR="00A23A3C" w14:paraId="4E8CFA98" w14:textId="77777777">
        <w:tc>
          <w:tcPr>
            <w:tcW w:w="1980" w:type="dxa"/>
          </w:tcPr>
          <w:p w14:paraId="1C3857F0" w14:textId="77777777" w:rsidR="00A23A3C" w:rsidRDefault="00000000">
            <w:pPr>
              <w:pStyle w:val="Compact"/>
            </w:pPr>
            <w:r>
              <w:t>Funding for short-term resource needs (e.g. travel/compute)</w:t>
            </w:r>
          </w:p>
        </w:tc>
        <w:tc>
          <w:tcPr>
            <w:tcW w:w="1980" w:type="dxa"/>
          </w:tcPr>
          <w:p w14:paraId="3892527A" w14:textId="77777777" w:rsidR="00A23A3C" w:rsidRDefault="00000000">
            <w:pPr>
              <w:pStyle w:val="Compact"/>
            </w:pPr>
            <w:r>
              <w:t>Low</w:t>
            </w:r>
          </w:p>
        </w:tc>
        <w:tc>
          <w:tcPr>
            <w:tcW w:w="1980" w:type="dxa"/>
          </w:tcPr>
          <w:p w14:paraId="6072E650" w14:textId="77777777" w:rsidR="00A23A3C" w:rsidRDefault="00000000">
            <w:pPr>
              <w:pStyle w:val="Compact"/>
            </w:pPr>
            <w:r>
              <w:t>Medium (1-6 months)</w:t>
            </w:r>
          </w:p>
        </w:tc>
        <w:tc>
          <w:tcPr>
            <w:tcW w:w="1980" w:type="dxa"/>
          </w:tcPr>
          <w:p w14:paraId="32FA7CA8" w14:textId="77777777" w:rsidR="00A23A3C" w:rsidRDefault="00000000">
            <w:pPr>
              <w:pStyle w:val="Compact"/>
            </w:pPr>
            <w:r>
              <w:t>HoD or DoF</w:t>
            </w:r>
          </w:p>
        </w:tc>
      </w:tr>
      <w:tr w:rsidR="00A23A3C" w14:paraId="00F783D9" w14:textId="77777777">
        <w:tc>
          <w:tcPr>
            <w:tcW w:w="1980" w:type="dxa"/>
          </w:tcPr>
          <w:p w14:paraId="11767097" w14:textId="77777777" w:rsidR="00A23A3C" w:rsidRDefault="00000000">
            <w:pPr>
              <w:pStyle w:val="Compact"/>
            </w:pPr>
            <w:r>
              <w:t>Secondment arrangements (admin could be worked out in advance)</w:t>
            </w:r>
          </w:p>
        </w:tc>
        <w:tc>
          <w:tcPr>
            <w:tcW w:w="1980" w:type="dxa"/>
          </w:tcPr>
          <w:p w14:paraId="07C9FC64" w14:textId="77777777" w:rsidR="00A23A3C" w:rsidRDefault="00000000">
            <w:pPr>
              <w:pStyle w:val="Compact"/>
            </w:pPr>
            <w:r>
              <w:t>Low</w:t>
            </w:r>
          </w:p>
        </w:tc>
        <w:tc>
          <w:tcPr>
            <w:tcW w:w="1980" w:type="dxa"/>
          </w:tcPr>
          <w:p w14:paraId="6AE45042" w14:textId="77777777" w:rsidR="00A23A3C" w:rsidRDefault="00000000">
            <w:pPr>
              <w:pStyle w:val="Compact"/>
            </w:pPr>
            <w:r>
              <w:t>Medium (1-6 months)</w:t>
            </w:r>
          </w:p>
        </w:tc>
        <w:tc>
          <w:tcPr>
            <w:tcW w:w="1980" w:type="dxa"/>
          </w:tcPr>
          <w:p w14:paraId="53E7DC33" w14:textId="77777777" w:rsidR="00A23A3C" w:rsidRDefault="00000000">
            <w:pPr>
              <w:pStyle w:val="Compact"/>
            </w:pPr>
            <w:r>
              <w:t>HoD and DoF</w:t>
            </w:r>
          </w:p>
        </w:tc>
      </w:tr>
      <w:tr w:rsidR="00A23A3C" w14:paraId="6575405E" w14:textId="77777777">
        <w:tc>
          <w:tcPr>
            <w:tcW w:w="1980" w:type="dxa"/>
          </w:tcPr>
          <w:p w14:paraId="3289BDDA" w14:textId="77777777" w:rsidR="00A23A3C" w:rsidRDefault="00000000">
            <w:pPr>
              <w:pStyle w:val="Compact"/>
            </w:pPr>
            <w:r>
              <w:t>Administrative and public communications support</w:t>
            </w:r>
          </w:p>
        </w:tc>
        <w:tc>
          <w:tcPr>
            <w:tcW w:w="1980" w:type="dxa"/>
          </w:tcPr>
          <w:p w14:paraId="69451981" w14:textId="77777777" w:rsidR="00A23A3C" w:rsidRDefault="00000000">
            <w:pPr>
              <w:pStyle w:val="Compact"/>
            </w:pPr>
            <w:r>
              <w:t>Low</w:t>
            </w:r>
          </w:p>
        </w:tc>
        <w:tc>
          <w:tcPr>
            <w:tcW w:w="1980" w:type="dxa"/>
          </w:tcPr>
          <w:p w14:paraId="1AF04FE1" w14:textId="77777777" w:rsidR="00A23A3C" w:rsidRDefault="00000000">
            <w:pPr>
              <w:pStyle w:val="Compact"/>
            </w:pPr>
            <w:r>
              <w:t>Medium (1-6 months)</w:t>
            </w:r>
          </w:p>
        </w:tc>
        <w:tc>
          <w:tcPr>
            <w:tcW w:w="1980" w:type="dxa"/>
          </w:tcPr>
          <w:p w14:paraId="10353D16" w14:textId="77777777" w:rsidR="00A23A3C" w:rsidRDefault="00000000">
            <w:pPr>
              <w:pStyle w:val="Compact"/>
            </w:pPr>
            <w:r>
              <w:t>DM/FOO (admin) or Exec (comms)</w:t>
            </w:r>
          </w:p>
        </w:tc>
      </w:tr>
      <w:tr w:rsidR="00A23A3C" w14:paraId="058ACB34" w14:textId="77777777">
        <w:tc>
          <w:tcPr>
            <w:tcW w:w="1980" w:type="dxa"/>
          </w:tcPr>
          <w:p w14:paraId="5E334C02" w14:textId="77777777" w:rsidR="00A23A3C" w:rsidRDefault="00000000">
            <w:pPr>
              <w:pStyle w:val="Compact"/>
            </w:pPr>
            <w:r>
              <w:t>Collective negotiation with funders for grant extensions</w:t>
            </w:r>
          </w:p>
        </w:tc>
        <w:tc>
          <w:tcPr>
            <w:tcW w:w="1980" w:type="dxa"/>
          </w:tcPr>
          <w:p w14:paraId="70F7DE36" w14:textId="77777777" w:rsidR="00A23A3C" w:rsidRDefault="00000000">
            <w:pPr>
              <w:pStyle w:val="Compact"/>
            </w:pPr>
            <w:r>
              <w:t>Low</w:t>
            </w:r>
          </w:p>
        </w:tc>
        <w:tc>
          <w:tcPr>
            <w:tcW w:w="1980" w:type="dxa"/>
          </w:tcPr>
          <w:p w14:paraId="7014B6A0" w14:textId="77777777" w:rsidR="00A23A3C" w:rsidRDefault="00000000">
            <w:pPr>
              <w:pStyle w:val="Compact"/>
            </w:pPr>
            <w:r>
              <w:t>Medium-Long (6-12 months)</w:t>
            </w:r>
          </w:p>
        </w:tc>
        <w:tc>
          <w:tcPr>
            <w:tcW w:w="1980" w:type="dxa"/>
          </w:tcPr>
          <w:p w14:paraId="65AEFF73" w14:textId="77777777" w:rsidR="00A23A3C" w:rsidRDefault="00000000">
            <w:pPr>
              <w:pStyle w:val="Compact"/>
            </w:pPr>
            <w:r>
              <w:t>Head of SRO</w:t>
            </w:r>
          </w:p>
        </w:tc>
      </w:tr>
      <w:tr w:rsidR="00A23A3C" w14:paraId="1AD1B814" w14:textId="77777777">
        <w:tc>
          <w:tcPr>
            <w:tcW w:w="1980" w:type="dxa"/>
          </w:tcPr>
          <w:p w14:paraId="38A23700" w14:textId="77777777" w:rsidR="00A23A3C" w:rsidRDefault="00000000">
            <w:pPr>
              <w:pStyle w:val="Compact"/>
            </w:pPr>
            <w:r>
              <w:t>Broader negotiation with funders for better support</w:t>
            </w:r>
          </w:p>
        </w:tc>
        <w:tc>
          <w:tcPr>
            <w:tcW w:w="1980" w:type="dxa"/>
          </w:tcPr>
          <w:p w14:paraId="4224BBD0" w14:textId="77777777" w:rsidR="00A23A3C" w:rsidRDefault="00000000">
            <w:pPr>
              <w:pStyle w:val="Compact"/>
            </w:pPr>
            <w:r>
              <w:t>Low</w:t>
            </w:r>
          </w:p>
        </w:tc>
        <w:tc>
          <w:tcPr>
            <w:tcW w:w="1980" w:type="dxa"/>
          </w:tcPr>
          <w:p w14:paraId="1645F8FA" w14:textId="77777777" w:rsidR="00A23A3C" w:rsidRDefault="00000000">
            <w:pPr>
              <w:pStyle w:val="Compact"/>
            </w:pPr>
            <w:r>
              <w:t>Long (ongoing consideration)</w:t>
            </w:r>
          </w:p>
        </w:tc>
        <w:tc>
          <w:tcPr>
            <w:tcW w:w="1980" w:type="dxa"/>
          </w:tcPr>
          <w:p w14:paraId="156D3D34" w14:textId="77777777" w:rsidR="00A23A3C" w:rsidRDefault="00000000">
            <w:pPr>
              <w:pStyle w:val="Compact"/>
            </w:pPr>
            <w:r>
              <w:t>Head of SRO</w:t>
            </w:r>
          </w:p>
        </w:tc>
      </w:tr>
      <w:tr w:rsidR="00A23A3C" w14:paraId="59581709" w14:textId="77777777">
        <w:tc>
          <w:tcPr>
            <w:tcW w:w="1980" w:type="dxa"/>
          </w:tcPr>
          <w:p w14:paraId="7A8F95FA" w14:textId="77777777" w:rsidR="00A23A3C" w:rsidRDefault="00000000">
            <w:pPr>
              <w:pStyle w:val="Compact"/>
            </w:pPr>
            <w:r>
              <w:t>Recognised extenuating circumstances or altered criteria for promotion applications</w:t>
            </w:r>
          </w:p>
        </w:tc>
        <w:tc>
          <w:tcPr>
            <w:tcW w:w="1980" w:type="dxa"/>
          </w:tcPr>
          <w:p w14:paraId="7179994B" w14:textId="77777777" w:rsidR="00A23A3C" w:rsidRDefault="00000000">
            <w:pPr>
              <w:pStyle w:val="Compact"/>
            </w:pPr>
            <w:r>
              <w:t>Low</w:t>
            </w:r>
          </w:p>
        </w:tc>
        <w:tc>
          <w:tcPr>
            <w:tcW w:w="1980" w:type="dxa"/>
          </w:tcPr>
          <w:p w14:paraId="60FACDA7" w14:textId="77777777" w:rsidR="00A23A3C" w:rsidRDefault="00000000">
            <w:pPr>
              <w:pStyle w:val="Compact"/>
            </w:pPr>
            <w:r>
              <w:t>Long (ongoing consideration)</w:t>
            </w:r>
          </w:p>
        </w:tc>
        <w:tc>
          <w:tcPr>
            <w:tcW w:w="1980" w:type="dxa"/>
          </w:tcPr>
          <w:p w14:paraId="10B05FCE" w14:textId="77777777" w:rsidR="00A23A3C" w:rsidRDefault="00000000">
            <w:pPr>
              <w:pStyle w:val="Compact"/>
            </w:pPr>
            <w:r>
              <w:t>Pro-Director of Research</w:t>
            </w:r>
          </w:p>
        </w:tc>
      </w:tr>
      <w:tr w:rsidR="00A23A3C" w14:paraId="111E72EC" w14:textId="77777777">
        <w:tc>
          <w:tcPr>
            <w:tcW w:w="1980" w:type="dxa"/>
          </w:tcPr>
          <w:p w14:paraId="23788CC3" w14:textId="77777777" w:rsidR="00A23A3C" w:rsidRDefault="00000000">
            <w:pPr>
              <w:pStyle w:val="Compact"/>
            </w:pPr>
            <w:r>
              <w:t>Teaching hours reduction</w:t>
            </w:r>
          </w:p>
        </w:tc>
        <w:tc>
          <w:tcPr>
            <w:tcW w:w="1980" w:type="dxa"/>
          </w:tcPr>
          <w:p w14:paraId="62BCDC2B" w14:textId="77777777" w:rsidR="00A23A3C" w:rsidRDefault="00000000">
            <w:pPr>
              <w:pStyle w:val="Compact"/>
            </w:pPr>
            <w:r>
              <w:t>Medium</w:t>
            </w:r>
          </w:p>
        </w:tc>
        <w:tc>
          <w:tcPr>
            <w:tcW w:w="1980" w:type="dxa"/>
          </w:tcPr>
          <w:p w14:paraId="02575AD5" w14:textId="77777777" w:rsidR="00A23A3C" w:rsidRDefault="00000000">
            <w:pPr>
              <w:pStyle w:val="Compact"/>
            </w:pPr>
            <w:r>
              <w:t>Medium (1-6 months)</w:t>
            </w:r>
          </w:p>
        </w:tc>
        <w:tc>
          <w:tcPr>
            <w:tcW w:w="1980" w:type="dxa"/>
          </w:tcPr>
          <w:p w14:paraId="6C443E7F" w14:textId="77777777" w:rsidR="00A23A3C" w:rsidRDefault="00000000">
            <w:pPr>
              <w:pStyle w:val="Compact"/>
            </w:pPr>
            <w:r>
              <w:t>ADE and FMG</w:t>
            </w:r>
          </w:p>
        </w:tc>
      </w:tr>
      <w:tr w:rsidR="00A23A3C" w14:paraId="6DFE3E12" w14:textId="77777777">
        <w:tc>
          <w:tcPr>
            <w:tcW w:w="1980" w:type="dxa"/>
          </w:tcPr>
          <w:p w14:paraId="582B779D" w14:textId="77777777" w:rsidR="00A23A3C" w:rsidRDefault="00000000">
            <w:pPr>
              <w:pStyle w:val="Compact"/>
            </w:pPr>
            <w:r>
              <w:t>LSHTM-funded external internships for PhD students</w:t>
            </w:r>
          </w:p>
        </w:tc>
        <w:tc>
          <w:tcPr>
            <w:tcW w:w="1980" w:type="dxa"/>
          </w:tcPr>
          <w:p w14:paraId="16989E80" w14:textId="77777777" w:rsidR="00A23A3C" w:rsidRDefault="00000000">
            <w:pPr>
              <w:pStyle w:val="Compact"/>
            </w:pPr>
            <w:r>
              <w:t>Medium</w:t>
            </w:r>
          </w:p>
        </w:tc>
        <w:tc>
          <w:tcPr>
            <w:tcW w:w="1980" w:type="dxa"/>
          </w:tcPr>
          <w:p w14:paraId="78054D84" w14:textId="77777777" w:rsidR="00A23A3C" w:rsidRDefault="00000000">
            <w:pPr>
              <w:pStyle w:val="Compact"/>
            </w:pPr>
            <w:r>
              <w:t>Medium (1-6 months)</w:t>
            </w:r>
          </w:p>
        </w:tc>
        <w:tc>
          <w:tcPr>
            <w:tcW w:w="1980" w:type="dxa"/>
          </w:tcPr>
          <w:p w14:paraId="7E7BC9EB" w14:textId="77777777" w:rsidR="00A23A3C" w:rsidRDefault="00000000">
            <w:pPr>
              <w:pStyle w:val="Compact"/>
            </w:pPr>
            <w:r>
              <w:t>FMG</w:t>
            </w:r>
          </w:p>
        </w:tc>
      </w:tr>
      <w:tr w:rsidR="00A23A3C" w14:paraId="170A5ECC" w14:textId="77777777">
        <w:tc>
          <w:tcPr>
            <w:tcW w:w="1980" w:type="dxa"/>
          </w:tcPr>
          <w:p w14:paraId="4DA02290" w14:textId="77777777" w:rsidR="00A23A3C" w:rsidRDefault="00000000">
            <w:pPr>
              <w:pStyle w:val="Compact"/>
            </w:pPr>
            <w:r>
              <w:t>Bridging/pump-priming support for fixed-term staff</w:t>
            </w:r>
          </w:p>
        </w:tc>
        <w:tc>
          <w:tcPr>
            <w:tcW w:w="1980" w:type="dxa"/>
          </w:tcPr>
          <w:p w14:paraId="135AC90E" w14:textId="77777777" w:rsidR="00A23A3C" w:rsidRDefault="00000000">
            <w:pPr>
              <w:pStyle w:val="Compact"/>
            </w:pPr>
            <w:r>
              <w:t>High</w:t>
            </w:r>
          </w:p>
        </w:tc>
        <w:tc>
          <w:tcPr>
            <w:tcW w:w="1980" w:type="dxa"/>
          </w:tcPr>
          <w:p w14:paraId="1CDFD04A" w14:textId="77777777" w:rsidR="00A23A3C" w:rsidRDefault="00000000">
            <w:pPr>
              <w:pStyle w:val="Compact"/>
            </w:pPr>
            <w:r>
              <w:t>Medium (1-6 months)</w:t>
            </w:r>
          </w:p>
        </w:tc>
        <w:tc>
          <w:tcPr>
            <w:tcW w:w="1980" w:type="dxa"/>
          </w:tcPr>
          <w:p w14:paraId="5146752F" w14:textId="77777777" w:rsidR="00A23A3C" w:rsidRDefault="00000000">
            <w:pPr>
              <w:pStyle w:val="Compact"/>
            </w:pPr>
            <w:r>
              <w:t>ADR and FMG</w:t>
            </w:r>
          </w:p>
        </w:tc>
      </w:tr>
      <w:tr w:rsidR="00A23A3C" w14:paraId="25ED5287" w14:textId="77777777">
        <w:tc>
          <w:tcPr>
            <w:tcW w:w="1980" w:type="dxa"/>
          </w:tcPr>
          <w:p w14:paraId="03E37FF8" w14:textId="77777777" w:rsidR="00A23A3C" w:rsidRDefault="00000000">
            <w:pPr>
              <w:pStyle w:val="Compact"/>
            </w:pPr>
            <w:r>
              <w:t xml:space="preserve">Salary support for </w:t>
            </w:r>
            <w:r>
              <w:lastRenderedPageBreak/>
              <w:t>without-duration contract staff</w:t>
            </w:r>
          </w:p>
        </w:tc>
        <w:tc>
          <w:tcPr>
            <w:tcW w:w="1980" w:type="dxa"/>
          </w:tcPr>
          <w:p w14:paraId="49B107FD" w14:textId="77777777" w:rsidR="00A23A3C" w:rsidRDefault="00000000">
            <w:pPr>
              <w:pStyle w:val="Compact"/>
            </w:pPr>
            <w:r>
              <w:lastRenderedPageBreak/>
              <w:t>Very High</w:t>
            </w:r>
          </w:p>
        </w:tc>
        <w:tc>
          <w:tcPr>
            <w:tcW w:w="1980" w:type="dxa"/>
          </w:tcPr>
          <w:p w14:paraId="278C45E9" w14:textId="77777777" w:rsidR="00A23A3C" w:rsidRDefault="00000000">
            <w:pPr>
              <w:pStyle w:val="Compact"/>
            </w:pPr>
            <w:r>
              <w:t xml:space="preserve">Medium-Long (1-12 </w:t>
            </w:r>
            <w:r>
              <w:lastRenderedPageBreak/>
              <w:t>months)</w:t>
            </w:r>
          </w:p>
        </w:tc>
        <w:tc>
          <w:tcPr>
            <w:tcW w:w="1980" w:type="dxa"/>
          </w:tcPr>
          <w:p w14:paraId="4B62BCAF" w14:textId="77777777" w:rsidR="00A23A3C" w:rsidRDefault="00000000">
            <w:pPr>
              <w:pStyle w:val="Compact"/>
            </w:pPr>
            <w:r>
              <w:lastRenderedPageBreak/>
              <w:t>HoD and DoF</w:t>
            </w:r>
          </w:p>
        </w:tc>
      </w:tr>
    </w:tbl>
    <w:p w14:paraId="1C83CD6D" w14:textId="77777777" w:rsidR="00A23A3C" w:rsidRDefault="00000000">
      <w:pPr>
        <w:pStyle w:val="BodyText"/>
      </w:pPr>
      <w:r>
        <w:t>Abbreviations: ADE = Assistant Dean of Education; ADR = Associate Dean for Research; DM = Department Manager; DoF = Dean of Faculty; FMG = Faculty Management Group; FOO = Faculty Operations Officer; HoD = Head of Department; SRO = Strategic Research Office.</w:t>
      </w:r>
    </w:p>
    <w:p w14:paraId="076C93E9" w14:textId="77777777" w:rsidR="00A23A3C" w:rsidRDefault="00000000">
      <w:pPr>
        <w:pStyle w:val="BodyText"/>
      </w:pPr>
      <w:r>
        <w:t>The precise nature of the support should be stipulated at the time that a response is activated.</w:t>
      </w:r>
    </w:p>
    <w:p w14:paraId="6B7305CB" w14:textId="77777777" w:rsidR="00A23A3C" w:rsidRDefault="00000000">
      <w:pPr>
        <w:pStyle w:val="BodyText"/>
      </w:pPr>
      <w:r>
        <w:t>Activation of these mechanisms may have collateral impacts that should be considered, including redistribution of teaching load to other staff, delays to other administrative priorities, and financial implications. Care should be taken to ensure opportunities to participate in outbreak response are distributed fairly and not limited to existing informal networks, and that staff with caring responsibilities or on precarious contracts are not disadvantaged.</w:t>
      </w:r>
    </w:p>
    <w:p w14:paraId="36B226C5" w14:textId="77777777" w:rsidR="00A23A3C" w:rsidRDefault="00000000">
      <w:pPr>
        <w:pStyle w:val="Heading1"/>
      </w:pPr>
      <w:bookmarkStart w:id="8" w:name="decision-making-process"/>
      <w:bookmarkStart w:id="9" w:name="_Toc221100198"/>
      <w:bookmarkEnd w:id="6"/>
      <w:r>
        <w:t>Decision-making process</w:t>
      </w:r>
      <w:bookmarkEnd w:id="9"/>
    </w:p>
    <w:p w14:paraId="6B862E4D" w14:textId="77777777" w:rsidR="00A23A3C" w:rsidRDefault="00000000">
      <w:pPr>
        <w:pStyle w:val="FirstParagraph"/>
      </w:pPr>
      <w:r>
        <w:t>A suitable decision making process for when support is triggered would involve an initial request (maximum 2 pages A4) to a suitable decision-making body (e.g. FMG or some other School-level instance that can consider both financial and strategic implications) outlining the emergency, proposed response and resource requirements, and conditions for scaling down. This could then be evaluated against the criteria outlined above. It would be followed by initial authorisation (or refusal) and for a defined period and monthly review.</w:t>
      </w:r>
    </w:p>
    <w:p w14:paraId="15AB3EE7" w14:textId="77777777" w:rsidR="00A23A3C" w:rsidRDefault="00000000">
      <w:pPr>
        <w:pStyle w:val="Heading1"/>
      </w:pPr>
      <w:bookmarkStart w:id="10" w:name="expected-impact-and-benefits"/>
      <w:bookmarkStart w:id="11" w:name="_Toc221100199"/>
      <w:bookmarkEnd w:id="8"/>
      <w:r>
        <w:t>Expected impact and benefits</w:t>
      </w:r>
      <w:bookmarkEnd w:id="11"/>
    </w:p>
    <w:p w14:paraId="6598F237" w14:textId="77777777" w:rsidR="00A23A3C" w:rsidRDefault="00000000">
      <w:pPr>
        <w:pStyle w:val="FirstParagraph"/>
      </w:pPr>
      <w:r>
        <w:t>We would not expect requests to occur more often than the declaration of Public health emergencies of international concern by WHO, of which there have been 8 in 15 years. Long-term benefits to LSHTM and its faculties include the reputational advantage of having a policy in place with implications on attractiveness to employees, potential for substantial grant income building on the responses, high-impact publications and compelling impact studies for REF, and strategic partnerships with government agencies and international organisations. Previous outbreak responses have directly led to major research funding (e.g. Epiverse-TRACE, EHR grants), new educational programmes, and external recognition.</w:t>
      </w:r>
    </w:p>
    <w:p w14:paraId="37912111" w14:textId="77777777" w:rsidR="00A23A3C" w:rsidRDefault="00000000">
      <w:pPr>
        <w:pStyle w:val="BodyText"/>
      </w:pPr>
      <w:r>
        <w:t xml:space="preserve">The establishment of a formal process would also allow LSHTM to seize opportunities to bring in a wider range of experts to outbreak response, including those that are excluded </w:t>
      </w:r>
      <w:r>
        <w:lastRenderedPageBreak/>
        <w:t>from opportunities to produce impactful work because they are not part of existing informal networks.</w:t>
      </w:r>
      <w:bookmarkEnd w:id="10"/>
    </w:p>
    <w:sectPr w:rsidR="00A23A3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804E5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EB80D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53692662">
    <w:abstractNumId w:val="0"/>
  </w:num>
  <w:num w:numId="2" w16cid:durableId="63530015">
    <w:abstractNumId w:val="1"/>
  </w:num>
  <w:num w:numId="3" w16cid:durableId="1773159253">
    <w:abstractNumId w:val="1"/>
  </w:num>
  <w:num w:numId="4" w16cid:durableId="1209993094">
    <w:abstractNumId w:val="1"/>
  </w:num>
  <w:num w:numId="5" w16cid:durableId="876627568">
    <w:abstractNumId w:val="1"/>
  </w:num>
  <w:num w:numId="6" w16cid:durableId="1307204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23A3C"/>
    <w:rsid w:val="002B7C1A"/>
    <w:rsid w:val="00A23A3C"/>
    <w:rsid w:val="00C23B0A"/>
    <w:rsid w:val="00C26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B11A03"/>
  <w15:docId w15:val="{8E06B4E1-95E0-9142-962E-E39DF753A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2B7C1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llcomeopenresearch.org/articles/9-12" TargetMode="External"/><Relationship Id="rId3" Type="http://schemas.openxmlformats.org/officeDocument/2006/relationships/settings" Target="settings.xml"/><Relationship Id="rId7" Type="http://schemas.openxmlformats.org/officeDocument/2006/relationships/hyperlink" Target="https://doi.org/10.1371/journal.pgph.00026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shtm.ac.uk/newsevents/news/2022/lshtm-receives-queens-anniversary-prize-covid-19-response-team-effort" TargetMode="External"/><Relationship Id="rId11" Type="http://schemas.openxmlformats.org/officeDocument/2006/relationships/theme" Target="theme/theme1.xml"/><Relationship Id="rId5" Type="http://schemas.openxmlformats.org/officeDocument/2006/relationships/hyperlink" Target="https://www.lshtm.ac.uk/research/research-action/impact-case-studi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98/rsfs.2025.0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1531</Words>
  <Characters>9161</Characters>
  <Application>Microsoft Office Word</Application>
  <DocSecurity>0</DocSecurity>
  <Lines>241</Lines>
  <Paragraphs>125</Paragraphs>
  <ScaleCrop>false</ScaleCrop>
  <Company/>
  <LinksUpToDate>false</LinksUpToDate>
  <CharactersWithSpaces>10567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Institutional Support for Emergency Research Responses</dc:title>
  <dc:creator>Sebastian Funk; Katharine Sherratt; Kathleen O’Reilly; Sam Abbott; Roz Eggo</dc:creator>
  <cp:keywords/>
  <cp:lastModifiedBy>Sebastian Funk</cp:lastModifiedBy>
  <cp:revision>3</cp:revision>
  <dcterms:created xsi:type="dcterms:W3CDTF">2026-02-04T12:07:00Z</dcterms:created>
  <dcterms:modified xsi:type="dcterms:W3CDTF">2026-02-04T12:23:00Z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