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1.png" ContentType="image/png"/>
  <Override PartName="/word/media/rId28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ecodive: Fast Implementations of Ecological Diversity Metrics in R</w:t>
      </w:r>
    </w:p>
    <w:p>
      <w:pPr>
        <w:pStyle w:val="Date"/>
      </w:pPr>
      <w:r>
        <w:t xml:space="preserve">04 August 2025</w:t>
      </w:r>
    </w:p>
    <w:p>
      <w:pPr>
        <w:pStyle w:val="CaptionedFigure"/>
      </w:pPr>
      <w:r>
        <w:drawing>
          <wp:inline>
            <wp:extent cx="1905000" cy="1905000"/>
            <wp:effectExtent b="0" l="0" r="0" t="0"/>
            <wp:docPr descr="Ecodive package logo" title="" id="21" name="Picture"/>
            <a:graphic>
              <a:graphicData uri="http://schemas.openxmlformats.org/drawingml/2006/picture">
                <pic:pic>
                  <pic:nvPicPr>
                    <pic:cNvPr descr="../logo/ecodiv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Ecodive package logo</w:t>
      </w:r>
    </w:p>
    <w:bookmarkStart w:id="23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In the context of ecology, diversity measures the distribution of different</w:t>
      </w:r>
      <w:r>
        <w:t xml:space="preserve"> </w:t>
      </w:r>
      <w:r>
        <w:t xml:space="preserve">species within in a community. This calculation may include the number of</w:t>
      </w:r>
      <w:r>
        <w:t xml:space="preserve"> </w:t>
      </w:r>
      <w:r>
        <w:t xml:space="preserve">species present, relative abundances, evolutionary relationships, or a</w:t>
      </w:r>
      <w:r>
        <w:t xml:space="preserve"> </w:t>
      </w:r>
      <w:r>
        <w:t xml:space="preserve">combination thereof. Alpha diversity metrics consider a single community in</w:t>
      </w:r>
      <w:r>
        <w:t xml:space="preserve"> </w:t>
      </w:r>
      <w:r>
        <w:t xml:space="preserve">isolation, whereas beta diversity metrics compute the dissimilarity between two</w:t>
      </w:r>
      <w:r>
        <w:t xml:space="preserve"> </w:t>
      </w:r>
      <w:r>
        <w:t xml:space="preserve">communities.</w:t>
      </w:r>
    </w:p>
    <w:p>
      <w:pPr>
        <w:pStyle w:val="BodyText"/>
      </w:pPr>
      <w:r>
        <w:t xml:space="preserve">Applying diversity metrics to large collections of communities, for instance</w:t>
      </w:r>
      <w:r>
        <w:t xml:space="preserve"> </w:t>
      </w:r>
      <w:r>
        <w:t xml:space="preserve">thousands of gut microbiome samples, can offer insights into how specific</w:t>
      </w:r>
      <w:r>
        <w:t xml:space="preserve"> </w:t>
      </w:r>
      <w:r>
        <w:t xml:space="preserve">disease states may be predicted or diagnosed based on ecological</w:t>
      </w:r>
      <w:r>
        <w:t xml:space="preserve"> </w:t>
      </w:r>
      <w:r>
        <w:t xml:space="preserve">“fingerprints”</w:t>
      </w:r>
      <w:r>
        <w:t xml:space="preserve">.</w:t>
      </w:r>
    </w:p>
    <w:bookmarkEnd w:id="23"/>
    <w:bookmarkStart w:id="35" w:name="statement-of-need"/>
    <w:p>
      <w:pPr>
        <w:pStyle w:val="Heading1"/>
      </w:pPr>
      <w:r>
        <w:t xml:space="preserve">Statement of Need</w:t>
      </w:r>
    </w:p>
    <w:p>
      <w:pPr>
        <w:pStyle w:val="FirstParagraph"/>
      </w:pPr>
      <w:r>
        <w:t xml:space="preserve">Some diversity metrics, such as Faith’s PD</w:t>
      </w:r>
      <w:r>
        <w:t xml:space="preserve"> </w:t>
      </w:r>
      <w:r>
        <w:t xml:space="preserve">(Faith 1992)</w:t>
      </w:r>
      <w:r>
        <w:t xml:space="preserve"> </w:t>
      </w:r>
      <w:r>
        <w:t xml:space="preserve">and UniFrac</w:t>
      </w:r>
      <w:r>
        <w:t xml:space="preserve"> </w:t>
      </w:r>
      <w:r>
        <w:t xml:space="preserve">(Lozupone and Knight 2005)</w:t>
      </w:r>
      <w:r>
        <w:t xml:space="preserve">,</w:t>
      </w:r>
      <w:r>
        <w:t xml:space="preserve"> </w:t>
      </w:r>
      <w:r>
        <w:t xml:space="preserve">require complex integration species counts with evolutionary distances.</w:t>
      </w:r>
      <w:r>
        <w:t xml:space="preserve"> </w:t>
      </w:r>
      <w:r>
        <w:t xml:space="preserve">Furthermore, processing thousands of communities is computationally intensive</w:t>
      </w:r>
      <w:r>
        <w:t xml:space="preserve"> </w:t>
      </w:r>
      <w:r>
        <w:t xml:space="preserve">and best implemented with parallel processing and compiled libraries. For these</w:t>
      </w:r>
      <w:r>
        <w:t xml:space="preserve"> </w:t>
      </w:r>
      <w:r>
        <w:t xml:space="preserve">reasons, the ecodive R package was developed to handle these challenges so that</w:t>
      </w:r>
      <w:r>
        <w:t xml:space="preserve"> </w:t>
      </w:r>
      <w:r>
        <w:t xml:space="preserve">R users don’t have to.</w:t>
      </w:r>
    </w:p>
    <w:bookmarkStart w:id="34" w:name="related-works"/>
    <w:p>
      <w:pPr>
        <w:pStyle w:val="Heading2"/>
      </w:pPr>
      <w:r>
        <w:t xml:space="preserve">Related Works</w:t>
      </w:r>
    </w:p>
    <w:p>
      <w:pPr>
        <w:pStyle w:val="FirstParagraph"/>
      </w:pPr>
      <w:r>
        <w:t xml:space="preserve">There are currently five other R packages that can calculate alpha and beta</w:t>
      </w:r>
      <w:r>
        <w:t xml:space="preserve"> </w:t>
      </w:r>
      <w:r>
        <w:t xml:space="preserve">diversity metrics: abdiv</w:t>
      </w:r>
      <w:r>
        <w:t xml:space="preserve"> </w:t>
      </w:r>
      <w:r>
        <w:t xml:space="preserve">(Bittinger 2020)</w:t>
      </w:r>
      <w:r>
        <w:t xml:space="preserve">, ampvis2</w:t>
      </w:r>
      <w:r>
        <w:t xml:space="preserve"> </w:t>
      </w:r>
      <w:r>
        <w:t xml:space="preserve">(Andersen et al. 2018)</w:t>
      </w:r>
      <w:r>
        <w:t xml:space="preserve">, GUniFrac</w:t>
      </w:r>
      <w:r>
        <w:t xml:space="preserve"> </w:t>
      </w:r>
      <w:r>
        <w:t xml:space="preserve">(Chen et al. 2023)</w:t>
      </w:r>
      <w:r>
        <w:t xml:space="preserve">,</w:t>
      </w:r>
      <w:r>
        <w:t xml:space="preserve"> </w:t>
      </w:r>
      <w:r>
        <w:t xml:space="preserve">phyloseq</w:t>
      </w:r>
      <w:r>
        <w:t xml:space="preserve"> </w:t>
      </w:r>
      <w:r>
        <w:t xml:space="preserve">(McMurdie and Holmes 2013)</w:t>
      </w:r>
      <w:r>
        <w:t xml:space="preserve">, and vegan</w:t>
      </w:r>
      <w:r>
        <w:t xml:space="preserve"> </w:t>
      </w:r>
      <w:r>
        <w:t xml:space="preserve">(Oksanen et al. 2025)</w:t>
      </w:r>
      <w:r>
        <w:t xml:space="preserve">. However, ecodive provides an</w:t>
      </w:r>
      <w:r>
        <w:t xml:space="preserve"> </w:t>
      </w:r>
      <w:r>
        <w:t xml:space="preserve">implementation which is both faster and more memory efficient.</w:t>
      </w:r>
    </w:p>
    <w:p>
      <w:pPr>
        <w:pStyle w:val="BodyText"/>
      </w:pPr>
      <w:r>
        <w:t xml:space="preserve">The bench R package</w:t>
      </w:r>
      <w:r>
        <w:t xml:space="preserve"> </w:t>
      </w:r>
      <w:r>
        <w:t xml:space="preserve">(Hester and Vaughan 2025)</w:t>
      </w:r>
      <w:r>
        <w:t xml:space="preserve"> </w:t>
      </w:r>
      <w:r>
        <w:t xml:space="preserve">was used to compare abdiv, ampvis2, ecodive,</w:t>
      </w:r>
      <w:r>
        <w:t xml:space="preserve"> </w:t>
      </w:r>
      <w:r>
        <w:t xml:space="preserve">GUniFrac, phyloseq, and vegan. The benchmarking runs are detailed in the</w:t>
      </w:r>
      <w:r>
        <w:t xml:space="preserve"> </w:t>
      </w:r>
      <w:r>
        <w:t xml:space="preserve">benchmark vignette, which is available from within R with</w:t>
      </w:r>
      <w:r>
        <w:t xml:space="preserve"> </w:t>
      </w:r>
      <w:r>
        <w:rPr>
          <w:rStyle w:val="VerbatimChar"/>
        </w:rPr>
        <w:t xml:space="preserve">vignette('benchmark')</w:t>
      </w:r>
      <w:r>
        <w:t xml:space="preserve"> </w:t>
      </w:r>
      <w:r>
        <w:t xml:space="preserve">and online at</w:t>
      </w:r>
      <w:r>
        <w:t xml:space="preserve"> </w:t>
      </w:r>
      <w:hyperlink r:id="rId24">
        <w:r>
          <w:rPr>
            <w:rStyle w:val="Hyperlink"/>
          </w:rPr>
          <w:t xml:space="preserve">https://cmmr.github.io/ecodive/articles/benchmark.html</w:t>
        </w:r>
      </w:hyperlink>
      <w:r>
        <w:t xml:space="preserve">.</w:t>
      </w:r>
    </w:p>
    <w:p>
      <w:pPr>
        <w:pStyle w:val="CaptionedFigure"/>
      </w:pPr>
      <w:r>
        <w:drawing>
          <wp:inline>
            <wp:extent cx="5334000" cy="2286000"/>
            <wp:effectExtent b="0" l="0" r="0" t="0"/>
            <wp:docPr descr="UniFrac benchmarks. Ecodive is 15x to 2800x faster and uses 60x - 25000x less memory." title="" id="26" name="Picture"/>
            <a:graphic>
              <a:graphicData uri="http://schemas.openxmlformats.org/drawingml/2006/picture">
                <pic:pic>
                  <pic:nvPicPr>
                    <pic:cNvPr descr="../man/figures/unifrac-benchmark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UniFrac benchmarks. Ecodive is 15x to 2800x faster and uses 60x - 25000x less memory.</w:t>
      </w:r>
    </w:p>
    <w:p>
      <w:pPr>
        <w:pStyle w:val="CaptionedFigure"/>
      </w:pPr>
      <w:r>
        <w:drawing>
          <wp:inline>
            <wp:extent cx="5334000" cy="2286000"/>
            <wp:effectExtent b="0" l="0" r="0" t="0"/>
            <wp:docPr descr="Classic beta diversity benchmarks. Ecodive is 23x to 160x faster and uses 0.8x to 640x less memory." title="" id="29" name="Picture"/>
            <a:graphic>
              <a:graphicData uri="http://schemas.openxmlformats.org/drawingml/2006/picture">
                <pic:pic>
                  <pic:nvPicPr>
                    <pic:cNvPr descr="../man/figures/bdiv-benchmark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Classic beta diversity benchmarks. Ecodive is 23x to 160x faster and uses 0.8x to 640x less memory.</w:t>
      </w:r>
    </w:p>
    <w:p>
      <w:pPr>
        <w:pStyle w:val="CaptionedFigure"/>
      </w:pPr>
      <w:r>
        <w:drawing>
          <wp:inline>
            <wp:extent cx="5334000" cy="2286000"/>
            <wp:effectExtent b="0" l="0" r="0" t="0"/>
            <wp:docPr descr="Alpha diversity benchmarks. Ecodive is 10x to 40x faster and uses 5x to 25x less memory." title="" id="32" name="Picture"/>
            <a:graphic>
              <a:graphicData uri="http://schemas.openxmlformats.org/drawingml/2006/picture">
                <pic:pic>
                  <pic:nvPicPr>
                    <pic:cNvPr descr="../man/figures/adiv-benchmark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Alpha diversity benchmarks. Ecodive is 10x to 40x faster and uses 5x to 25x less memory.</w:t>
      </w:r>
    </w:p>
    <w:bookmarkEnd w:id="34"/>
    <w:bookmarkEnd w:id="35"/>
    <w:bookmarkStart w:id="36" w:name="acknowledgements"/>
    <w:p>
      <w:pPr>
        <w:pStyle w:val="Heading1"/>
      </w:pPr>
      <w:r>
        <w:t xml:space="preserve">Acknowledgements</w:t>
      </w:r>
    </w:p>
    <w:bookmarkEnd w:id="36"/>
    <w:bookmarkStart w:id="54" w:name="references"/>
    <w:p>
      <w:pPr>
        <w:pStyle w:val="Heading1"/>
      </w:pPr>
      <w:r>
        <w:t xml:space="preserve">References</w:t>
      </w:r>
    </w:p>
    <w:bookmarkStart w:id="53" w:name="refs"/>
    <w:bookmarkStart w:id="38" w:name="ref-ampvis2"/>
    <w:p>
      <w:pPr>
        <w:pStyle w:val="Bibliography"/>
      </w:pPr>
      <w:r>
        <w:t xml:space="preserve">Andersen, Kasper S., Rasmus H. Kirkegaard, Soren M. Karst, and Mads Albertsen. 2018.</w:t>
      </w:r>
      <w:r>
        <w:t xml:space="preserve"> </w:t>
      </w:r>
      <w:r>
        <w:t xml:space="preserve">“Ampvis2: An r Package to Analyse and Visualise 16S rRNA Amplicon Data.”</w:t>
      </w:r>
      <w:r>
        <w:t xml:space="preserve"> </w:t>
      </w:r>
      <w:r>
        <w:rPr>
          <w:i/>
          <w:iCs/>
        </w:rPr>
        <w:t xml:space="preserve">bioRxiv</w:t>
      </w:r>
      <w:r>
        <w:t xml:space="preserve">.</w:t>
      </w:r>
      <w:r>
        <w:t xml:space="preserve"> </w:t>
      </w:r>
      <w:hyperlink r:id="rId37">
        <w:r>
          <w:rPr>
            <w:rStyle w:val="Hyperlink"/>
          </w:rPr>
          <w:t xml:space="preserve">https://doi.org/10.1101/299537</w:t>
        </w:r>
      </w:hyperlink>
      <w:r>
        <w:t xml:space="preserve">.</w:t>
      </w:r>
    </w:p>
    <w:bookmarkEnd w:id="38"/>
    <w:bookmarkStart w:id="40" w:name="ref-abdiv"/>
    <w:p>
      <w:pPr>
        <w:pStyle w:val="Bibliography"/>
      </w:pPr>
      <w:r>
        <w:t xml:space="preserve">Bittinger, Kyle. 2020.</w:t>
      </w:r>
      <w:r>
        <w:t xml:space="preserve"> </w:t>
      </w:r>
      <w:r>
        <w:rPr>
          <w:i/>
          <w:iCs/>
        </w:rPr>
        <w:t xml:space="preserve">Abdiv: Alpha and Beta Diversity Measures</w:t>
      </w:r>
      <w:r>
        <w:t xml:space="preserve">.</w:t>
      </w:r>
      <w:r>
        <w:t xml:space="preserve"> </w:t>
      </w:r>
      <w:hyperlink r:id="rId39">
        <w:r>
          <w:rPr>
            <w:rStyle w:val="Hyperlink"/>
          </w:rPr>
          <w:t xml:space="preserve">https://doi.org/10.32614/CRAN.package.abdiv</w:t>
        </w:r>
      </w:hyperlink>
      <w:r>
        <w:t xml:space="preserve">.</w:t>
      </w:r>
    </w:p>
    <w:bookmarkEnd w:id="40"/>
    <w:bookmarkStart w:id="42" w:name="ref-GUniFrac"/>
    <w:p>
      <w:pPr>
        <w:pStyle w:val="Bibliography"/>
      </w:pPr>
      <w:r>
        <w:t xml:space="preserve">Chen, Jun, Xianyang Zhang, Lu Yang, and Lujun Zhang. 2023.</w:t>
      </w:r>
      <w:r>
        <w:t xml:space="preserve"> </w:t>
      </w:r>
      <w:r>
        <w:rPr>
          <w:i/>
          <w:iCs/>
        </w:rPr>
        <w:t xml:space="preserve">GUniFrac: Generalized UniFrac Distances, Distance-Based Multivariate Methods and Feature-Based Univariate Methods for Microbiome Data Analysis</w:t>
      </w:r>
      <w:r>
        <w:t xml:space="preserve">.</w:t>
      </w:r>
      <w:r>
        <w:t xml:space="preserve"> </w:t>
      </w:r>
      <w:hyperlink r:id="rId41">
        <w:r>
          <w:rPr>
            <w:rStyle w:val="Hyperlink"/>
          </w:rPr>
          <w:t xml:space="preserve">https://doi.org/10.32614/CRAN.package.GUniFrac</w:t>
        </w:r>
      </w:hyperlink>
      <w:r>
        <w:t xml:space="preserve">.</w:t>
      </w:r>
    </w:p>
    <w:bookmarkEnd w:id="42"/>
    <w:bookmarkStart w:id="44" w:name="ref-FaithPD"/>
    <w:p>
      <w:pPr>
        <w:pStyle w:val="Bibliography"/>
      </w:pPr>
      <w:r>
        <w:t xml:space="preserve">Faith, Daniel P. 1992.</w:t>
      </w:r>
      <w:r>
        <w:t xml:space="preserve"> </w:t>
      </w:r>
      <w:r>
        <w:t xml:space="preserve">“Conservation Evaluation and Phylogenetic Diversity.”</w:t>
      </w:r>
      <w:r>
        <w:t xml:space="preserve"> </w:t>
      </w:r>
      <w:r>
        <w:rPr>
          <w:i/>
          <w:iCs/>
        </w:rPr>
        <w:t xml:space="preserve">Biological Conservation</w:t>
      </w:r>
      <w:r>
        <w:t xml:space="preserve"> </w:t>
      </w:r>
      <w:r>
        <w:t xml:space="preserve">61 (1): 1–10.</w:t>
      </w:r>
      <w:r>
        <w:t xml:space="preserve"> </w:t>
      </w:r>
      <w:hyperlink r:id="rId43">
        <w:r>
          <w:rPr>
            <w:rStyle w:val="Hyperlink"/>
          </w:rPr>
          <w:t xml:space="preserve">https://doi.org/10.1016/0006-3207(92)91201-3</w:t>
        </w:r>
      </w:hyperlink>
      <w:r>
        <w:t xml:space="preserve">.</w:t>
      </w:r>
    </w:p>
    <w:bookmarkEnd w:id="44"/>
    <w:bookmarkStart w:id="46" w:name="ref-bench"/>
    <w:p>
      <w:pPr>
        <w:pStyle w:val="Bibliography"/>
      </w:pPr>
      <w:r>
        <w:t xml:space="preserve">Hester, Jim, and Davis Vaughan. 2025.</w:t>
      </w:r>
      <w:r>
        <w:t xml:space="preserve"> </w:t>
      </w:r>
      <w:r>
        <w:rPr>
          <w:i/>
          <w:iCs/>
        </w:rPr>
        <w:t xml:space="preserve">Bench: High Precision Timing of r Expressions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https://doi.org/10.32614/CRAN.package.bench</w:t>
        </w:r>
      </w:hyperlink>
      <w:r>
        <w:t xml:space="preserve">.</w:t>
      </w:r>
    </w:p>
    <w:bookmarkEnd w:id="46"/>
    <w:bookmarkStart w:id="48" w:name="ref-UniFrac"/>
    <w:p>
      <w:pPr>
        <w:pStyle w:val="Bibliography"/>
      </w:pPr>
      <w:r>
        <w:t xml:space="preserve">Lozupone, Catherine, and Rob Knight. 2005.</w:t>
      </w:r>
      <w:r>
        <w:t xml:space="preserve"> </w:t>
      </w:r>
      <w:r>
        <w:t xml:space="preserve">“UniFrac: A New Phylogenetic Method for Comparing Microbial Communities.”</w:t>
      </w:r>
      <w:r>
        <w:t xml:space="preserve"> </w:t>
      </w:r>
      <w:r>
        <w:rPr>
          <w:i/>
          <w:iCs/>
        </w:rPr>
        <w:t xml:space="preserve">Applied and Environmental Microbiology</w:t>
      </w:r>
      <w:r>
        <w:t xml:space="preserve"> </w:t>
      </w:r>
      <w:r>
        <w:t xml:space="preserve">71 (12): 8228–35.</w:t>
      </w:r>
      <w:r>
        <w:t xml:space="preserve"> </w:t>
      </w:r>
      <w:hyperlink r:id="rId47">
        <w:r>
          <w:rPr>
            <w:rStyle w:val="Hyperlink"/>
          </w:rPr>
          <w:t xml:space="preserve">https://doi.org/10.1128/AEM.71.12.8228-8235.2005</w:t>
        </w:r>
      </w:hyperlink>
      <w:r>
        <w:t xml:space="preserve">.</w:t>
      </w:r>
    </w:p>
    <w:bookmarkEnd w:id="48"/>
    <w:bookmarkStart w:id="50" w:name="ref-phyloseq"/>
    <w:p>
      <w:pPr>
        <w:pStyle w:val="Bibliography"/>
      </w:pPr>
      <w:r>
        <w:t xml:space="preserve">McMurdie, Paul J, and Susan Holmes. 2013.</w:t>
      </w:r>
      <w:r>
        <w:t xml:space="preserve"> </w:t>
      </w:r>
      <w:r>
        <w:t xml:space="preserve">“Phyloseq: An r Package for Reproducible Interactive Analysis and Graphics of Microbiome Census Data.”</w:t>
      </w:r>
      <w:r>
        <w:t xml:space="preserve"> </w:t>
      </w:r>
      <w:r>
        <w:rPr>
          <w:i/>
          <w:iCs/>
        </w:rPr>
        <w:t xml:space="preserve">PloS One</w:t>
      </w:r>
      <w:r>
        <w:t xml:space="preserve"> </w:t>
      </w:r>
      <w:r>
        <w:t xml:space="preserve">8 (4): e61217.</w:t>
      </w:r>
      <w:r>
        <w:t xml:space="preserve"> </w:t>
      </w:r>
      <w:hyperlink r:id="rId49">
        <w:r>
          <w:rPr>
            <w:rStyle w:val="Hyperlink"/>
          </w:rPr>
          <w:t xml:space="preserve">https://doi.org/10.1371/journal.pone.0061217</w:t>
        </w:r>
      </w:hyperlink>
      <w:r>
        <w:t xml:space="preserve">.</w:t>
      </w:r>
    </w:p>
    <w:bookmarkEnd w:id="50"/>
    <w:bookmarkStart w:id="52" w:name="ref-vegan"/>
    <w:p>
      <w:pPr>
        <w:pStyle w:val="Bibliography"/>
      </w:pPr>
      <w:r>
        <w:t xml:space="preserve">Oksanen, Jari, Gavin L. Simpson, F. Guillaume Blanchet, Roeland Kindt, Pierre Legendre, Peter R. Minchin, R. B. O’Hara, et al. 2025.</w:t>
      </w:r>
      <w:r>
        <w:t xml:space="preserve"> </w:t>
      </w:r>
      <w:r>
        <w:rPr>
          <w:i/>
          <w:iCs/>
        </w:rPr>
        <w:t xml:space="preserve">Vegan: Community Ecology Package</w:t>
      </w:r>
      <w:r>
        <w:t xml:space="preserve">.</w:t>
      </w:r>
      <w:r>
        <w:t xml:space="preserve"> </w:t>
      </w:r>
      <w:hyperlink r:id="rId51">
        <w:r>
          <w:rPr>
            <w:rStyle w:val="Hyperlink"/>
          </w:rPr>
          <w:t xml:space="preserve">https://doi.org/10.32614/CRAN.package.vegan</w:t>
        </w:r>
      </w:hyperlink>
      <w:r>
        <w:t xml:space="preserve">.</w:t>
      </w:r>
    </w:p>
    <w:bookmarkEnd w:id="52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image" Id="rId28" Target="media/rId28.png" /><Relationship Type="http://schemas.openxmlformats.org/officeDocument/2006/relationships/image" Id="rId25" Target="media/rId25.png" /><Relationship Type="http://schemas.openxmlformats.org/officeDocument/2006/relationships/hyperlink" Id="rId24" Target="https://cmmr.github.io/ecodive/articles/benchmark.html" TargetMode="External" /><Relationship Type="http://schemas.openxmlformats.org/officeDocument/2006/relationships/hyperlink" Id="rId43" Target="https://doi.org/10.1016/0006-3207(92)91201-3" TargetMode="External" /><Relationship Type="http://schemas.openxmlformats.org/officeDocument/2006/relationships/hyperlink" Id="rId37" Target="https://doi.org/10.1101/299537" TargetMode="External" /><Relationship Type="http://schemas.openxmlformats.org/officeDocument/2006/relationships/hyperlink" Id="rId47" Target="https://doi.org/10.1128/AEM.71.12.8228-8235.2005" TargetMode="External" /><Relationship Type="http://schemas.openxmlformats.org/officeDocument/2006/relationships/hyperlink" Id="rId49" Target="https://doi.org/10.1371/journal.pone.0061217" TargetMode="External" /><Relationship Type="http://schemas.openxmlformats.org/officeDocument/2006/relationships/hyperlink" Id="rId41" Target="https://doi.org/10.32614/CRAN.package.GUniFrac" TargetMode="External" /><Relationship Type="http://schemas.openxmlformats.org/officeDocument/2006/relationships/hyperlink" Id="rId39" Target="https://doi.org/10.32614/CRAN.package.abdiv" TargetMode="External" /><Relationship Type="http://schemas.openxmlformats.org/officeDocument/2006/relationships/hyperlink" Id="rId45" Target="https://doi.org/10.32614/CRAN.package.bench" TargetMode="External" /><Relationship Type="http://schemas.openxmlformats.org/officeDocument/2006/relationships/hyperlink" Id="rId51" Target="https://doi.org/10.32614/CRAN.package.veg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mmr.github.io/ecodive/articles/benchmark.html" TargetMode="External" /><Relationship Type="http://schemas.openxmlformats.org/officeDocument/2006/relationships/hyperlink" Id="rId43" Target="https://doi.org/10.1016/0006-3207(92)91201-3" TargetMode="External" /><Relationship Type="http://schemas.openxmlformats.org/officeDocument/2006/relationships/hyperlink" Id="rId37" Target="https://doi.org/10.1101/299537" TargetMode="External" /><Relationship Type="http://schemas.openxmlformats.org/officeDocument/2006/relationships/hyperlink" Id="rId47" Target="https://doi.org/10.1128/AEM.71.12.8228-8235.2005" TargetMode="External" /><Relationship Type="http://schemas.openxmlformats.org/officeDocument/2006/relationships/hyperlink" Id="rId49" Target="https://doi.org/10.1371/journal.pone.0061217" TargetMode="External" /><Relationship Type="http://schemas.openxmlformats.org/officeDocument/2006/relationships/hyperlink" Id="rId41" Target="https://doi.org/10.32614/CRAN.package.GUniFrac" TargetMode="External" /><Relationship Type="http://schemas.openxmlformats.org/officeDocument/2006/relationships/hyperlink" Id="rId39" Target="https://doi.org/10.32614/CRAN.package.abdiv" TargetMode="External" /><Relationship Type="http://schemas.openxmlformats.org/officeDocument/2006/relationships/hyperlink" Id="rId45" Target="https://doi.org/10.32614/CRAN.package.bench" TargetMode="External" /><Relationship Type="http://schemas.openxmlformats.org/officeDocument/2006/relationships/hyperlink" Id="rId51" Target="https://doi.org/10.32614/CRAN.package.veg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ecodive: Fast Implementations of Ecological Diversity Metrics in R</dc:title>
  <dc:creator/>
  <cp:keywords/>
  <dcterms:created xsi:type="dcterms:W3CDTF">2025-08-04T20:37:06Z</dcterms:created>
  <dcterms:modified xsi:type="dcterms:W3CDTF">2025-08-04T20:37:06Z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graphy">
    <vt:lpwstr>paper.bib</vt:lpwstr>
  </property>
  <property fmtid="{D5CDD505-2E9C-101B-9397-08002B2CF9AE}" pid="5" name="date">
    <vt:lpwstr>04 August 2025</vt:lpwstr>
  </property>
  <property fmtid="{D5CDD505-2E9C-101B-9397-08002B2CF9AE}" pid="6" name="output">
    <vt:lpwstr/>
  </property>
  <property fmtid="{D5CDD505-2E9C-101B-9397-08002B2CF9AE}" pid="7" name="tags">
    <vt:lpwstr/>
  </property>
</Properties>
</file>