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  <Override PartName="/word/media/rId20.png" ContentType="image/png"/>
  <Override PartName="/word/media/rId2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ecodive: Parallel and Memory-Efficient R Package for Ecological Diversity Analysis</w:t>
      </w:r>
    </w:p>
    <w:p>
      <w:pPr>
        <w:pStyle w:val="Date"/>
      </w:pPr>
      <w:r>
        <w:t xml:space="preserve">15 August 2025</w:t>
      </w:r>
    </w:p>
    <w:p>
      <w:pPr>
        <w:pStyle w:val="CaptionedFigure"/>
      </w:pPr>
      <w:r>
        <w:drawing>
          <wp:inline>
            <wp:extent cx="1647825" cy="1905000"/>
            <wp:effectExtent b="0" l="0" r="0" t="0"/>
            <wp:docPr descr="ecodive package logo" title="" id="21" name="Picture"/>
            <a:graphic>
              <a:graphicData uri="http://schemas.openxmlformats.org/drawingml/2006/picture">
                <pic:pic>
                  <pic:nvPicPr>
                    <pic:cNvPr descr="../man/figures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package logo</w:t>
      </w:r>
    </w:p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ecology, diversity measures the composition of communities and is the first</w:t>
      </w:r>
      <w:r>
        <w:t xml:space="preserve"> </w:t>
      </w:r>
      <w:r>
        <w:t xml:space="preserve">step toward understanding the role communities play within their environment.</w:t>
      </w:r>
      <w:r>
        <w:t xml:space="preserve"> </w:t>
      </w:r>
      <w:r>
        <w:t xml:space="preserve">The most common measures of diversity in microbiome research are alpha-diversity</w:t>
      </w:r>
      <w:r>
        <w:t xml:space="preserve"> </w:t>
      </w:r>
      <w:r>
        <w:t xml:space="preserve">and beta-diversity. While alpha-diversity aims to describe the richness and</w:t>
      </w:r>
      <w:r>
        <w:t xml:space="preserve"> </w:t>
      </w:r>
      <w:r>
        <w:t xml:space="preserve">evenness of features within a single sample, beta-diversity assesses the</w:t>
      </w:r>
      <w:r>
        <w:t xml:space="preserve"> </w:t>
      </w:r>
      <w:r>
        <w:t xml:space="preserve">dissimilarities between two or more communities. Diversity calculations may</w:t>
      </w:r>
      <w:r>
        <w:t xml:space="preserve"> </w:t>
      </w:r>
      <w:r>
        <w:t xml:space="preserve">include the number of species or other features present, relative abundances,</w:t>
      </w:r>
      <w:r>
        <w:t xml:space="preserve"> </w:t>
      </w:r>
      <w:r>
        <w:t xml:space="preserve">evolutionary relationships, or a combination thereof.</w:t>
      </w:r>
    </w:p>
    <w:p>
      <w:pPr>
        <w:pStyle w:val="BodyText"/>
      </w:pPr>
      <w:r>
        <w:t xml:space="preserve">Applying these metrics to large collections of communities, such as thousands of</w:t>
      </w:r>
      <w:r>
        <w:t xml:space="preserve"> </w:t>
      </w:r>
      <w:r>
        <w:t xml:space="preserve">gut microbiome samples, offers insights into predicting or diagnosing disease</w:t>
      </w:r>
      <w:r>
        <w:t xml:space="preserve"> </w:t>
      </w:r>
      <w:r>
        <w:t xml:space="preserve">states through ecological</w:t>
      </w:r>
      <w:r>
        <w:t xml:space="preserve"> </w:t>
      </w:r>
      <w:r>
        <w:t xml:space="preserve">“fingerprints,”</w:t>
      </w:r>
      <w:r>
        <w:t xml:space="preserve"> </w:t>
      </w:r>
      <w:r>
        <w:t xml:space="preserve">a computationally intensive task.</w:t>
      </w:r>
    </w:p>
    <w:bookmarkEnd w:id="23"/>
    <w:bookmarkStart w:id="35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Processing diversity metrics for thousands of communities is computationally</w:t>
      </w:r>
      <w:r>
        <w:t xml:space="preserve"> </w:t>
      </w:r>
      <w:r>
        <w:t xml:space="preserve">intensive. The speed and memory footprint of these calculations often become a</w:t>
      </w:r>
      <w:r>
        <w:t xml:space="preserve"> </w:t>
      </w:r>
      <w:r>
        <w:t xml:space="preserve">bottleneck for analysis, limiting the scope and scale of research studies. This</w:t>
      </w:r>
      <w:r>
        <w:t xml:space="preserve"> </w:t>
      </w:r>
      <w:r>
        <w:t xml:space="preserve">is especially true for Faith’s PD</w:t>
      </w:r>
      <w:r>
        <w:t xml:space="preserve"> </w:t>
      </w:r>
      <w:r>
        <w:t xml:space="preserve">(Faith 1992)</w:t>
      </w:r>
      <w:r>
        <w:t xml:space="preserve"> </w:t>
      </w:r>
      <w:r>
        <w:t xml:space="preserve">and UniFrac</w:t>
      </w:r>
      <w:r>
        <w:t xml:space="preserve"> </w:t>
      </w:r>
      <w:r>
        <w:t xml:space="preserve">(C. Lozupone and Knight 2005)</w:t>
      </w:r>
      <w:r>
        <w:t xml:space="preserve">,</w:t>
      </w:r>
      <w:r>
        <w:t xml:space="preserve"> </w:t>
      </w:r>
      <w:r>
        <w:t xml:space="preserve">which require complex integration of species counts with evolutionary distances</w:t>
      </w:r>
      <w:r>
        <w:t xml:space="preserve"> </w:t>
      </w:r>
      <w:r>
        <w:t xml:space="preserve">by traversing phylogenetic trees. A faster and more memory-efficient</w:t>
      </w:r>
      <w:r>
        <w:t xml:space="preserve"> </w:t>
      </w:r>
      <w:r>
        <w:t xml:space="preserve">implementation enables researchers to analyze a greater number of samples,</w:t>
      </w:r>
      <w:r>
        <w:t xml:space="preserve"> </w:t>
      </w:r>
      <w:r>
        <w:t xml:space="preserve">leading to more robust and comprehensive insights. The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R package</w:t>
      </w:r>
      <w:r>
        <w:t xml:space="preserve"> </w:t>
      </w:r>
      <w:r>
        <w:t xml:space="preserve">addresses these challenges by employing a compiled C library with pthreads</w:t>
      </w:r>
      <w:r>
        <w:t xml:space="preserve"> </w:t>
      </w:r>
      <w:r>
        <w:t xml:space="preserve">parallelization to efficiently compute these metrics, offering significant</w:t>
      </w:r>
      <w:r>
        <w:t xml:space="preserve"> </w:t>
      </w:r>
      <w:r>
        <w:t xml:space="preserve">performance gains.</w:t>
      </w:r>
    </w:p>
    <w:bookmarkStart w:id="34" w:name="related-works"/>
    <w:p>
      <w:pPr>
        <w:pStyle w:val="Heading2"/>
      </w:pPr>
      <w:r>
        <w:t xml:space="preserve">Related Works</w:t>
      </w:r>
    </w:p>
    <w:p>
      <w:pPr>
        <w:pStyle w:val="FirstParagraph"/>
      </w:pPr>
      <w:r>
        <w:t xml:space="preserve">There are currently nine other R packages that can calculate alpha and beta</w:t>
      </w:r>
      <w:r>
        <w:t xml:space="preserve"> </w:t>
      </w:r>
      <w:r>
        <w:t xml:space="preserve">diversity metrics:</w:t>
      </w:r>
      <w:r>
        <w:t xml:space="preserve"> </w:t>
      </w:r>
      <w:r>
        <w:rPr>
          <w:rStyle w:val="VerbatimChar"/>
        </w:rPr>
        <w:t xml:space="preserve">abdiv</w:t>
      </w:r>
      <w:r>
        <w:t xml:space="preserve"> </w:t>
      </w:r>
      <w:r>
        <w:t xml:space="preserve">(Bittinger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adiv</w:t>
      </w:r>
      <w:r>
        <w:t xml:space="preserve"> </w:t>
      </w:r>
      <w:r>
        <w:t xml:space="preserve">(Pavoine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ampvis2</w:t>
      </w:r>
      <w:r>
        <w:t xml:space="preserve"> </w:t>
      </w:r>
      <w:r>
        <w:t xml:space="preserve">(Andersen et al. 2018)</w:t>
      </w:r>
      <w:r>
        <w:t xml:space="preserve">,</w:t>
      </w:r>
      <w:r>
        <w:t xml:space="preserve"> </w:t>
      </w:r>
      <w:r>
        <w:rPr>
          <w:rStyle w:val="VerbatimChar"/>
        </w:rPr>
        <w:t xml:space="preserve">entropart</w:t>
      </w:r>
      <w:r>
        <w:t xml:space="preserve"> </w:t>
      </w:r>
      <w:r>
        <w:t xml:space="preserve">(Marcon and Herault 2015)</w:t>
      </w:r>
      <w:r>
        <w:t xml:space="preserve">,</w:t>
      </w:r>
      <w:r>
        <w:t xml:space="preserve"> </w:t>
      </w:r>
      <w:r>
        <w:rPr>
          <w:rStyle w:val="VerbatimChar"/>
        </w:rPr>
        <w:t xml:space="preserve">GUniFrac</w:t>
      </w:r>
      <w:r>
        <w:t xml:space="preserve"> </w:t>
      </w:r>
      <w:r>
        <w:t xml:space="preserve">(Chen et al. 2023)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phyloregion</w:t>
      </w:r>
      <w:r>
        <w:t xml:space="preserve"> </w:t>
      </w:r>
      <w:r>
        <w:t xml:space="preserve">(Daru, Karunarathne, and Schliep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(McMurdie and Holmes 2013)</w:t>
      </w:r>
      <w:r>
        <w:t xml:space="preserve">,</w:t>
      </w:r>
      <w:r>
        <w:t xml:space="preserve"> </w:t>
      </w:r>
      <w:r>
        <w:rPr>
          <w:rStyle w:val="VerbatimChar"/>
        </w:rPr>
        <w:t xml:space="preserve">picante</w:t>
      </w:r>
      <w:r>
        <w:t xml:space="preserve"> </w:t>
      </w:r>
      <w:r>
        <w:t xml:space="preserve">(Kembel et al. 2010)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(Oksanen et al. 2025)</w:t>
      </w:r>
      <w:r>
        <w:t xml:space="preserve">. While</w:t>
      </w:r>
      <w:r>
        <w:t xml:space="preserve"> </w:t>
      </w:r>
      <w:r>
        <w:t xml:space="preserve">several R packages offer diversity metric calculations,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distinguishes</w:t>
      </w:r>
      <w:r>
        <w:t xml:space="preserve"> </w:t>
      </w:r>
      <w:r>
        <w:t xml:space="preserve">itself by providing an implementation that is both significantly faster and more</w:t>
      </w:r>
      <w:r>
        <w:t xml:space="preserve"> </w:t>
      </w:r>
      <w:r>
        <w:t xml:space="preserve">memory efficient. This superior performance, across various diversity metrics,</w:t>
      </w:r>
      <w:r>
        <w:t xml:space="preserve"> </w:t>
      </w:r>
      <w:r>
        <w:t xml:space="preserve">is rigorously demonstrated in Figures 1-3 through comprehensive benchmarking.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bench</w:t>
      </w:r>
      <w:r>
        <w:t xml:space="preserve"> </w:t>
      </w:r>
      <w:r>
        <w:t xml:space="preserve">R package</w:t>
      </w:r>
      <w:r>
        <w:t xml:space="preserve"> </w:t>
      </w:r>
      <w:r>
        <w:t xml:space="preserve">(Hester and Vaughan 2025)</w:t>
      </w:r>
      <w:r>
        <w:t xml:space="preserve"> </w:t>
      </w:r>
      <w:r>
        <w:t xml:space="preserve">was used to compare</w:t>
      </w:r>
      <w:r>
        <w:t xml:space="preserve"> </w:t>
      </w:r>
      <w:r>
        <w:rPr>
          <w:rStyle w:val="VerbatimChar"/>
        </w:rPr>
        <w:t xml:space="preserve">abdiv</w:t>
      </w:r>
      <w:r>
        <w:t xml:space="preserve">,</w:t>
      </w:r>
      <w:r>
        <w:t xml:space="preserve"> </w:t>
      </w:r>
      <w:r>
        <w:rPr>
          <w:rStyle w:val="VerbatimChar"/>
        </w:rPr>
        <w:t xml:space="preserve">adiv</w:t>
      </w:r>
      <w:r>
        <w:t xml:space="preserve">,</w:t>
      </w:r>
      <w:r>
        <w:t xml:space="preserve"> </w:t>
      </w:r>
      <w:r>
        <w:rPr>
          <w:rStyle w:val="VerbatimChar"/>
        </w:rPr>
        <w:t xml:space="preserve">ampvis2</w:t>
      </w:r>
      <w:r>
        <w:t xml:space="preserve">,</w:t>
      </w:r>
      <w:r>
        <w:t xml:space="preserve"> </w:t>
      </w:r>
      <w:r>
        <w:rPr>
          <w:rStyle w:val="VerbatimChar"/>
        </w:rPr>
        <w:t xml:space="preserve">entropart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,</w:t>
      </w:r>
      <w:r>
        <w:t xml:space="preserve"> </w:t>
      </w:r>
      <w:r>
        <w:rPr>
          <w:rStyle w:val="VerbatimChar"/>
        </w:rPr>
        <w:t xml:space="preserve">GUniFrac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phyloregion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,</w:t>
      </w:r>
      <w:r>
        <w:t xml:space="preserve"> </w:t>
      </w:r>
      <w:r>
        <w:rPr>
          <w:rStyle w:val="VerbatimChar"/>
        </w:rPr>
        <w:t xml:space="preserve">picante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. The benchmarking runs are detailed in the benchmark vignette, which is</w:t>
      </w:r>
      <w:r>
        <w:t xml:space="preserve"> </w:t>
      </w:r>
      <w:r>
        <w:t xml:space="preserve">available from within R with</w:t>
      </w:r>
      <w:r>
        <w:t xml:space="preserve"> </w:t>
      </w:r>
      <w:r>
        <w:rPr>
          <w:rStyle w:val="VerbatimChar"/>
        </w:rPr>
        <w:t xml:space="preserve">vignette('benchmark')</w:t>
      </w:r>
      <w:r>
        <w:t xml:space="preserve"> </w:t>
      </w:r>
      <w:r>
        <w:t xml:space="preserve">and online at</w:t>
      </w:r>
      <w:r>
        <w:t xml:space="preserve"> </w:t>
      </w:r>
      <w:hyperlink r:id="rId24">
        <w:r>
          <w:rPr>
            <w:rStyle w:val="Hyperlink"/>
          </w:rPr>
          <w:t xml:space="preserve">https://cmmr.github.io/ecodive/articles/benchmark.html</w:t>
        </w:r>
      </w:hyperlink>
      <w:r>
        <w:t xml:space="preserve">. Note that not all R</w:t>
      </w:r>
      <w:r>
        <w:t xml:space="preserve"> </w:t>
      </w:r>
      <w:r>
        <w:t xml:space="preserve">packages offer all diversity metrics.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1: UniFrac benchmarks. ecodive demonstrates substantial performance gains for UniFrac, being 2 to 3,900x faster and using 50 - 32,000x less memory, which helps overcome computational bottlenecks in large-scale analyses." title="" id="26" name="Picture"/>
            <a:graphic>
              <a:graphicData uri="http://schemas.openxmlformats.org/drawingml/2006/picture">
                <pic:pic>
                  <pic:nvPicPr>
                    <pic:cNvPr descr="../man/figures/unifrac-benchmark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UniFrac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demonstrates substantial performance gains for UniFrac, being 2 to 3,900x faster and using 50 - 32,000x less memory, which helps overcome computational bottlenecks in large-scale analyses.</w:t>
      </w:r>
    </w:p>
    <w:p>
      <w:pPr>
        <w:pStyle w:val="CaptionedFigure"/>
      </w:pPr>
      <w:r>
        <w:drawing>
          <wp:inline>
            <wp:extent cx="5334000" cy="2333625"/>
            <wp:effectExtent b="0" l="0" r="0" t="0"/>
            <wp:docPr descr="Figure 2: Classic beta diversity benchmarks. ecodive is 23 to 210x faster and uses 1 to 850x less memory, enabling more efficient analysis of community dissimilarities." title="" id="29" name="Picture"/>
            <a:graphic>
              <a:graphicData uri="http://schemas.openxmlformats.org/drawingml/2006/picture">
                <pic:pic>
                  <pic:nvPicPr>
                    <pic:cNvPr descr="../man/figures/bdiv-benchmark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Classic beta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23 to 210x faster and uses 1 to 850x less memory, enabling more efficient analysis of community dissimilarities.</w:t>
      </w:r>
    </w:p>
    <w:p>
      <w:pPr>
        <w:pStyle w:val="CaptionedFigure"/>
      </w:pPr>
      <w:r>
        <w:drawing>
          <wp:inline>
            <wp:extent cx="5334000" cy="2333625"/>
            <wp:effectExtent b="0" l="0" r="0" t="0"/>
            <wp:docPr descr="Figure 3: Alpha diversity benchmarks. ecodive is 2 to 43,000x faster and uses 1 to 33,000x less memory, significantly accelerating the analysis of diversity within single samples." title="" id="32" name="Picture"/>
            <a:graphic>
              <a:graphicData uri="http://schemas.openxmlformats.org/drawingml/2006/picture">
                <pic:pic>
                  <pic:nvPicPr>
                    <pic:cNvPr descr="../man/figures/adiv-benchmark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Alpha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2 to 43,000x faster and uses 1 to 33,000x less memory, significantly accelerating the analysis of diversity within single samples.</w:t>
      </w:r>
    </w:p>
    <w:bookmarkEnd w:id="34"/>
    <w:bookmarkEnd w:id="35"/>
    <w:bookmarkStart w:id="41" w:name="algorithms"/>
    <w:p>
      <w:pPr>
        <w:pStyle w:val="Heading1"/>
      </w:pPr>
      <w:r>
        <w:t xml:space="preserve">Algorithms</w:t>
      </w:r>
    </w:p>
    <w:p>
      <w:pPr>
        <w:pStyle w:val="FirstParagraph"/>
      </w:pPr>
      <w:r>
        <w:t xml:space="preserve">The full list of alpha and beta diversity metrics currently implemented by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provided below. This set of metrics is subject to expansion as new</w:t>
      </w:r>
      <w:r>
        <w:t xml:space="preserve"> </w:t>
      </w:r>
      <w:r>
        <w:t xml:space="preserve">functionalities are developed. Refer to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’s official documentation at</w:t>
      </w:r>
      <w:r>
        <w:t xml:space="preserve"> </w:t>
      </w:r>
      <w:hyperlink r:id="rId36">
        <w:r>
          <w:rPr>
            <w:rStyle w:val="Hyperlink"/>
          </w:rPr>
          <w:t xml:space="preserve">https://cmmr.github.io/ecodive/reference/index.html</w:t>
        </w:r>
      </w:hyperlink>
      <w:r>
        <w:t xml:space="preserve"> </w:t>
      </w:r>
      <w:r>
        <w:t xml:space="preserve">for the most up-to-date list</w:t>
      </w:r>
      <w:r>
        <w:t xml:space="preserve"> </w:t>
      </w:r>
      <w:r>
        <w:t xml:space="preserve">and detailed descriptions.</w:t>
      </w:r>
    </w:p>
    <w:bookmarkStart w:id="37" w:name="classic-alpha-diversity"/>
    <w:p>
      <w:pPr>
        <w:pStyle w:val="Heading3"/>
      </w:pPr>
      <w:r>
        <w:t xml:space="preserve">Classic Alpha Diversity</w:t>
      </w:r>
    </w:p>
    <w:p>
      <w:pPr>
        <w:pStyle w:val="Compact"/>
        <w:numPr>
          <w:ilvl w:val="0"/>
          <w:numId w:val="1001"/>
        </w:numPr>
      </w:pPr>
      <w:r>
        <w:t xml:space="preserve">Shannon Index</w:t>
      </w:r>
      <w:r>
        <w:t xml:space="preserve"> </w:t>
      </w:r>
      <w:r>
        <w:t xml:space="preserve">(Shannon 1948)</w:t>
      </w:r>
    </w:p>
    <w:p>
      <w:pPr>
        <w:pStyle w:val="Compact"/>
        <w:numPr>
          <w:ilvl w:val="0"/>
          <w:numId w:val="1001"/>
        </w:numPr>
      </w:pPr>
      <w:r>
        <w:t xml:space="preserve">Simpson Index</w:t>
      </w:r>
      <w:r>
        <w:t xml:space="preserve"> </w:t>
      </w:r>
      <w:r>
        <w:t xml:space="preserve">(Simpson 1949; Gini 1912)</w:t>
      </w:r>
    </w:p>
    <w:p>
      <w:pPr>
        <w:pStyle w:val="Compact"/>
        <w:numPr>
          <w:ilvl w:val="0"/>
          <w:numId w:val="1001"/>
        </w:numPr>
      </w:pPr>
      <w:r>
        <w:t xml:space="preserve">Inverse Simpson Index</w:t>
      </w:r>
      <w:r>
        <w:t xml:space="preserve"> </w:t>
      </w:r>
      <w:r>
        <w:t xml:space="preserve">(Simpson 1949)</w:t>
      </w:r>
    </w:p>
    <w:p>
      <w:pPr>
        <w:pStyle w:val="Compact"/>
        <w:numPr>
          <w:ilvl w:val="0"/>
          <w:numId w:val="1001"/>
        </w:numPr>
      </w:pPr>
      <w:r>
        <w:t xml:space="preserve">Chao1</w:t>
      </w:r>
      <w:r>
        <w:t xml:space="preserve"> </w:t>
      </w:r>
      <w:r>
        <w:t xml:space="preserve">(Chao 1984)</w:t>
      </w:r>
    </w:p>
    <w:bookmarkEnd w:id="37"/>
    <w:bookmarkStart w:id="38" w:name="phylogenetic-alpha-diversity"/>
    <w:p>
      <w:pPr>
        <w:pStyle w:val="Heading3"/>
      </w:pPr>
      <w:r>
        <w:t xml:space="preserve">Phylogenetic Alpha Diversity</w:t>
      </w:r>
    </w:p>
    <w:p>
      <w:pPr>
        <w:pStyle w:val="Compact"/>
        <w:numPr>
          <w:ilvl w:val="0"/>
          <w:numId w:val="1002"/>
        </w:numPr>
      </w:pPr>
      <w:r>
        <w:t xml:space="preserve">Faith’s Phylogenetic Diversity</w:t>
      </w:r>
      <w:r>
        <w:t xml:space="preserve"> </w:t>
      </w:r>
      <w:r>
        <w:t xml:space="preserve">(Faith 1992)</w:t>
      </w:r>
    </w:p>
    <w:bookmarkEnd w:id="38"/>
    <w:bookmarkStart w:id="39" w:name="classic-beta-diversity"/>
    <w:p>
      <w:pPr>
        <w:pStyle w:val="Heading3"/>
      </w:pPr>
      <w:r>
        <w:t xml:space="preserve">Classic Beta Diversity</w:t>
      </w:r>
    </w:p>
    <w:p>
      <w:pPr>
        <w:pStyle w:val="Compact"/>
        <w:numPr>
          <w:ilvl w:val="0"/>
          <w:numId w:val="1003"/>
        </w:numPr>
      </w:pPr>
      <w:r>
        <w:t xml:space="preserve">Bray-Curtis Index</w:t>
      </w:r>
      <w:r>
        <w:t xml:space="preserve"> </w:t>
      </w:r>
      <w:r>
        <w:t xml:space="preserve">(Bray and Curtis 1957; Sorenson 1948)</w:t>
      </w:r>
    </w:p>
    <w:p>
      <w:pPr>
        <w:pStyle w:val="Compact"/>
        <w:numPr>
          <w:ilvl w:val="0"/>
          <w:numId w:val="1003"/>
        </w:numPr>
      </w:pPr>
      <w:r>
        <w:t xml:space="preserve">Canberra</w:t>
      </w:r>
      <w:r>
        <w:t xml:space="preserve"> </w:t>
      </w:r>
      <w:r>
        <w:t xml:space="preserve">(Lance and Williams 1967)</w:t>
      </w:r>
    </w:p>
    <w:p>
      <w:pPr>
        <w:pStyle w:val="Compact"/>
        <w:numPr>
          <w:ilvl w:val="0"/>
          <w:numId w:val="1003"/>
        </w:numPr>
      </w:pPr>
      <w:r>
        <w:t xml:space="preserve">Euclidean</w:t>
      </w:r>
      <w:r>
        <w:t xml:space="preserve"> </w:t>
      </w:r>
      <w:r>
        <w:t xml:space="preserve">(Gower and Legendre 1986; Legendre and Caceres 2013)</w:t>
      </w:r>
    </w:p>
    <w:p>
      <w:pPr>
        <w:pStyle w:val="Compact"/>
        <w:numPr>
          <w:ilvl w:val="0"/>
          <w:numId w:val="1003"/>
        </w:numPr>
      </w:pPr>
      <w:r>
        <w:t xml:space="preserve">Gower</w:t>
      </w:r>
      <w:r>
        <w:t xml:space="preserve"> </w:t>
      </w:r>
      <w:r>
        <w:t xml:space="preserve">(Gower 1971; Gower and Legendre 1986)</w:t>
      </w:r>
    </w:p>
    <w:p>
      <w:pPr>
        <w:pStyle w:val="Compact"/>
        <w:numPr>
          <w:ilvl w:val="0"/>
          <w:numId w:val="1003"/>
        </w:numPr>
      </w:pPr>
      <w:r>
        <w:t xml:space="preserve">Jaccard</w:t>
      </w:r>
      <w:r>
        <w:t xml:space="preserve"> </w:t>
      </w:r>
      <w:r>
        <w:t xml:space="preserve">(Jaccard 1908)</w:t>
      </w:r>
    </w:p>
    <w:p>
      <w:pPr>
        <w:pStyle w:val="Compact"/>
        <w:numPr>
          <w:ilvl w:val="0"/>
          <w:numId w:val="1003"/>
        </w:numPr>
      </w:pPr>
      <w:r>
        <w:t xml:space="preserve">Kulczynski</w:t>
      </w:r>
      <w:r>
        <w:t xml:space="preserve"> </w:t>
      </w:r>
      <w:r>
        <w:t xml:space="preserve">(Kulczynski 1927)</w:t>
      </w:r>
    </w:p>
    <w:p>
      <w:pPr>
        <w:pStyle w:val="Compact"/>
        <w:numPr>
          <w:ilvl w:val="0"/>
          <w:numId w:val="1003"/>
        </w:numPr>
      </w:pPr>
      <w:r>
        <w:t xml:space="preserve">Manhattan</w:t>
      </w:r>
      <w:r>
        <w:t xml:space="preserve"> </w:t>
      </w:r>
      <w:r>
        <w:t xml:space="preserve">(Kaufman and Rousseeuw 1990)</w:t>
      </w:r>
    </w:p>
    <w:bookmarkEnd w:id="39"/>
    <w:bookmarkStart w:id="40" w:name="phylogenetic-beta-diversity"/>
    <w:p>
      <w:pPr>
        <w:pStyle w:val="Heading3"/>
      </w:pPr>
      <w:r>
        <w:t xml:space="preserve">Phylogenetic Beta Diversity</w:t>
      </w:r>
    </w:p>
    <w:p>
      <w:pPr>
        <w:pStyle w:val="Compact"/>
        <w:numPr>
          <w:ilvl w:val="0"/>
          <w:numId w:val="1004"/>
        </w:numPr>
      </w:pPr>
      <w:r>
        <w:t xml:space="preserve">Unweighted UniFrac</w:t>
      </w:r>
      <w:r>
        <w:t xml:space="preserve"> </w:t>
      </w:r>
      <w:r>
        <w:t xml:space="preserve">(C. Lozupone and Knight 2005)</w:t>
      </w:r>
    </w:p>
    <w:p>
      <w:pPr>
        <w:pStyle w:val="Compact"/>
        <w:numPr>
          <w:ilvl w:val="0"/>
          <w:numId w:val="1004"/>
        </w:numPr>
      </w:pPr>
      <w:r>
        <w:t xml:space="preserve">Weighted UniFrac</w:t>
      </w:r>
      <w:r>
        <w:t xml:space="preserve"> </w:t>
      </w:r>
      <w:r>
        <w:t xml:space="preserve">(C. A. Lozupone et al. 2007)</w:t>
      </w:r>
    </w:p>
    <w:p>
      <w:pPr>
        <w:pStyle w:val="Compact"/>
        <w:numPr>
          <w:ilvl w:val="0"/>
          <w:numId w:val="1004"/>
        </w:numPr>
      </w:pPr>
      <w:r>
        <w:t xml:space="preserve">Normalized Weighted UniFrac</w:t>
      </w:r>
      <w:r>
        <w:t xml:space="preserve"> </w:t>
      </w:r>
      <w:r>
        <w:t xml:space="preserve">(C. A. Lozupone et al. 2007)</w:t>
      </w:r>
    </w:p>
    <w:p>
      <w:pPr>
        <w:pStyle w:val="Compact"/>
        <w:numPr>
          <w:ilvl w:val="0"/>
          <w:numId w:val="1004"/>
        </w:numPr>
      </w:pPr>
      <w:r>
        <w:t xml:space="preserve">Generalized UniFrac</w:t>
      </w:r>
      <w:r>
        <w:t xml:space="preserve"> </w:t>
      </w:r>
      <w:r>
        <w:t xml:space="preserve">(Chen et al. 2012)</w:t>
      </w:r>
    </w:p>
    <w:p>
      <w:pPr>
        <w:pStyle w:val="Compact"/>
        <w:numPr>
          <w:ilvl w:val="0"/>
          <w:numId w:val="1004"/>
        </w:numPr>
      </w:pPr>
      <w:r>
        <w:t xml:space="preserve">Variance Adjusted Weighted UniFrac</w:t>
      </w:r>
      <w:r>
        <w:t xml:space="preserve"> </w:t>
      </w:r>
      <w:r>
        <w:t xml:space="preserve">(Chang, Luan, and Sun 2011)</w:t>
      </w:r>
    </w:p>
    <w:bookmarkEnd w:id="40"/>
    <w:bookmarkEnd w:id="41"/>
    <w:bookmarkStart w:id="42" w:name="usage"/>
    <w:p>
      <w:pPr>
        <w:pStyle w:val="Heading1"/>
      </w:pPr>
      <w:r>
        <w:t xml:space="preserve">Usage</w:t>
      </w:r>
    </w:p>
    <w:p>
      <w:pPr>
        <w:pStyle w:val="FirstParagraph"/>
      </w:pPr>
      <w:r>
        <w:t xml:space="preserve">Users can easily compute alpha and beta diversity metrics using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. For</w:t>
      </w:r>
      <w:r>
        <w:t xml:space="preserve"> </w:t>
      </w:r>
      <w:r>
        <w:t xml:space="preserve">example, to calculate weighted UniFrac distances with a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(esophagus)</w:t>
      </w:r>
      <w:r>
        <w:br/>
      </w:r>
      <w:r>
        <w:br/>
      </w:r>
      <w:r>
        <w:rPr>
          <w:rStyle w:val="NormalTok"/>
        </w:rPr>
        <w:t xml:space="preserve">ecodive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weighted_unifrac</w:t>
      </w:r>
      <w:r>
        <w:rPr>
          <w:rStyle w:val="NormalTok"/>
        </w:rPr>
        <w:t xml:space="preserve">(esophagus)</w:t>
      </w:r>
      <w:r>
        <w:br/>
      </w:r>
      <w:r>
        <w:rPr>
          <w:rStyle w:val="CommentTok"/>
        </w:rPr>
        <w:t xml:space="preserve">#&gt;           B         C</w:t>
      </w:r>
      <w:r>
        <w:br/>
      </w:r>
      <w:r>
        <w:rPr>
          <w:rStyle w:val="CommentTok"/>
        </w:rPr>
        <w:t xml:space="preserve">#&gt; C 0.1050480          </w:t>
      </w:r>
      <w:r>
        <w:br/>
      </w:r>
      <w:r>
        <w:rPr>
          <w:rStyle w:val="CommentTok"/>
        </w:rPr>
        <w:t xml:space="preserve">#&gt; D 0.1401124 0.1422409</w:t>
      </w:r>
    </w:p>
    <w:bookmarkEnd w:id="42"/>
    <w:bookmarkStart w:id="43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study was supported by NIH/NIAD (Grant number U19 AI44297), and Baylor</w:t>
      </w:r>
      <w:r>
        <w:t xml:space="preserve"> </w:t>
      </w:r>
      <w:r>
        <w:t xml:space="preserve">College of Medicine and Alkek Foundation Seed.</w:t>
      </w:r>
    </w:p>
    <w:p>
      <w:pPr>
        <w:pStyle w:val="BodyText"/>
      </w:pPr>
      <w:r>
        <w:t xml:space="preserve">The authors would like to thank Gemini for its assistance in refining this</w:t>
      </w:r>
      <w:r>
        <w:t xml:space="preserve"> </w:t>
      </w:r>
      <w:r>
        <w:t xml:space="preserve">manuscript.</w:t>
      </w:r>
    </w:p>
    <w:bookmarkEnd w:id="43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45" w:name="ref-ampvis2"/>
    <w:p>
      <w:pPr>
        <w:pStyle w:val="Bibliography"/>
      </w:pPr>
      <w:r>
        <w:t xml:space="preserve">Andersen, Kasper S., Rasmus H. Kirkegaard, Søren M. Karst, and Mads Albertsen. 2018.</w:t>
      </w:r>
      <w:r>
        <w:t xml:space="preserve"> </w:t>
      </w:r>
      <w:r>
        <w:t xml:space="preserve">“Ampvis2: An r Package to Analyse and Visualise 16S rRNA Amplicon Data.”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https://doi.org/10.1101/299537</w:t>
        </w:r>
      </w:hyperlink>
      <w:r>
        <w:t xml:space="preserve">.</w:t>
      </w:r>
    </w:p>
    <w:bookmarkEnd w:id="45"/>
    <w:bookmarkStart w:id="47" w:name="ref-abdiv"/>
    <w:p>
      <w:pPr>
        <w:pStyle w:val="Bibliography"/>
      </w:pPr>
      <w:r>
        <w:t xml:space="preserve">Bittinger, Kyle. 2020.</w:t>
      </w:r>
      <w:r>
        <w:t xml:space="preserve"> </w:t>
      </w:r>
      <w:r>
        <w:rPr>
          <w:i/>
          <w:iCs/>
        </w:rPr>
        <w:t xml:space="preserve">Abdiv: Alpha and Beta Diversity Measures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https://doi.org/10.32614/CRAN.package.abdiv</w:t>
        </w:r>
      </w:hyperlink>
      <w:r>
        <w:t xml:space="preserve">.</w:t>
      </w:r>
    </w:p>
    <w:bookmarkEnd w:id="47"/>
    <w:bookmarkStart w:id="49" w:name="ref-Bray1957"/>
    <w:p>
      <w:pPr>
        <w:pStyle w:val="Bibliography"/>
      </w:pPr>
      <w:r>
        <w:t xml:space="preserve">Bray, J. Roger, and John T. Curtis. 1957.</w:t>
      </w:r>
      <w:r>
        <w:t xml:space="preserve"> </w:t>
      </w:r>
      <w:r>
        <w:t xml:space="preserve">“An Ordination of the Upland Forest Communities of Southern Wisconsin.”</w:t>
      </w:r>
      <w:r>
        <w:t xml:space="preserve"> </w:t>
      </w:r>
      <w:r>
        <w:rPr>
          <w:i/>
          <w:iCs/>
        </w:rPr>
        <w:t xml:space="preserve">Ecological Monographs</w:t>
      </w:r>
      <w:r>
        <w:t xml:space="preserve"> </w:t>
      </w:r>
      <w:r>
        <w:t xml:space="preserve">27 (4): 325–49.</w:t>
      </w:r>
      <w:r>
        <w:t xml:space="preserve"> </w:t>
      </w:r>
      <w:hyperlink r:id="rId48">
        <w:r>
          <w:rPr>
            <w:rStyle w:val="Hyperlink"/>
          </w:rPr>
          <w:t xml:space="preserve">https://doi.org/10.2307/1942268</w:t>
        </w:r>
      </w:hyperlink>
      <w:r>
        <w:t xml:space="preserve">.</w:t>
      </w:r>
    </w:p>
    <w:bookmarkEnd w:id="49"/>
    <w:bookmarkStart w:id="51" w:name="ref-Chang2011"/>
    <w:p>
      <w:pPr>
        <w:pStyle w:val="Bibliography"/>
      </w:pPr>
      <w:r>
        <w:t xml:space="preserve">Chang, Qin, Yihui Luan, and Fengzhu Sun. 2011.</w:t>
      </w:r>
      <w:r>
        <w:t xml:space="preserve"> </w:t>
      </w:r>
      <w:r>
        <w:t xml:space="preserve">“Variance Adjusted Weighted UniFrac: A Powerful Beta Diversity Measure for Comparing Communities Based on Phylogeny.”</w:t>
      </w:r>
      <w:r>
        <w:t xml:space="preserve"> </w:t>
      </w:r>
      <w:r>
        <w:rPr>
          <w:i/>
          <w:iCs/>
        </w:rPr>
        <w:t xml:space="preserve">BMC Bioinformatics</w:t>
      </w:r>
      <w:r>
        <w:t xml:space="preserve"> </w:t>
      </w:r>
      <w:r>
        <w:t xml:space="preserve">12 (1).</w:t>
      </w:r>
      <w:r>
        <w:t xml:space="preserve"> </w:t>
      </w:r>
      <w:hyperlink r:id="rId50">
        <w:r>
          <w:rPr>
            <w:rStyle w:val="Hyperlink"/>
          </w:rPr>
          <w:t xml:space="preserve">https://doi.org/10.1186/1471-2105-12-118</w:t>
        </w:r>
      </w:hyperlink>
      <w:r>
        <w:t xml:space="preserve">.</w:t>
      </w:r>
    </w:p>
    <w:bookmarkEnd w:id="51"/>
    <w:bookmarkStart w:id="53" w:name="ref-Chao1984"/>
    <w:p>
      <w:pPr>
        <w:pStyle w:val="Bibliography"/>
      </w:pPr>
      <w:r>
        <w:t xml:space="preserve">Chao, Anne. 1984.</w:t>
      </w:r>
      <w:r>
        <w:t xml:space="preserve"> </w:t>
      </w:r>
      <w:r>
        <w:t xml:space="preserve">“Non-Parametric Estimation of the Number of Classes in a Population.”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11: 265–70.</w:t>
      </w:r>
      <w:r>
        <w:t xml:space="preserve"> </w:t>
      </w:r>
      <w:hyperlink r:id="rId52">
        <w:r>
          <w:rPr>
            <w:rStyle w:val="Hyperlink"/>
          </w:rPr>
          <w:t xml:space="preserve">https://doi.org/10.2307/4616294</w:t>
        </w:r>
      </w:hyperlink>
      <w:r>
        <w:t xml:space="preserve">.</w:t>
      </w:r>
    </w:p>
    <w:bookmarkEnd w:id="53"/>
    <w:bookmarkStart w:id="55" w:name="ref-Chen2012"/>
    <w:p>
      <w:pPr>
        <w:pStyle w:val="Bibliography"/>
      </w:pPr>
      <w:r>
        <w:t xml:space="preserve">Chen, Jun, Kyle Bittinger, Emily S. Charlson, Christian Hoffmann, James Lewis, Gary D. Wu, Ronald G. Collman, Frederic D. Bushman, and Hongzhe Li. 2012.</w:t>
      </w:r>
      <w:r>
        <w:t xml:space="preserve"> </w:t>
      </w:r>
      <w:r>
        <w:t xml:space="preserve">“Associating Microbiome Composition with Environmental Covariates Using Generalized UniFrac Distances.”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28 (16): 2106–13.</w:t>
      </w:r>
      <w:r>
        <w:t xml:space="preserve"> </w:t>
      </w:r>
      <w:hyperlink r:id="rId54">
        <w:r>
          <w:rPr>
            <w:rStyle w:val="Hyperlink"/>
          </w:rPr>
          <w:t xml:space="preserve">https://doi.org/10.1093/bioinformatics/bts342</w:t>
        </w:r>
      </w:hyperlink>
      <w:r>
        <w:t xml:space="preserve">.</w:t>
      </w:r>
    </w:p>
    <w:bookmarkEnd w:id="55"/>
    <w:bookmarkStart w:id="57" w:name="ref-GUniFrac"/>
    <w:p>
      <w:pPr>
        <w:pStyle w:val="Bibliography"/>
      </w:pPr>
      <w:r>
        <w:t xml:space="preserve">Chen, Jun, Xianyang Zhang, Lu Yang, and Lujun Zhang. 2023.</w:t>
      </w:r>
      <w:r>
        <w:t xml:space="preserve"> </w:t>
      </w:r>
      <w:r>
        <w:rPr>
          <w:i/>
          <w:iCs/>
        </w:rPr>
        <w:t xml:space="preserve">GUniFrac: Generalized UniFrac Distances, Distance-Based Multivariate Methods and Feature-Based Univariate Methods for Microbiome Data Analysis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https://doi.org/10.32614/CRAN.package.GUniFrac</w:t>
        </w:r>
      </w:hyperlink>
      <w:r>
        <w:t xml:space="preserve">.</w:t>
      </w:r>
    </w:p>
    <w:bookmarkEnd w:id="57"/>
    <w:bookmarkStart w:id="59" w:name="ref-phyloregion"/>
    <w:p>
      <w:pPr>
        <w:pStyle w:val="Bibliography"/>
      </w:pPr>
      <w:r>
        <w:t xml:space="preserve">Daru, Barnabas H., Piyal Karunarathne, and Klaus Schliep. 2020.</w:t>
      </w:r>
      <w:r>
        <w:t xml:space="preserve"> </w:t>
      </w:r>
      <w:r>
        <w:t xml:space="preserve">“Phyloregion: R Package for Biogeographic Regionalization and Macroecology.”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1483–91.</w:t>
      </w:r>
      <w:r>
        <w:t xml:space="preserve"> </w:t>
      </w:r>
      <w:hyperlink r:id="rId58">
        <w:r>
          <w:rPr>
            <w:rStyle w:val="Hyperlink"/>
          </w:rPr>
          <w:t xml:space="preserve">https://doi.org/10.1111/2041-210X.13478</w:t>
        </w:r>
      </w:hyperlink>
      <w:r>
        <w:t xml:space="preserve">.</w:t>
      </w:r>
    </w:p>
    <w:bookmarkEnd w:id="59"/>
    <w:bookmarkStart w:id="61" w:name="ref-Faith1992"/>
    <w:p>
      <w:pPr>
        <w:pStyle w:val="Bibliography"/>
      </w:pPr>
      <w:r>
        <w:t xml:space="preserve">Faith, Daniel P. 1992.</w:t>
      </w:r>
      <w:r>
        <w:t xml:space="preserve"> </w:t>
      </w:r>
      <w:r>
        <w:t xml:space="preserve">“Conservation Evaluation and Phylogenetic Diversity.”</w:t>
      </w:r>
      <w:r>
        <w:t xml:space="preserve"> </w:t>
      </w:r>
      <w:r>
        <w:rPr>
          <w:i/>
          <w:iCs/>
        </w:rPr>
        <w:t xml:space="preserve">Biological Conservation</w:t>
      </w:r>
      <w:r>
        <w:t xml:space="preserve"> </w:t>
      </w:r>
      <w:r>
        <w:t xml:space="preserve">61: 1–10.</w:t>
      </w:r>
      <w:r>
        <w:t xml:space="preserve"> </w:t>
      </w:r>
      <w:hyperlink r:id="rId60">
        <w:r>
          <w:rPr>
            <w:rStyle w:val="Hyperlink"/>
          </w:rPr>
          <w:t xml:space="preserve">https://doi.org/10.1016/0006-3207(92)91201-3</w:t>
        </w:r>
      </w:hyperlink>
      <w:r>
        <w:t xml:space="preserve">.</w:t>
      </w:r>
    </w:p>
    <w:bookmarkEnd w:id="61"/>
    <w:bookmarkStart w:id="62" w:name="ref-Gini1912"/>
    <w:p>
      <w:pPr>
        <w:pStyle w:val="Bibliography"/>
      </w:pPr>
      <w:r>
        <w:t xml:space="preserve">Gini, Corrado. 1912.</w:t>
      </w:r>
      <w:r>
        <w:t xml:space="preserve"> </w:t>
      </w:r>
      <w:r>
        <w:rPr>
          <w:i/>
          <w:iCs/>
        </w:rPr>
        <w:t xml:space="preserve">Variabilita e Mutabilita</w:t>
      </w:r>
      <w:r>
        <w:t xml:space="preserve">. Bologna: Tipografia di Paolo Cuppini.</w:t>
      </w:r>
    </w:p>
    <w:bookmarkEnd w:id="62"/>
    <w:bookmarkStart w:id="64" w:name="ref-Gower1971"/>
    <w:p>
      <w:pPr>
        <w:pStyle w:val="Bibliography"/>
      </w:pPr>
      <w:r>
        <w:t xml:space="preserve">Gower, JC. 1971.</w:t>
      </w:r>
      <w:r>
        <w:t xml:space="preserve"> </w:t>
      </w:r>
      <w:r>
        <w:t xml:space="preserve">“A General Coefficient of Similarity and Some of Its Properties.”</w:t>
      </w:r>
      <w:r>
        <w:t xml:space="preserve"> </w:t>
      </w:r>
      <w:r>
        <w:rPr>
          <w:i/>
          <w:iCs/>
        </w:rPr>
        <w:t xml:space="preserve">Biometrics</w:t>
      </w:r>
      <w:r>
        <w:t xml:space="preserve"> </w:t>
      </w:r>
      <w:r>
        <w:t xml:space="preserve">27 (4): 857–71.</w:t>
      </w:r>
      <w:r>
        <w:t xml:space="preserve"> </w:t>
      </w:r>
      <w:hyperlink r:id="rId63">
        <w:r>
          <w:rPr>
            <w:rStyle w:val="Hyperlink"/>
          </w:rPr>
          <w:t xml:space="preserve">https://doi.org/10.2307/2528823</w:t>
        </w:r>
      </w:hyperlink>
      <w:r>
        <w:t xml:space="preserve">.</w:t>
      </w:r>
    </w:p>
    <w:bookmarkEnd w:id="64"/>
    <w:bookmarkStart w:id="66" w:name="ref-Gower1986"/>
    <w:p>
      <w:pPr>
        <w:pStyle w:val="Bibliography"/>
      </w:pPr>
      <w:r>
        <w:t xml:space="preserve">Gower, JC, and P Legendre. 1986.</w:t>
      </w:r>
      <w:r>
        <w:t xml:space="preserve"> </w:t>
      </w:r>
      <w:r>
        <w:t xml:space="preserve">“Metric and Euclidean Properties of Dissimilarity Coefficients.”</w:t>
      </w:r>
      <w:r>
        <w:t xml:space="preserve"> </w:t>
      </w:r>
      <w:r>
        <w:rPr>
          <w:i/>
          <w:iCs/>
        </w:rPr>
        <w:t xml:space="preserve">Journal of Classification</w:t>
      </w:r>
      <w:r>
        <w:t xml:space="preserve"> </w:t>
      </w:r>
      <w:r>
        <w:t xml:space="preserve">3: 5–48.</w:t>
      </w:r>
      <w:r>
        <w:t xml:space="preserve"> </w:t>
      </w:r>
      <w:hyperlink r:id="rId65">
        <w:r>
          <w:rPr>
            <w:rStyle w:val="Hyperlink"/>
          </w:rPr>
          <w:t xml:space="preserve">https://doi.org/10.1007/BF01896809</w:t>
        </w:r>
      </w:hyperlink>
      <w:r>
        <w:t xml:space="preserve">.</w:t>
      </w:r>
    </w:p>
    <w:bookmarkEnd w:id="66"/>
    <w:bookmarkStart w:id="68" w:name="ref-bench"/>
    <w:p>
      <w:pPr>
        <w:pStyle w:val="Bibliography"/>
      </w:pPr>
      <w:r>
        <w:t xml:space="preserve">Hester, Jim, and Davis Vaughan. 2025.</w:t>
      </w:r>
      <w:r>
        <w:t xml:space="preserve"> </w:t>
      </w:r>
      <w:r>
        <w:rPr>
          <w:i/>
          <w:iCs/>
        </w:rPr>
        <w:t xml:space="preserve">Bench: High Precision Timing of r Expressions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https://doi.org/10.32614/CRAN.package.bench</w:t>
        </w:r>
      </w:hyperlink>
      <w:r>
        <w:t xml:space="preserve">.</w:t>
      </w:r>
    </w:p>
    <w:bookmarkEnd w:id="68"/>
    <w:bookmarkStart w:id="70" w:name="ref-Jaccard1908"/>
    <w:p>
      <w:pPr>
        <w:pStyle w:val="Bibliography"/>
      </w:pPr>
      <w:r>
        <w:t xml:space="preserve">Jaccard, Paul. 1908.</w:t>
      </w:r>
      <w:r>
        <w:t xml:space="preserve"> </w:t>
      </w:r>
      <w:r>
        <w:t xml:space="preserve">“Nouvelles Recherches Sur La Distribution Florale.”</w:t>
      </w:r>
      <w:r>
        <w:t xml:space="preserve"> </w:t>
      </w:r>
      <w:r>
        <w:rPr>
          <w:i/>
          <w:iCs/>
        </w:rPr>
        <w:t xml:space="preserve">Bulletin de La Societe Vaudoise Des Sciences Naturelles</w:t>
      </w:r>
      <w:r>
        <w:t xml:space="preserve"> </w:t>
      </w:r>
      <w:r>
        <w:t xml:space="preserve">44 (163): 223–70.</w:t>
      </w:r>
      <w:r>
        <w:t xml:space="preserve"> </w:t>
      </w:r>
      <w:hyperlink r:id="rId69">
        <w:r>
          <w:rPr>
            <w:rStyle w:val="Hyperlink"/>
          </w:rPr>
          <w:t xml:space="preserve">https://doi.org/10.5169/seals-268384</w:t>
        </w:r>
      </w:hyperlink>
      <w:r>
        <w:t xml:space="preserve">.</w:t>
      </w:r>
    </w:p>
    <w:bookmarkEnd w:id="70"/>
    <w:bookmarkStart w:id="72" w:name="ref-Kaufman1990"/>
    <w:p>
      <w:pPr>
        <w:pStyle w:val="Bibliography"/>
      </w:pPr>
      <w:r>
        <w:t xml:space="preserve">Kaufman, Leonard, and Peter J. Rousseeuw. 1990.</w:t>
      </w:r>
      <w:r>
        <w:t xml:space="preserve"> </w:t>
      </w:r>
      <w:r>
        <w:rPr>
          <w:i/>
          <w:iCs/>
        </w:rPr>
        <w:t xml:space="preserve">Finding Groups in Data: An Introduction to Cluster Analysis</w:t>
      </w:r>
      <w:r>
        <w:t xml:space="preserve">. New York: John Wiley &amp; Sons.</w:t>
      </w:r>
      <w:r>
        <w:t xml:space="preserve"> </w:t>
      </w:r>
      <w:hyperlink r:id="rId71">
        <w:r>
          <w:rPr>
            <w:rStyle w:val="Hyperlink"/>
          </w:rPr>
          <w:t xml:space="preserve">https://doi.org/10.1002/9780470316801</w:t>
        </w:r>
      </w:hyperlink>
      <w:r>
        <w:t xml:space="preserve">.</w:t>
      </w:r>
    </w:p>
    <w:bookmarkEnd w:id="72"/>
    <w:bookmarkStart w:id="73" w:name="ref-picante"/>
    <w:p>
      <w:pPr>
        <w:pStyle w:val="Bibliography"/>
      </w:pPr>
      <w:r>
        <w:t xml:space="preserve">Kembel, S. W., P. D. Cowan, M. R. Helmus, W. K. Cornwell, H. Morlon, D. D. Ackerly, S. P. Blomberg, and C. O. Webb. 2010.</w:t>
      </w:r>
      <w:r>
        <w:t xml:space="preserve"> </w:t>
      </w:r>
      <w:r>
        <w:t xml:space="preserve">“Picante: R Tools for Integrating Phylogenies and Ecology.”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26: 1463–64.</w:t>
      </w:r>
    </w:p>
    <w:bookmarkEnd w:id="73"/>
    <w:bookmarkStart w:id="74" w:name="ref-Kulczynski1927"/>
    <w:p>
      <w:pPr>
        <w:pStyle w:val="Bibliography"/>
      </w:pPr>
      <w:r>
        <w:t xml:space="preserve">Kulczynski, S. 1927.</w:t>
      </w:r>
      <w:r>
        <w:t xml:space="preserve"> </w:t>
      </w:r>
      <w:r>
        <w:t xml:space="preserve">“Die Pflanzenassoziationen Der Pieninen.”</w:t>
      </w:r>
      <w:r>
        <w:t xml:space="preserve"> </w:t>
      </w:r>
      <w:r>
        <w:rPr>
          <w:i/>
          <w:iCs/>
        </w:rPr>
        <w:t xml:space="preserve">Bulletin International de l’Académie Polonaise Des Sciences Et Des Lettres, Classe Des Sciences Mathématiques Et Naturelles, Série B: Sciences Naturelles</w:t>
      </w:r>
      <w:r>
        <w:t xml:space="preserve">, 57–203.</w:t>
      </w:r>
    </w:p>
    <w:bookmarkEnd w:id="74"/>
    <w:bookmarkStart w:id="76" w:name="ref-Godfrey1967"/>
    <w:p>
      <w:pPr>
        <w:pStyle w:val="Bibliography"/>
      </w:pPr>
      <w:r>
        <w:t xml:space="preserve">Lance, Godfrey N, and William T Williams. 1967.</w:t>
      </w:r>
      <w:r>
        <w:t xml:space="preserve"> </w:t>
      </w:r>
      <w:r>
        <w:t xml:space="preserve">“A General Theory of Classificatory Sorting Strategies II. Clustering Systems.”</w:t>
      </w:r>
      <w:r>
        <w:t xml:space="preserve"> </w:t>
      </w:r>
      <w:r>
        <w:rPr>
          <w:i/>
          <w:iCs/>
        </w:rPr>
        <w:t xml:space="preserve">The Computer Journal</w:t>
      </w:r>
      <w:r>
        <w:t xml:space="preserve"> </w:t>
      </w:r>
      <w:r>
        <w:t xml:space="preserve">10 (3).</w:t>
      </w:r>
      <w:r>
        <w:t xml:space="preserve"> </w:t>
      </w:r>
      <w:hyperlink r:id="rId75">
        <w:r>
          <w:rPr>
            <w:rStyle w:val="Hyperlink"/>
          </w:rPr>
          <w:t xml:space="preserve">https://doi.org/10.1093/comjnl/10.3.271</w:t>
        </w:r>
      </w:hyperlink>
      <w:r>
        <w:t xml:space="preserve">.</w:t>
      </w:r>
    </w:p>
    <w:bookmarkEnd w:id="76"/>
    <w:bookmarkStart w:id="78" w:name="ref-Legendre2013"/>
    <w:p>
      <w:pPr>
        <w:pStyle w:val="Bibliography"/>
      </w:pPr>
      <w:r>
        <w:t xml:space="preserve">Legendre, P, and M Caceres. 2013.</w:t>
      </w:r>
      <w:r>
        <w:t xml:space="preserve"> </w:t>
      </w:r>
      <w:r>
        <w:t xml:space="preserve">“Beta Diversity as the Variance of Community Data: Dissimilarity Coefficients and Partitioning.”</w:t>
      </w:r>
      <w:r>
        <w:t xml:space="preserve"> </w:t>
      </w:r>
      <w:r>
        <w:rPr>
          <w:i/>
          <w:iCs/>
        </w:rPr>
        <w:t xml:space="preserve">Ecology Letters</w:t>
      </w:r>
      <w:r>
        <w:t xml:space="preserve"> </w:t>
      </w:r>
      <w:r>
        <w:t xml:space="preserve">16 (8).</w:t>
      </w:r>
      <w:r>
        <w:t xml:space="preserve"> </w:t>
      </w:r>
      <w:hyperlink r:id="rId77">
        <w:r>
          <w:rPr>
            <w:rStyle w:val="Hyperlink"/>
          </w:rPr>
          <w:t xml:space="preserve">https://doi.org/10.1111/ele.12141</w:t>
        </w:r>
      </w:hyperlink>
      <w:r>
        <w:t xml:space="preserve">.</w:t>
      </w:r>
    </w:p>
    <w:bookmarkEnd w:id="78"/>
    <w:bookmarkStart w:id="80" w:name="ref-Lozupone2007"/>
    <w:p>
      <w:pPr>
        <w:pStyle w:val="Bibliography"/>
      </w:pPr>
      <w:r>
        <w:t xml:space="preserve">Lozupone, Catherine A., Micah Hamady, Scott T. Kelley, and Rob Knight. 2007.</w:t>
      </w:r>
      <w:r>
        <w:t xml:space="preserve"> </w:t>
      </w:r>
      <w:r>
        <w:t xml:space="preserve">“Quantitative and Qualitative Beta Diversity Measures Lead to Different Insights into Factors That Structure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73 (5): 1576–85.</w:t>
      </w:r>
      <w:r>
        <w:t xml:space="preserve"> </w:t>
      </w:r>
      <w:hyperlink r:id="rId79">
        <w:r>
          <w:rPr>
            <w:rStyle w:val="Hyperlink"/>
          </w:rPr>
          <w:t xml:space="preserve">https://doi.org/10.1128/aem.01996-06</w:t>
        </w:r>
      </w:hyperlink>
      <w:r>
        <w:t xml:space="preserve">.</w:t>
      </w:r>
    </w:p>
    <w:bookmarkEnd w:id="80"/>
    <w:bookmarkStart w:id="82" w:name="ref-Lozupone2005"/>
    <w:p>
      <w:pPr>
        <w:pStyle w:val="Bibliography"/>
      </w:pPr>
      <w:r>
        <w:t xml:space="preserve">Lozupone, Catherine, and Rob Knight. 2005.</w:t>
      </w:r>
      <w:r>
        <w:t xml:space="preserve"> </w:t>
      </w:r>
      <w:r>
        <w:t xml:space="preserve">“UniFrac: A New Phylogenetic Method for Comparing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71 (12): 8228–35.</w:t>
      </w:r>
      <w:r>
        <w:t xml:space="preserve"> </w:t>
      </w:r>
      <w:hyperlink r:id="rId81">
        <w:r>
          <w:rPr>
            <w:rStyle w:val="Hyperlink"/>
          </w:rPr>
          <w:t xml:space="preserve">https://doi.org/10.1128/AEM.71.12.8228-8235.2005</w:t>
        </w:r>
      </w:hyperlink>
      <w:r>
        <w:t xml:space="preserve">.</w:t>
      </w:r>
    </w:p>
    <w:bookmarkEnd w:id="82"/>
    <w:bookmarkStart w:id="84" w:name="ref-entropart"/>
    <w:p>
      <w:pPr>
        <w:pStyle w:val="Bibliography"/>
      </w:pPr>
      <w:r>
        <w:t xml:space="preserve">Marcon, Eric, and Bruno Herault. 2015.</w:t>
      </w:r>
      <w:r>
        <w:t xml:space="preserve"> </w:t>
      </w:r>
      <w:r>
        <w:t xml:space="preserve">“Entropart: An r Package to Measure and Partition Diversity.”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67 (8): 1–26.</w:t>
      </w:r>
      <w:r>
        <w:t xml:space="preserve"> </w:t>
      </w:r>
      <w:hyperlink r:id="rId83">
        <w:r>
          <w:rPr>
            <w:rStyle w:val="Hyperlink"/>
          </w:rPr>
          <w:t xml:space="preserve">https://doi.org/10.18637/jss.v067.i08</w:t>
        </w:r>
      </w:hyperlink>
      <w:r>
        <w:t xml:space="preserve">.</w:t>
      </w:r>
    </w:p>
    <w:bookmarkEnd w:id="84"/>
    <w:bookmarkStart w:id="86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 r Package for Reproducible Interactive Analysis and Graphics of Microbiome Census Data.”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85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86"/>
    <w:bookmarkStart w:id="88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2025.</w:t>
      </w:r>
      <w:r>
        <w:t xml:space="preserve"> </w:t>
      </w:r>
      <w:r>
        <w:rPr>
          <w:i/>
          <w:iCs/>
        </w:rPr>
        <w:t xml:space="preserve">Vegan: Community Ecology Package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https://doi.org/10.32614/CRAN.package.vegan</w:t>
        </w:r>
      </w:hyperlink>
      <w:r>
        <w:t xml:space="preserve">.</w:t>
      </w:r>
    </w:p>
    <w:bookmarkEnd w:id="88"/>
    <w:bookmarkStart w:id="90" w:name="ref-adiv"/>
    <w:p>
      <w:pPr>
        <w:pStyle w:val="Bibliography"/>
      </w:pPr>
      <w:r>
        <w:t xml:space="preserve">Pavoine, Sandrine. 2020.</w:t>
      </w:r>
      <w:r>
        <w:t xml:space="preserve"> </w:t>
      </w:r>
      <w:r>
        <w:t xml:space="preserve">“Adiv: An r Package to Analyse Biodiversity in 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1106–12.</w:t>
      </w:r>
      <w:r>
        <w:t xml:space="preserve"> </w:t>
      </w:r>
      <w:hyperlink r:id="rId89">
        <w:r>
          <w:rPr>
            <w:rStyle w:val="Hyperlink"/>
          </w:rPr>
          <w:t xml:space="preserve">https://doi.org/10.1111/2041-210X.13430</w:t>
        </w:r>
      </w:hyperlink>
      <w:r>
        <w:t xml:space="preserve">.</w:t>
      </w:r>
    </w:p>
    <w:bookmarkEnd w:id="90"/>
    <w:bookmarkStart w:id="92" w:name="ref-Shannon1948"/>
    <w:p>
      <w:pPr>
        <w:pStyle w:val="Bibliography"/>
      </w:pPr>
      <w:r>
        <w:t xml:space="preserve">Shannon, Claude E. 1948.</w:t>
      </w:r>
      <w:r>
        <w:t xml:space="preserve"> </w:t>
      </w:r>
      <w:r>
        <w:t xml:space="preserve">“A Mathematical Theory of Communication.”</w:t>
      </w:r>
      <w:r>
        <w:t xml:space="preserve"> </w:t>
      </w:r>
      <w:r>
        <w:rPr>
          <w:i/>
          <w:iCs/>
        </w:rPr>
        <w:t xml:space="preserve">Bell System Technical Journal</w:t>
      </w:r>
      <w:r>
        <w:t xml:space="preserve"> </w:t>
      </w:r>
      <w:r>
        <w:t xml:space="preserve">27 (3): 379–423.</w:t>
      </w:r>
      <w:r>
        <w:t xml:space="preserve"> </w:t>
      </w:r>
      <w:hyperlink r:id="rId91">
        <w:r>
          <w:rPr>
            <w:rStyle w:val="Hyperlink"/>
          </w:rPr>
          <w:t xml:space="preserve">https://doi.org/10.1002/j.1538-7305.1948.tb01338.x</w:t>
        </w:r>
      </w:hyperlink>
      <w:r>
        <w:t xml:space="preserve">.</w:t>
      </w:r>
    </w:p>
    <w:bookmarkEnd w:id="92"/>
    <w:bookmarkStart w:id="94" w:name="ref-Simpson1949"/>
    <w:p>
      <w:pPr>
        <w:pStyle w:val="Bibliography"/>
      </w:pPr>
      <w:r>
        <w:t xml:space="preserve">Simpson, Edward H. 1949.</w:t>
      </w:r>
      <w:r>
        <w:t xml:space="preserve"> </w:t>
      </w:r>
      <w:r>
        <w:t xml:space="preserve">“Measurement of Diversity.”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163 (4148): 688–88.</w:t>
      </w:r>
      <w:r>
        <w:t xml:space="preserve"> </w:t>
      </w:r>
      <w:hyperlink r:id="rId93">
        <w:r>
          <w:rPr>
            <w:rStyle w:val="Hyperlink"/>
          </w:rPr>
          <w:t xml:space="preserve">https://doi.org/10.1038/163688a0</w:t>
        </w:r>
      </w:hyperlink>
      <w:r>
        <w:t xml:space="preserve">.</w:t>
      </w:r>
    </w:p>
    <w:bookmarkEnd w:id="94"/>
    <w:bookmarkStart w:id="95" w:name="ref-Sorenson1948"/>
    <w:p>
      <w:pPr>
        <w:pStyle w:val="Bibliography"/>
      </w:pPr>
      <w:r>
        <w:t xml:space="preserve">Sorenson, Thorvald. 1948.</w:t>
      </w:r>
      <w:r>
        <w:t xml:space="preserve"> </w:t>
      </w:r>
      <w:r>
        <w:t xml:space="preserve">“A Method of Establishing Groups of Equal Amplitude in Plant Sociology Based on Similarity of Species Content.”</w:t>
      </w:r>
      <w:r>
        <w:t xml:space="preserve"> </w:t>
      </w:r>
      <w:r>
        <w:rPr>
          <w:i/>
          <w:iCs/>
        </w:rPr>
        <w:t xml:space="preserve">Kongelige Danske Videnskabernes Selskab</w:t>
      </w:r>
      <w:r>
        <w:t xml:space="preserve"> </w:t>
      </w:r>
      <w:r>
        <w:t xml:space="preserve">5: 1–34.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5" Target="media/rId25.svg" /><Relationship Type="http://schemas.openxmlformats.org/officeDocument/2006/relationships/hyperlink" Id="rId24" Target="https://cmmr.github.io/ecodive/articles/benchmark.html" TargetMode="External" /><Relationship Type="http://schemas.openxmlformats.org/officeDocument/2006/relationships/hyperlink" Id="rId36" Target="https://cmmr.github.io/ecodive/reference/index.html" TargetMode="External" /><Relationship Type="http://schemas.openxmlformats.org/officeDocument/2006/relationships/hyperlink" Id="rId71" Target="https://doi.org/10.1002/9780470316801" TargetMode="External" /><Relationship Type="http://schemas.openxmlformats.org/officeDocument/2006/relationships/hyperlink" Id="rId91" Target="https://doi.org/10.1002/j.1538-7305.1948.tb01338.x" TargetMode="External" /><Relationship Type="http://schemas.openxmlformats.org/officeDocument/2006/relationships/hyperlink" Id="rId65" Target="https://doi.org/10.1007/BF01896809" TargetMode="External" /><Relationship Type="http://schemas.openxmlformats.org/officeDocument/2006/relationships/hyperlink" Id="rId60" Target="https://doi.org/10.1016/0006-3207(92)91201-3" TargetMode="External" /><Relationship Type="http://schemas.openxmlformats.org/officeDocument/2006/relationships/hyperlink" Id="rId93" Target="https://doi.org/10.1038/163688a0" TargetMode="External" /><Relationship Type="http://schemas.openxmlformats.org/officeDocument/2006/relationships/hyperlink" Id="rId54" Target="https://doi.org/10.1093/bioinformatics/bts342" TargetMode="External" /><Relationship Type="http://schemas.openxmlformats.org/officeDocument/2006/relationships/hyperlink" Id="rId75" Target="https://doi.org/10.1093/comjnl/10.3.271" TargetMode="External" /><Relationship Type="http://schemas.openxmlformats.org/officeDocument/2006/relationships/hyperlink" Id="rId44" Target="https://doi.org/10.1101/299537" TargetMode="External" /><Relationship Type="http://schemas.openxmlformats.org/officeDocument/2006/relationships/hyperlink" Id="rId89" Target="https://doi.org/10.1111/2041-210X.13430" TargetMode="External" /><Relationship Type="http://schemas.openxmlformats.org/officeDocument/2006/relationships/hyperlink" Id="rId58" Target="https://doi.org/10.1111/2041-210X.13478" TargetMode="External" /><Relationship Type="http://schemas.openxmlformats.org/officeDocument/2006/relationships/hyperlink" Id="rId77" Target="https://doi.org/10.1111/ele.12141" TargetMode="External" /><Relationship Type="http://schemas.openxmlformats.org/officeDocument/2006/relationships/hyperlink" Id="rId81" Target="https://doi.org/10.1128/AEM.71.12.8228-8235.2005" TargetMode="External" /><Relationship Type="http://schemas.openxmlformats.org/officeDocument/2006/relationships/hyperlink" Id="rId79" Target="https://doi.org/10.1128/aem.01996-06" TargetMode="External" /><Relationship Type="http://schemas.openxmlformats.org/officeDocument/2006/relationships/hyperlink" Id="rId50" Target="https://doi.org/10.1186/1471-2105-12-118" TargetMode="External" /><Relationship Type="http://schemas.openxmlformats.org/officeDocument/2006/relationships/hyperlink" Id="rId85" Target="https://doi.org/10.1371/journal.pone.0061217" TargetMode="External" /><Relationship Type="http://schemas.openxmlformats.org/officeDocument/2006/relationships/hyperlink" Id="rId83" Target="https://doi.org/10.18637/jss.v067.i08" TargetMode="External" /><Relationship Type="http://schemas.openxmlformats.org/officeDocument/2006/relationships/hyperlink" Id="rId48" Target="https://doi.org/10.2307/1942268" TargetMode="External" /><Relationship Type="http://schemas.openxmlformats.org/officeDocument/2006/relationships/hyperlink" Id="rId63" Target="https://doi.org/10.2307/2528823" TargetMode="External" /><Relationship Type="http://schemas.openxmlformats.org/officeDocument/2006/relationships/hyperlink" Id="rId52" Target="https://doi.org/10.2307/4616294" TargetMode="External" /><Relationship Type="http://schemas.openxmlformats.org/officeDocument/2006/relationships/hyperlink" Id="rId56" Target="https://doi.org/10.32614/CRAN.package.GUniFrac" TargetMode="External" /><Relationship Type="http://schemas.openxmlformats.org/officeDocument/2006/relationships/hyperlink" Id="rId46" Target="https://doi.org/10.32614/CRAN.package.abdiv" TargetMode="External" /><Relationship Type="http://schemas.openxmlformats.org/officeDocument/2006/relationships/hyperlink" Id="rId67" Target="https://doi.org/10.32614/CRAN.package.bench" TargetMode="External" /><Relationship Type="http://schemas.openxmlformats.org/officeDocument/2006/relationships/hyperlink" Id="rId87" Target="https://doi.org/10.32614/CRAN.package.vegan" TargetMode="External" /><Relationship Type="http://schemas.openxmlformats.org/officeDocument/2006/relationships/hyperlink" Id="rId69" Target="https://doi.org/10.5169/seals-2683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mmr.github.io/ecodive/articles/benchmark.html" TargetMode="External" /><Relationship Type="http://schemas.openxmlformats.org/officeDocument/2006/relationships/hyperlink" Id="rId36" Target="https://cmmr.github.io/ecodive/reference/index.html" TargetMode="External" /><Relationship Type="http://schemas.openxmlformats.org/officeDocument/2006/relationships/hyperlink" Id="rId71" Target="https://doi.org/10.1002/9780470316801" TargetMode="External" /><Relationship Type="http://schemas.openxmlformats.org/officeDocument/2006/relationships/hyperlink" Id="rId91" Target="https://doi.org/10.1002/j.1538-7305.1948.tb01338.x" TargetMode="External" /><Relationship Type="http://schemas.openxmlformats.org/officeDocument/2006/relationships/hyperlink" Id="rId65" Target="https://doi.org/10.1007/BF01896809" TargetMode="External" /><Relationship Type="http://schemas.openxmlformats.org/officeDocument/2006/relationships/hyperlink" Id="rId60" Target="https://doi.org/10.1016/0006-3207(92)91201-3" TargetMode="External" /><Relationship Type="http://schemas.openxmlformats.org/officeDocument/2006/relationships/hyperlink" Id="rId93" Target="https://doi.org/10.1038/163688a0" TargetMode="External" /><Relationship Type="http://schemas.openxmlformats.org/officeDocument/2006/relationships/hyperlink" Id="rId54" Target="https://doi.org/10.1093/bioinformatics/bts342" TargetMode="External" /><Relationship Type="http://schemas.openxmlformats.org/officeDocument/2006/relationships/hyperlink" Id="rId75" Target="https://doi.org/10.1093/comjnl/10.3.271" TargetMode="External" /><Relationship Type="http://schemas.openxmlformats.org/officeDocument/2006/relationships/hyperlink" Id="rId44" Target="https://doi.org/10.1101/299537" TargetMode="External" /><Relationship Type="http://schemas.openxmlformats.org/officeDocument/2006/relationships/hyperlink" Id="rId89" Target="https://doi.org/10.1111/2041-210X.13430" TargetMode="External" /><Relationship Type="http://schemas.openxmlformats.org/officeDocument/2006/relationships/hyperlink" Id="rId58" Target="https://doi.org/10.1111/2041-210X.13478" TargetMode="External" /><Relationship Type="http://schemas.openxmlformats.org/officeDocument/2006/relationships/hyperlink" Id="rId77" Target="https://doi.org/10.1111/ele.12141" TargetMode="External" /><Relationship Type="http://schemas.openxmlformats.org/officeDocument/2006/relationships/hyperlink" Id="rId81" Target="https://doi.org/10.1128/AEM.71.12.8228-8235.2005" TargetMode="External" /><Relationship Type="http://schemas.openxmlformats.org/officeDocument/2006/relationships/hyperlink" Id="rId79" Target="https://doi.org/10.1128/aem.01996-06" TargetMode="External" /><Relationship Type="http://schemas.openxmlformats.org/officeDocument/2006/relationships/hyperlink" Id="rId50" Target="https://doi.org/10.1186/1471-2105-12-118" TargetMode="External" /><Relationship Type="http://schemas.openxmlformats.org/officeDocument/2006/relationships/hyperlink" Id="rId85" Target="https://doi.org/10.1371/journal.pone.0061217" TargetMode="External" /><Relationship Type="http://schemas.openxmlformats.org/officeDocument/2006/relationships/hyperlink" Id="rId83" Target="https://doi.org/10.18637/jss.v067.i08" TargetMode="External" /><Relationship Type="http://schemas.openxmlformats.org/officeDocument/2006/relationships/hyperlink" Id="rId48" Target="https://doi.org/10.2307/1942268" TargetMode="External" /><Relationship Type="http://schemas.openxmlformats.org/officeDocument/2006/relationships/hyperlink" Id="rId63" Target="https://doi.org/10.2307/2528823" TargetMode="External" /><Relationship Type="http://schemas.openxmlformats.org/officeDocument/2006/relationships/hyperlink" Id="rId52" Target="https://doi.org/10.2307/4616294" TargetMode="External" /><Relationship Type="http://schemas.openxmlformats.org/officeDocument/2006/relationships/hyperlink" Id="rId56" Target="https://doi.org/10.32614/CRAN.package.GUniFrac" TargetMode="External" /><Relationship Type="http://schemas.openxmlformats.org/officeDocument/2006/relationships/hyperlink" Id="rId46" Target="https://doi.org/10.32614/CRAN.package.abdiv" TargetMode="External" /><Relationship Type="http://schemas.openxmlformats.org/officeDocument/2006/relationships/hyperlink" Id="rId67" Target="https://doi.org/10.32614/CRAN.package.bench" TargetMode="External" /><Relationship Type="http://schemas.openxmlformats.org/officeDocument/2006/relationships/hyperlink" Id="rId87" Target="https://doi.org/10.32614/CRAN.package.vegan" TargetMode="External" /><Relationship Type="http://schemas.openxmlformats.org/officeDocument/2006/relationships/hyperlink" Id="rId69" Target="https://doi.org/10.5169/seals-2683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ecodive: Parallel and Memory-Efficient R Package for Ecological Diversity Analysis</dc:title>
  <dc:creator/>
  <cp:keywords/>
  <dcterms:created xsi:type="dcterms:W3CDTF">2025-08-15T22:04:16Z</dcterms:created>
  <dcterms:modified xsi:type="dcterms:W3CDTF">2025-08-15T22:04:16Z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15 August 2025</vt:lpwstr>
  </property>
  <property fmtid="{D5CDD505-2E9C-101B-9397-08002B2CF9AE}" pid="6" name="output">
    <vt:lpwstr/>
  </property>
  <property fmtid="{D5CDD505-2E9C-101B-9397-08002B2CF9AE}" pid="7" name="tags">
    <vt:lpwstr/>
  </property>
</Properties>
</file>