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744EB">
      <w:pPr>
        <w:spacing w:line="360" w:lineRule="auto"/>
        <w:ind w:firstLine="333" w:firstLineChars="83"/>
        <w:jc w:val="center"/>
        <w:rPr>
          <w:rFonts w:ascii="Times New Roman" w:hAnsi="Times New Roman" w:eastAsia="仿宋" w:cs="Times New Roman"/>
          <w:b/>
          <w:sz w:val="40"/>
          <w:szCs w:val="22"/>
        </w:rPr>
      </w:pPr>
      <w:r>
        <w:rPr>
          <w:rFonts w:hint="eastAsia" w:ascii="Times New Roman" w:hAnsi="Times New Roman" w:eastAsia="仿宋" w:cs="Times New Roman"/>
          <w:b/>
          <w:sz w:val="40"/>
          <w:szCs w:val="22"/>
        </w:rPr>
        <w:t>杭州市网络安全事件报告书</w:t>
      </w:r>
    </w:p>
    <w:p w14:paraId="04027793">
      <w:pPr>
        <w:spacing w:line="360" w:lineRule="auto"/>
        <w:ind w:firstLine="333" w:firstLineChars="83"/>
        <w:jc w:val="center"/>
        <w:rPr>
          <w:rFonts w:ascii="Times New Roman" w:hAnsi="Times New Roman" w:eastAsia="仿宋" w:cs="Times New Roman"/>
          <w:b/>
          <w:sz w:val="40"/>
          <w:szCs w:val="22"/>
        </w:rPr>
      </w:pPr>
    </w:p>
    <w:p w14:paraId="45480B14">
      <w:r>
        <w:rPr>
          <w:rFonts w:hint="eastAsia"/>
        </w:rPr>
        <w:t xml:space="preserve">报告时间： </w:t>
      </w:r>
      <w:r>
        <w:t xml:space="preserve"> 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 xml:space="preserve">年 </w:t>
      </w:r>
      <w:r>
        <w:t xml:space="preserve"> 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月 </w:t>
      </w:r>
      <w:r>
        <w:t xml:space="preserve">  </w:t>
      </w:r>
      <w:r>
        <w:rPr>
          <w:rFonts w:hint="eastAsia"/>
        </w:rPr>
        <w:t xml:space="preserve">日 </w:t>
      </w:r>
      <w:r>
        <w:t xml:space="preserve">  </w:t>
      </w:r>
      <w:r>
        <w:rPr>
          <w:rFonts w:hint="eastAsia"/>
        </w:rPr>
        <w:t xml:space="preserve">时 </w:t>
      </w:r>
      <w:r>
        <w:t xml:space="preserve">  </w:t>
      </w:r>
      <w:r>
        <w:rPr>
          <w:rFonts w:hint="eastAsia"/>
        </w:rPr>
        <w:t xml:space="preserve">分 </w:t>
      </w:r>
      <w:r>
        <w:t xml:space="preserve">                           </w:t>
      </w:r>
      <w:r>
        <w:rPr>
          <w:rFonts w:hint="eastAsia"/>
        </w:rPr>
        <w:t xml:space="preserve">第 </w:t>
      </w:r>
      <w:r>
        <w:t xml:space="preserve"> </w:t>
      </w:r>
      <w:r>
        <w:rPr>
          <w:rFonts w:hint="eastAsia"/>
        </w:rPr>
        <w:t>页</w:t>
      </w:r>
    </w:p>
    <w:tbl>
      <w:tblPr>
        <w:tblStyle w:val="5"/>
        <w:tblW w:w="9470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410"/>
        <w:gridCol w:w="2409"/>
        <w:gridCol w:w="2240"/>
      </w:tblGrid>
      <w:tr w14:paraId="35D31550">
        <w:trPr>
          <w:trHeight w:val="693" w:hRule="atLeast"/>
        </w:trPr>
        <w:tc>
          <w:tcPr>
            <w:tcW w:w="2411" w:type="dxa"/>
            <w:vAlign w:val="center"/>
          </w:tcPr>
          <w:p w14:paraId="2B6BF943">
            <w:pPr>
              <w:jc w:val="center"/>
            </w:pPr>
            <w:bookmarkStart w:id="0" w:name="_Hlk62205127"/>
            <w:r>
              <w:rPr>
                <w:rFonts w:hint="eastAsia"/>
              </w:rPr>
              <w:t>单位名称</w:t>
            </w:r>
          </w:p>
        </w:tc>
        <w:tc>
          <w:tcPr>
            <w:tcW w:w="2410" w:type="dxa"/>
            <w:vAlign w:val="center"/>
          </w:tcPr>
          <w:p w14:paraId="4EDDE1F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杭州富阳华数数字电视有限公司</w:t>
            </w:r>
          </w:p>
        </w:tc>
        <w:tc>
          <w:tcPr>
            <w:tcW w:w="2409" w:type="dxa"/>
            <w:vAlign w:val="center"/>
          </w:tcPr>
          <w:p w14:paraId="3DAA9B23">
            <w:pPr>
              <w:jc w:val="center"/>
            </w:pPr>
            <w:r>
              <w:rPr>
                <w:rFonts w:hint="eastAsia"/>
              </w:rPr>
              <w:t>单位性质</w:t>
            </w:r>
          </w:p>
        </w:tc>
        <w:tc>
          <w:tcPr>
            <w:tcW w:w="2240" w:type="dxa"/>
            <w:vAlign w:val="center"/>
          </w:tcPr>
          <w:p w14:paraId="13745600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国企</w:t>
            </w:r>
          </w:p>
        </w:tc>
      </w:tr>
      <w:tr w14:paraId="1093DD36">
        <w:trPr>
          <w:trHeight w:val="702" w:hRule="atLeast"/>
        </w:trPr>
        <w:tc>
          <w:tcPr>
            <w:tcW w:w="2411" w:type="dxa"/>
            <w:vAlign w:val="center"/>
          </w:tcPr>
          <w:p w14:paraId="5983142E">
            <w:pPr>
              <w:jc w:val="center"/>
            </w:pPr>
            <w:r>
              <w:rPr>
                <w:rFonts w:hint="eastAsia"/>
              </w:rPr>
              <w:t>联系人</w:t>
            </w:r>
          </w:p>
        </w:tc>
        <w:tc>
          <w:tcPr>
            <w:tcW w:w="2410" w:type="dxa"/>
            <w:vAlign w:val="center"/>
          </w:tcPr>
          <w:p w14:paraId="1C941756">
            <w:pPr>
              <w:jc w:val="center"/>
            </w:pPr>
          </w:p>
        </w:tc>
        <w:tc>
          <w:tcPr>
            <w:tcW w:w="2409" w:type="dxa"/>
            <w:vAlign w:val="center"/>
          </w:tcPr>
          <w:p w14:paraId="3DD26796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2240" w:type="dxa"/>
            <w:vAlign w:val="center"/>
          </w:tcPr>
          <w:p w14:paraId="6EE5883A">
            <w:pPr>
              <w:jc w:val="center"/>
            </w:pPr>
          </w:p>
        </w:tc>
      </w:tr>
      <w:tr w14:paraId="272B642A">
        <w:trPr>
          <w:trHeight w:val="529" w:hRule="atLeast"/>
        </w:trPr>
        <w:tc>
          <w:tcPr>
            <w:tcW w:w="2411" w:type="dxa"/>
            <w:vAlign w:val="center"/>
          </w:tcPr>
          <w:p w14:paraId="37B6C2A1">
            <w:pPr>
              <w:jc w:val="center"/>
            </w:pPr>
            <w:r>
              <w:rPr>
                <w:rFonts w:hint="eastAsia"/>
              </w:rPr>
              <w:t>处室负责人</w:t>
            </w:r>
          </w:p>
        </w:tc>
        <w:tc>
          <w:tcPr>
            <w:tcW w:w="2410" w:type="dxa"/>
            <w:vAlign w:val="center"/>
          </w:tcPr>
          <w:p w14:paraId="772ED899">
            <w:pPr>
              <w:jc w:val="center"/>
            </w:pPr>
          </w:p>
        </w:tc>
        <w:tc>
          <w:tcPr>
            <w:tcW w:w="2409" w:type="dxa"/>
            <w:vAlign w:val="center"/>
          </w:tcPr>
          <w:p w14:paraId="2C534D94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2240" w:type="dxa"/>
            <w:vAlign w:val="center"/>
          </w:tcPr>
          <w:p w14:paraId="44576E76">
            <w:pPr>
              <w:jc w:val="center"/>
            </w:pPr>
          </w:p>
        </w:tc>
      </w:tr>
      <w:tr w14:paraId="1951A2CB">
        <w:trPr>
          <w:trHeight w:val="554" w:hRule="atLeast"/>
        </w:trPr>
        <w:tc>
          <w:tcPr>
            <w:tcW w:w="2411" w:type="dxa"/>
            <w:vAlign w:val="center"/>
          </w:tcPr>
          <w:p w14:paraId="5704F2C6">
            <w:pPr>
              <w:jc w:val="center"/>
              <w:rPr>
                <w:rFonts w:eastAsia="仿宋"/>
              </w:rPr>
            </w:pPr>
            <w:r>
              <w:rPr>
                <w:rFonts w:hint="eastAsia"/>
              </w:rPr>
              <w:t>主要负责人意见（签名）</w:t>
            </w:r>
          </w:p>
        </w:tc>
        <w:tc>
          <w:tcPr>
            <w:tcW w:w="7059" w:type="dxa"/>
            <w:gridSpan w:val="3"/>
            <w:vAlign w:val="center"/>
          </w:tcPr>
          <w:p w14:paraId="522BF616">
            <w:pPr>
              <w:jc w:val="center"/>
            </w:pPr>
          </w:p>
        </w:tc>
      </w:tr>
      <w:tr w14:paraId="269ED7DB">
        <w:trPr>
          <w:trHeight w:val="708" w:hRule="atLeast"/>
        </w:trPr>
        <w:tc>
          <w:tcPr>
            <w:tcW w:w="2411" w:type="dxa"/>
            <w:shd w:val="clear" w:color="auto" w:fill="auto"/>
            <w:vAlign w:val="center"/>
          </w:tcPr>
          <w:p w14:paraId="109C9D79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初判事件类型</w:t>
            </w:r>
          </w:p>
        </w:tc>
        <w:tc>
          <w:tcPr>
            <w:tcW w:w="7059" w:type="dxa"/>
            <w:gridSpan w:val="3"/>
            <w:shd w:val="clear" w:color="auto" w:fill="auto"/>
            <w:vAlign w:val="center"/>
          </w:tcPr>
          <w:p w14:paraId="31715A68">
            <w:pPr>
              <w:spacing w:line="4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有害程序事件  □网络攻击事件 □信息破坏事件</w:t>
            </w:r>
          </w:p>
          <w:p w14:paraId="348CA16A">
            <w:pPr>
              <w:spacing w:line="44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□设备设施故障  □灾害性事件   □其他事件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□尚无法判定</w:t>
            </w:r>
          </w:p>
        </w:tc>
      </w:tr>
      <w:tr w14:paraId="0014FA5C">
        <w:trPr>
          <w:trHeight w:val="708" w:hRule="atLeast"/>
        </w:trPr>
        <w:tc>
          <w:tcPr>
            <w:tcW w:w="2411" w:type="dxa"/>
            <w:shd w:val="clear" w:color="auto" w:fill="auto"/>
            <w:vAlign w:val="center"/>
          </w:tcPr>
          <w:p w14:paraId="3CA4C05D">
            <w:pPr>
              <w:spacing w:line="4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初判事件级别</w:t>
            </w:r>
          </w:p>
        </w:tc>
        <w:tc>
          <w:tcPr>
            <w:tcW w:w="7059" w:type="dxa"/>
            <w:gridSpan w:val="3"/>
            <w:shd w:val="clear" w:color="auto" w:fill="auto"/>
            <w:vAlign w:val="center"/>
          </w:tcPr>
          <w:p w14:paraId="63D181A2">
            <w:pPr>
              <w:spacing w:line="440" w:lineRule="exact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□特别重大   □重大   □较大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一般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其他</w:t>
            </w:r>
          </w:p>
        </w:tc>
      </w:tr>
      <w:tr w14:paraId="61046CD1">
        <w:trPr>
          <w:trHeight w:val="708" w:hRule="atLeast"/>
        </w:trPr>
        <w:tc>
          <w:tcPr>
            <w:tcW w:w="2411" w:type="dxa"/>
            <w:vAlign w:val="center"/>
          </w:tcPr>
          <w:p w14:paraId="18D5C2D2">
            <w:pPr>
              <w:jc w:val="center"/>
              <w:rPr>
                <w:rFonts w:ascii="Times New Roman" w:hAnsi="Times New Roman" w:eastAsia="仿宋" w:cs="Times New Roman"/>
                <w:sz w:val="24"/>
                <w:szCs w:val="22"/>
              </w:rPr>
            </w:pPr>
            <w:r>
              <w:rPr>
                <w:rFonts w:hint="eastAsia"/>
              </w:rPr>
              <w:t>系统建设及运维单位</w:t>
            </w:r>
          </w:p>
        </w:tc>
        <w:tc>
          <w:tcPr>
            <w:tcW w:w="7059" w:type="dxa"/>
            <w:gridSpan w:val="3"/>
            <w:vAlign w:val="center"/>
          </w:tcPr>
          <w:p w14:paraId="4E12DF96">
            <w:pPr>
              <w:jc w:val="center"/>
            </w:pPr>
            <w:r>
              <w:rPr>
                <w:rFonts w:hint="eastAsia"/>
                <w:lang w:val="en-US" w:eastAsia="zh-CN"/>
              </w:rPr>
              <w:t>杭州富阳华数数字电视有限公司</w:t>
            </w:r>
          </w:p>
        </w:tc>
      </w:tr>
      <w:tr w14:paraId="7465EFF2">
        <w:trPr>
          <w:trHeight w:val="1405" w:hRule="atLeast"/>
        </w:trPr>
        <w:tc>
          <w:tcPr>
            <w:tcW w:w="2411" w:type="dxa"/>
            <w:vAlign w:val="center"/>
          </w:tcPr>
          <w:p w14:paraId="580EE4CC">
            <w:pPr>
              <w:jc w:val="center"/>
            </w:pPr>
            <w:r>
              <w:rPr>
                <w:rFonts w:hint="eastAsia"/>
              </w:rPr>
              <w:t>事发单位及事发网络和信息系统功能描述</w:t>
            </w:r>
          </w:p>
        </w:tc>
        <w:tc>
          <w:tcPr>
            <w:tcW w:w="7059" w:type="dxa"/>
            <w:gridSpan w:val="3"/>
            <w:vAlign w:val="center"/>
          </w:tcPr>
          <w:p w14:paraId="1194595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个人上网使用</w:t>
            </w:r>
          </w:p>
        </w:tc>
      </w:tr>
      <w:tr w14:paraId="2D43C59F">
        <w:trPr>
          <w:trHeight w:val="1131" w:hRule="atLeast"/>
        </w:trPr>
        <w:tc>
          <w:tcPr>
            <w:tcW w:w="2411" w:type="dxa"/>
            <w:vAlign w:val="center"/>
          </w:tcPr>
          <w:p w14:paraId="240F84C4">
            <w:pPr>
              <w:jc w:val="center"/>
            </w:pPr>
            <w:r>
              <w:rPr>
                <w:rFonts w:hint="eastAsia"/>
              </w:rPr>
              <w:t>事发时间、事态发展简要经过及初判原因</w:t>
            </w:r>
          </w:p>
        </w:tc>
        <w:tc>
          <w:tcPr>
            <w:tcW w:w="7059" w:type="dxa"/>
            <w:gridSpan w:val="3"/>
            <w:vAlign w:val="center"/>
          </w:tcPr>
          <w:p w14:paraId="3E985531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218.108.63.62在2026年4月25日至2026年4月26日向日本IP地址154.213.189.23传输数据2.22GB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经过核查校对，发现该ip实际为个人使用，《关于浙江省杭州市富阳区永昌镇人民政府流量异常出境事件的报告》中提及的涉事单位“浙江省杭州市富阳区永昌镇人民政府”为信息更新疏漏导致的误判。事发之后，我单位立即安排人员前往用户所在地进行事件排查，初步判定为用户个人终端（手机）安装的第三方应用，在用户不知情的情况下，向境外 IP 地址发起了数据传输请求，未涉及敏感信息。</w:t>
            </w:r>
          </w:p>
        </w:tc>
      </w:tr>
      <w:tr w14:paraId="4B58B4DC">
        <w:trPr>
          <w:trHeight w:val="1544" w:hRule="atLeast"/>
        </w:trPr>
        <w:tc>
          <w:tcPr>
            <w:tcW w:w="2411" w:type="dxa"/>
            <w:vAlign w:val="center"/>
          </w:tcPr>
          <w:p w14:paraId="33254631">
            <w:pPr>
              <w:jc w:val="center"/>
            </w:pPr>
            <w:r>
              <w:rPr>
                <w:rFonts w:hint="eastAsia"/>
              </w:rPr>
              <w:t>事件影响范围和危害（影响程度、影响人数、经济损失等情况）</w:t>
            </w:r>
          </w:p>
        </w:tc>
        <w:tc>
          <w:tcPr>
            <w:tcW w:w="7059" w:type="dxa"/>
            <w:gridSpan w:val="3"/>
            <w:vAlign w:val="center"/>
          </w:tcPr>
          <w:p w14:paraId="485C1FE2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事件影响范围较小，仅为用户个人信息可能存在泄漏，未涉及任何国家敏感信息。判定影响人数仅为1人，目前未造成任何经济损失或不良影响。</w:t>
            </w:r>
          </w:p>
        </w:tc>
      </w:tr>
      <w:tr w14:paraId="2775BB48">
        <w:trPr>
          <w:trHeight w:val="1123" w:hRule="atLeast"/>
        </w:trPr>
        <w:tc>
          <w:tcPr>
            <w:tcW w:w="2411" w:type="dxa"/>
            <w:vAlign w:val="center"/>
          </w:tcPr>
          <w:p w14:paraId="48F81652">
            <w:pPr>
              <w:jc w:val="center"/>
            </w:pPr>
            <w:r>
              <w:rPr>
                <w:rFonts w:hint="eastAsia"/>
              </w:rPr>
              <w:t>已采取的措施及效果</w:t>
            </w:r>
          </w:p>
        </w:tc>
        <w:tc>
          <w:tcPr>
            <w:tcW w:w="7059" w:type="dxa"/>
            <w:gridSpan w:val="3"/>
            <w:vAlign w:val="center"/>
          </w:tcPr>
          <w:p w14:paraId="6C32D025">
            <w:pPr>
              <w:numPr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1.已立即对涉事 IP 地址 218.108.63.62 采取停用措施。</w:t>
            </w:r>
          </w:p>
          <w:p w14:paraId="3FF476A9">
            <w:pPr>
              <w:numPr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2.更正专线登记信息，明确该 IP 为用户个人上网使用，消除事件误判。</w:t>
            </w:r>
          </w:p>
          <w:p w14:paraId="7A68DEFD">
            <w:pPr>
              <w:numPr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3.全面排查用户手机可疑软件和数据内容，未发现高危程序，并指导用户卸载可疑应用。</w:t>
            </w:r>
          </w:p>
        </w:tc>
      </w:tr>
      <w:tr w14:paraId="0ADBEB38">
        <w:trPr>
          <w:trHeight w:val="1121" w:hRule="atLeast"/>
        </w:trPr>
        <w:tc>
          <w:tcPr>
            <w:tcW w:w="2411" w:type="dxa"/>
            <w:vAlign w:val="center"/>
          </w:tcPr>
          <w:p w14:paraId="175B356C">
            <w:pPr>
              <w:jc w:val="center"/>
            </w:pPr>
            <w:r>
              <w:rPr>
                <w:rFonts w:hint="eastAsia"/>
              </w:rPr>
              <w:t>下一步工作安排和工作建议</w:t>
            </w:r>
          </w:p>
        </w:tc>
        <w:tc>
          <w:tcPr>
            <w:tcW w:w="7059" w:type="dxa"/>
            <w:gridSpan w:val="3"/>
            <w:vAlign w:val="center"/>
          </w:tcPr>
          <w:p w14:paraId="1B620496">
            <w:pPr>
              <w:numPr>
                <w:ilvl w:val="0"/>
                <w:numId w:val="1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全面排查专线登记信息，做到ip归属等信息准确无误。</w:t>
            </w:r>
          </w:p>
          <w:p w14:paraId="68B2FD14">
            <w:pPr>
              <w:numPr>
                <w:ilvl w:val="0"/>
                <w:numId w:val="1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加强用户安全教育，保障用户信息安全。</w:t>
            </w:r>
          </w:p>
          <w:p w14:paraId="2A28D073">
            <w:pPr>
              <w:numPr>
                <w:ilvl w:val="0"/>
                <w:numId w:val="1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缩短响应事件，提高应急事件处理能力。</w:t>
            </w:r>
          </w:p>
        </w:tc>
      </w:tr>
      <w:tr w14:paraId="7DFDF07B">
        <w:trPr>
          <w:trHeight w:val="1129" w:hRule="atLeast"/>
        </w:trPr>
        <w:tc>
          <w:tcPr>
            <w:tcW w:w="2411" w:type="dxa"/>
            <w:vAlign w:val="center"/>
          </w:tcPr>
          <w:p w14:paraId="6479791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7059" w:type="dxa"/>
            <w:gridSpan w:val="3"/>
            <w:vAlign w:val="center"/>
          </w:tcPr>
          <w:p w14:paraId="1DD69DEB">
            <w:pPr>
              <w:jc w:val="center"/>
            </w:pPr>
            <w:r>
              <w:rPr>
                <w:rFonts w:hint="eastAsia"/>
              </w:rPr>
              <w:t>（如：报送单位是否对事件进行验证及验证方法、验证情况；信息是否已报送其他部门；进一步调查需要的线索；请求支援事项；现场保护情况等）</w:t>
            </w:r>
          </w:p>
        </w:tc>
      </w:tr>
      <w:bookmarkEnd w:id="0"/>
    </w:tbl>
    <w:p w14:paraId="40A3D9A9">
      <w:bookmarkStart w:id="1" w:name="_GoBack"/>
    </w:p>
    <w:bookmarkEnd w:id="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altName w:val="苹方-简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F3A80F"/>
    <w:multiLevelType w:val="singleLevel"/>
    <w:tmpl w:val="34F3A8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27839"/>
    <w:rsid w:val="00064E17"/>
    <w:rsid w:val="00085AE5"/>
    <w:rsid w:val="00141C1B"/>
    <w:rsid w:val="0035792E"/>
    <w:rsid w:val="00386CEB"/>
    <w:rsid w:val="003D71A7"/>
    <w:rsid w:val="00D4319B"/>
    <w:rsid w:val="15127839"/>
    <w:rsid w:val="2AD07C6D"/>
    <w:rsid w:val="2EFD1C5D"/>
    <w:rsid w:val="3F2F3A44"/>
    <w:rsid w:val="47390DCE"/>
    <w:rsid w:val="49996A81"/>
    <w:rsid w:val="5F4B77EB"/>
    <w:rsid w:val="67FF0776"/>
    <w:rsid w:val="7B7632D1"/>
    <w:rsid w:val="BF5FC3A9"/>
    <w:rsid w:val="DEDBD4D2"/>
    <w:rsid w:val="EBBF3AC3"/>
    <w:rsid w:val="FEEFA18F"/>
    <w:rsid w:val="FEFB625F"/>
    <w:rsid w:val="FFF3D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</Words>
  <Characters>170</Characters>
  <Lines>1</Lines>
  <Paragraphs>1</Paragraphs>
  <TotalTime>2</TotalTime>
  <ScaleCrop>false</ScaleCrop>
  <LinksUpToDate>false</LinksUpToDate>
  <CharactersWithSpaces>214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2021-01-22T23:34:00Z</dcterms:created>
  <dc:creator>猫不吃鱼诶</dc:creator>
  <cp:lastModifiedBy>草莓奶油狐狐</cp:lastModifiedBy>
  <cp:lastPrinted>2021-01-22T23:36:00Z</cp:lastPrinted>
  <dcterms:modified xsi:type="dcterms:W3CDTF">2026-04-30T13:51:12Z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KSOTemplateDocerSaveRecord">
    <vt:lpwstr>eyJoZGlkIjoiMGFmZDI4MTliOGJlZTllNWFmYjFiZTA3NGY4MzNkMmEiLCJ1c2VySWQiOiIzMDc1Mjk0MzEifQ==</vt:lpwstr>
  </property>
  <property fmtid="{D5CDD505-2E9C-101B-9397-08002B2CF9AE}" pid="4" name="ICV">
    <vt:lpwstr>5751706E558606A9A6ECF269AF7E9F30_43</vt:lpwstr>
  </property>
</Properties>
</file>