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Supplementary Information</w:t>
      </w:r>
    </w:p>
    <w:p/>
    <w:p>
      <w:pPr>
        <w:jc w:val="center"/>
      </w:pPr>
      <w:r>
        <w:rPr>
          <w:i/>
          <w:sz w:val="28"/>
        </w:rPr>
        <w:t>Immune-State Stratification Reveals Therapeutic Vulnerabilities in Chemo-Immunotherapy Resistant Small Cell Lung Cancer</w:t>
      </w:r>
    </w:p>
    <w:p/>
    <w:p/>
    <w:p>
      <w:pPr>
        <w:jc w:val="left"/>
      </w:pPr>
      <w:r>
        <w:rPr>
          <w:b/>
        </w:rPr>
        <w:t>Contents</w:t>
      </w:r>
    </w:p>
    <w:p>
      <w:r>
        <w:t>Supplementary Methods</w:t>
      </w:r>
    </w:p>
    <w:p>
      <w:r>
        <w:t xml:space="preserve">    Data Preprocessing and Quality Control</w:t>
      </w:r>
    </w:p>
    <w:p>
      <w:r>
        <w:t xml:space="preserve">    Transcriptional Subtype Classification Algorithm</w:t>
      </w:r>
    </w:p>
    <w:p>
      <w:r>
        <w:t xml:space="preserve">    Immune Signature Scoring Details</w:t>
      </w:r>
    </w:p>
    <w:p>
      <w:r>
        <w:t xml:space="preserve">    Drug Repositioning Pipeline</w:t>
      </w:r>
    </w:p>
    <w:p>
      <w:r>
        <w:t xml:space="preserve">    Genome-scale Metabolic Model Construction</w:t>
      </w:r>
    </w:p>
    <w:p>
      <w:r>
        <w:t xml:space="preserve">    Deep Learning Architecture Details</w:t>
      </w:r>
    </w:p>
    <w:p>
      <w:r>
        <w:t xml:space="preserve">    In Silico Drug Validation Protocol</w:t>
      </w:r>
    </w:p>
    <w:p>
      <w:r>
        <w:t xml:space="preserve">    IO Resistance Signature Definitions</w:t>
      </w:r>
    </w:p>
    <w:p>
      <w:r>
        <w:t>Supplementary Figure Legends</w:t>
      </w:r>
    </w:p>
    <w:p>
      <w:r>
        <w:t>Supplementary Table Legends</w:t>
      </w:r>
    </w:p>
    <w:p>
      <w:r>
        <w:t>Supplementary References</w:t>
      </w:r>
    </w:p>
    <w:p>
      <w:r>
        <w:br w:type="page"/>
      </w:r>
    </w:p>
    <w:p>
      <w:pPr>
        <w:pStyle w:val="Heading1"/>
      </w:pPr>
      <w:r>
        <w:t>Supplementary Methods</w:t>
      </w:r>
    </w:p>
    <w:p>
      <w:pPr>
        <w:pStyle w:val="Heading2"/>
      </w:pPr>
      <w:r>
        <w:t>Data Preprocessing and Quality Control</w:t>
      </w:r>
    </w:p>
    <w:p>
      <w:r>
        <w:t>RNA-sequencing data from GSE60052 were downloaded from Gene Expression Omnibus (GEO) using the GEOquery R package. The dataset comprises 86 samples including 79 tumor samples and 7 matched normal adjacent tissue samples from patients with small cell lung cancer (SCLC). Raw count data were normalized using the DESeq2 variance stabilizing transformation (VST) to account for library size differences and stabilize variance across the expression range.</w:t>
      </w:r>
    </w:p>
    <w:p>
      <w:r>
        <w:t>Quality control metrics were computed for each sample including: (1) total read counts; (2) number of genes detected (counts &gt; 0); (3) percentage of reads mapping to mitochondrial genes; (4) percentage of reads mapping to ribosomal genes. Samples with fewer than 10,000 detected genes or &gt;30% mitochondrial reads were flagged for review. No samples were excluded based on these criteria.</w:t>
      </w:r>
    </w:p>
    <w:p>
      <w:r>
        <w:t>Gene filtering retained genes expressed in at least 10% of samples (minimum 9 samples) with mean normalized counts &gt; 1. This filtering resulted in 35,805 genes for downstream analysis. Batch effects were assessed using principal component analysis (PCA) and no significant batch structure was observed, consistent with the single-center, single-platform nature of the dataset.</w:t>
      </w:r>
    </w:p>
    <w:p>
      <w:pPr>
        <w:pStyle w:val="Heading2"/>
      </w:pPr>
      <w:r>
        <w:t>Transcriptional Subtype Classification Algorithm</w:t>
      </w:r>
    </w:p>
    <w:p>
      <w:r>
        <w:t>SCLC molecular subtypes were assigned using single-sample Gene Set Enrichment Analysis (ssGSEA) with curated gene signatures for each subtype. The classification algorithm proceeded as follows:</w:t>
      </w:r>
    </w:p>
    <w:p>
      <w:r>
        <w:t>1. Gene Signature Curation: Subtype-specific gene signatures were compiled from published literature (Rudin et al., Nat Rev Cancer 2019; Gay et al., Cancer Cell 2021). Each signature comprised 8-15 marker genes characteristic of the respective subtype:</w:t>
      </w:r>
    </w:p>
    <w:tbl>
      <w:tblPr>
        <w:tblStyle w:val="TableGrid"/>
        <w:tblW w:type="auto" w:w="0"/>
        <w:tblLook w:firstColumn="1" w:firstRow="1" w:lastColumn="0" w:lastRow="0" w:noHBand="0" w:noVBand="1" w:val="04A0"/>
      </w:tblPr>
      <w:tblGrid>
        <w:gridCol w:w="2880"/>
        <w:gridCol w:w="2880"/>
        <w:gridCol w:w="2880"/>
      </w:tblGrid>
      <w:tr>
        <w:tc>
          <w:tcPr>
            <w:tcW w:type="dxa" w:w="2880"/>
          </w:tcPr>
          <w:p>
            <w:r>
              <w:t>Subtype</w:t>
            </w:r>
          </w:p>
        </w:tc>
        <w:tc>
          <w:tcPr>
            <w:tcW w:type="dxa" w:w="2880"/>
          </w:tcPr>
          <w:p>
            <w:r>
              <w:t>Key Markers</w:t>
            </w:r>
          </w:p>
        </w:tc>
        <w:tc>
          <w:tcPr>
            <w:tcW w:type="dxa" w:w="2880"/>
          </w:tcPr>
          <w:p>
            <w:r>
              <w:t>N Genes</w:t>
            </w:r>
          </w:p>
        </w:tc>
      </w:tr>
      <w:tr>
        <w:tc>
          <w:tcPr>
            <w:tcW w:type="dxa" w:w="2880"/>
          </w:tcPr>
          <w:p>
            <w:r>
              <w:t>SCLC-A</w:t>
            </w:r>
          </w:p>
        </w:tc>
        <w:tc>
          <w:tcPr>
            <w:tcW w:type="dxa" w:w="2880"/>
          </w:tcPr>
          <w:p>
            <w:r>
              <w:t>ASCL1, DLL3, SOX1, GRP, CHGA, SYP, NCAM1, INSM1, FOXA2, NKX2-1</w:t>
            </w:r>
          </w:p>
        </w:tc>
        <w:tc>
          <w:tcPr>
            <w:tcW w:type="dxa" w:w="2880"/>
          </w:tcPr>
          <w:p>
            <w:r>
              <w:t>10</w:t>
            </w:r>
          </w:p>
        </w:tc>
      </w:tr>
      <w:tr>
        <w:tc>
          <w:tcPr>
            <w:tcW w:type="dxa" w:w="2880"/>
          </w:tcPr>
          <w:p>
            <w:r>
              <w:t>SCLC-N</w:t>
            </w:r>
          </w:p>
        </w:tc>
        <w:tc>
          <w:tcPr>
            <w:tcW w:type="dxa" w:w="2880"/>
          </w:tcPr>
          <w:p>
            <w:r>
              <w:t>NEUROD1, NEUROD2, NEUROD4, HES6, ASCL2, MYT1, MYT1L, KIF5C</w:t>
            </w:r>
          </w:p>
        </w:tc>
        <w:tc>
          <w:tcPr>
            <w:tcW w:type="dxa" w:w="2880"/>
          </w:tcPr>
          <w:p>
            <w:r>
              <w:t>8</w:t>
            </w:r>
          </w:p>
        </w:tc>
      </w:tr>
      <w:tr>
        <w:tc>
          <w:tcPr>
            <w:tcW w:type="dxa" w:w="2880"/>
          </w:tcPr>
          <w:p>
            <w:r>
              <w:t>SCLC-P</w:t>
            </w:r>
          </w:p>
        </w:tc>
        <w:tc>
          <w:tcPr>
            <w:tcW w:type="dxa" w:w="2880"/>
          </w:tcPr>
          <w:p>
            <w:r>
              <w:t>POU2F3, ASCL2, AVIL, TRPM5, SOX9, GFI1B, CHAT, LRMP, IL25</w:t>
            </w:r>
          </w:p>
        </w:tc>
        <w:tc>
          <w:tcPr>
            <w:tcW w:type="dxa" w:w="2880"/>
          </w:tcPr>
          <w:p>
            <w:r>
              <w:t>9</w:t>
            </w:r>
          </w:p>
        </w:tc>
      </w:tr>
      <w:tr>
        <w:tc>
          <w:tcPr>
            <w:tcW w:type="dxa" w:w="2880"/>
          </w:tcPr>
          <w:p>
            <w:r>
              <w:t>SCLC-I</w:t>
            </w:r>
          </w:p>
        </w:tc>
        <w:tc>
          <w:tcPr>
            <w:tcW w:type="dxa" w:w="2880"/>
          </w:tcPr>
          <w:p>
            <w:r>
              <w:t>CD274, PDCD1LG2, IDO1, CXCL10, HLA-DRA, STAT1, IRF1, GZMA, GZMB, PRF1, CD8A</w:t>
            </w:r>
          </w:p>
        </w:tc>
        <w:tc>
          <w:tcPr>
            <w:tcW w:type="dxa" w:w="2880"/>
          </w:tcPr>
          <w:p>
            <w:r>
              <w:t>15</w:t>
            </w:r>
          </w:p>
        </w:tc>
      </w:tr>
    </w:tbl>
    <w:p/>
    <w:p>
      <w:r>
        <w:t>2. ssGSEA Scoring: For each sample, ssGSEA enrichment scores were computed for all four subtype signatures using the GSVA R package (version 1.46.0). The ssGSEA algorithm ranks genes by expression level within each sample, then calculates an enrichment score based on the positions of signature genes in this ranked list. Scores were z-score normalized across samples for comparability.</w:t>
      </w:r>
    </w:p>
    <w:p>
      <w:r>
        <w:t>3. Subtype Assignment: Each sample was assigned to the subtype with the highest ssGSEA enrichment score. Confidence was assessed by computing the difference between the highest and second-highest scores (delta score). Samples with delta score &lt; 0.5 standard deviations were flagged as "ambiguous" but retained their primary classification. In this cohort, 12 samples (14%) were flagged as ambiguous, predominantly at the SCLC-A/SCLC-N boundary, consistent with the biological continuum between neuroendocrine subtypes.</w:t>
      </w:r>
    </w:p>
    <w:p>
      <w:r>
        <w:t>4. Validation: Subtype assignments were validated by examining expression of canonical markers (ASCL1, NEUROD1, POU2F3) and by PCA visualization, which demonstrated clear separation of subtypes along the first two principal components (Supplementary Figure 2).</w:t>
      </w:r>
    </w:p>
    <w:p>
      <w:pPr>
        <w:pStyle w:val="Heading2"/>
      </w:pPr>
      <w:r>
        <w:t>Immune Signature Scoring Details</w:t>
      </w:r>
    </w:p>
    <w:p>
      <w:r>
        <w:t>Six immune signatures were curated from validated gene sets in the immunotherapy biomarker literature:</w:t>
      </w:r>
    </w:p>
    <w:p>
      <w:r>
        <w:t>1. T-effector Signature (14 genes): Derived from Ayers et al. (J Clin Invest 2017), this signature captures cytotoxic T lymphocyte (CTL) activity including effector molecules (GZMA, GZMB, GZMK, PRF1, GNLY), T cell markers (CD8A, CD8B), and IFN-gamma induced chemokines (CXCL9, CXCL10, CXCL13). High scores indicate active anti-tumor immunity.</w:t>
      </w:r>
    </w:p>
    <w:p>
      <w:r>
        <w:t>2. IFN-gamma Signaling Signature (16 genes): Based on Cristescu et al. (Science 2018), this signature reflects interferon-gamma pathway activation including JAK-STAT components (STAT1, STAT2), interferon regulatory factors (IRF1, IRF7, IRF9), and IFN-stimulated genes (GBP1, GBP2, IFIT1, IFIT2, IFIT3). IFN-gamma signaling is essential for anti-tumor immunity and PD-1 blockade response.</w:t>
      </w:r>
    </w:p>
    <w:p>
      <w:r>
        <w:t>3. Antigen Presentation Signature (16 genes): Encompasses the MHC class I presentation machinery including HLA class I genes (HLA-A, HLA-B, HLA-C, HLA-E, HLA-F, HLA-G), beta-2-microglobulin (B2M), peptide transporters (TAP1, TAP2, TAPBP), immunoproteasome components (PSMB8, PSMB9, PSMB10), and transcriptional regulators (NLRC5, CIITA, RFX5). Defects in this pathway are a major mechanism of immune evasion.</w:t>
      </w:r>
    </w:p>
    <w:p>
      <w:r>
        <w:t>4. Myeloid/TAM Signature (15 genes): Captures tumor-associated macrophage (TAM) infiltration including macrophage markers (CD68, CD163), scavenger receptors (MSR1, MRC1, MARCO), myeloid lineage markers (ITGAM, CD14), Fc receptors (FCGR1A, FCGR2A, FCGR3A), and immunosuppressive factors (IL10, TGFB1, ARG1). High TAM infiltration is associated with immunosuppression.</w:t>
      </w:r>
    </w:p>
    <w:p>
      <w:r>
        <w:t>5. Treg/Immunosuppression Signature (13 genes): Based on regulatory T cell markers from Plitas et al. (Immunity 2016) including FOXP3, IL2RA (CD25), CTLA4, TIGIT, co-stimulatory receptors (TNFRSF18/GITR, TNFRSF4/OX40), transcription factors (IKZF2, BATF, IRF4), chemokine receptor CCR8, and immunosuppressive cytokines (IL10, TGFB1). Treg infiltration suppresses anti-tumor immunity.</w:t>
      </w:r>
    </w:p>
    <w:p>
      <w:r>
        <w:t>6. T cell Exhaustion Signature (9 genes): Derived from Wherry et al. (Immunity 2015), capturing the dysfunctional T cell state characterized by inhibitory receptors (PDCD1/PD-1, LAG3, HAVCR2/TIM-3, TIGIT, CTLA4, CD160, CD244, BTLA) and the exhaustion-associated transcription factor TOX. Exhausted T cells have limited effector function but may be reinvigorated by checkpoint blockade.</w:t>
      </w:r>
    </w:p>
    <w:p>
      <w:r>
        <w:t>Immune scores were computed using ssGSEA as described for subtype classification, z-score normalized, and hierarchical clustering (Ward linkage, Euclidean distance) was applied to identify discrete immune states. The optimal number of clusters (k=4) was determined by silhouette analysis and gap statistic.</w:t>
      </w:r>
    </w:p>
    <w:p>
      <w:pPr>
        <w:pStyle w:val="Heading2"/>
      </w:pPr>
      <w:r>
        <w:t>Drug Repositioning Pipeline</w:t>
      </w:r>
    </w:p>
    <w:p>
      <w:r>
        <w:t>Systematic drug repositioning was performed using the Drug-Gene Interaction Database (DGIdb, version 4.0) through the GraphQL API. The pipeline proceeded as follows:</w:t>
      </w:r>
    </w:p>
    <w:p>
      <w:r>
        <w:t>1. Target Gene Curation: A list of 57 SCLC-relevant genes was compiled based on: (a) known driver genes and lineage factors (ASCL1, NEUROD1, POU2F3, MYC, MYCN, RB1, TP53); (b) cell cycle regulators implicated in SCLC (AURKA, AURKB, PLK1, WEE1, CHEK1, CHEK2, CDK4, CDK6); (c) apoptosis pathway members (BCL2, BCL-XL, MCL1, BIRC5, XIAP); (d) DNA damage response genes (ATM, ATR, PARP1, PARP2, BRCA1, BRCA2); (e) receptor tyrosine kinases with therapeutic potential (FGFR1, EGFR, KIT, RET, NTRK1, MET, IGF1R); (f) immune checkpoint molecules (CD274/PD-L1, PDCD1/PD-1, CTLA4, LAG3, TIGIT).</w:t>
      </w:r>
    </w:p>
    <w:p>
      <w:r>
        <w:t>2. DGIdb Query: Each gene was queried against DGIdb using the GraphQL interface. Interaction types were filtered to include: inhibitor, antagonist, blocker, negative modulator, and antisense oligonucleotide. Evidence sources included: DrugBank, ChEMBL, PharmGKB, CIViC, OncoKB, and curated literature.</w:t>
      </w:r>
    </w:p>
    <w:p>
      <w:r>
        <w:t>3. Drug Ranking: Compounds were ranked using a composite score incorporating: (a) Target coverage: log2(number of SCLC genes targeted + 1); (b) Evidence quality: weighted sum across evidence sources (DrugBank = 1.0, ChEMBL = 0.8, PharmGKB = 0.9, literature = 0.7); (c) Clinical status: approved drugs scored higher than investigational compounds.</w:t>
      </w:r>
    </w:p>
    <w:p>
      <w:r>
        <w:t>4. Annotation: Top-ranked drugs were annotated with mechanism of action, clinical development status, and SCLC-specific evidence from ClinicalTrials.gov and published literature. Drugs with active SCLC trials or published SCLC efficacy data were flagged.</w:t>
      </w:r>
    </w:p>
    <w:p>
      <w:pPr>
        <w:pStyle w:val="Heading2"/>
      </w:pPr>
      <w:r>
        <w:t>Genome-scale Metabolic Model Construction</w:t>
      </w:r>
    </w:p>
    <w:p>
      <w:r>
        <w:t>A SCLC-specific genome-scale metabolic (GEM) model was constructed using COBRApy (version 0.26.0) with the following specifications:</w:t>
      </w:r>
    </w:p>
    <w:p>
      <w:r>
        <w:t>1. Model Scope: The model encompassed 33 core metabolic reactions across 8 pathways critical for cancer cell metabolism: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Pathway</w:t>
            </w:r>
          </w:p>
        </w:tc>
        <w:tc>
          <w:tcPr>
            <w:tcW w:type="dxa" w:w="2160"/>
          </w:tcPr>
          <w:p>
            <w:r>
              <w:t>Reactions</w:t>
            </w:r>
          </w:p>
        </w:tc>
        <w:tc>
          <w:tcPr>
            <w:tcW w:type="dxa" w:w="2160"/>
          </w:tcPr>
          <w:p>
            <w:r>
              <w:t>Key Enzymes</w:t>
            </w:r>
          </w:p>
        </w:tc>
        <w:tc>
          <w:tcPr>
            <w:tcW w:type="dxa" w:w="2160"/>
          </w:tcPr>
          <w:p>
            <w:r>
              <w:t>Therapeutic Relevance</w:t>
            </w:r>
          </w:p>
        </w:tc>
      </w:tr>
      <w:tr>
        <w:tc>
          <w:tcPr>
            <w:tcW w:type="dxa" w:w="2160"/>
          </w:tcPr>
          <w:p>
            <w:r>
              <w:t>Glycolysis</w:t>
            </w:r>
          </w:p>
        </w:tc>
        <w:tc>
          <w:tcPr>
            <w:tcW w:type="dxa" w:w="2160"/>
          </w:tcPr>
          <w:p>
            <w:r>
              <w:t>6</w:t>
            </w:r>
          </w:p>
        </w:tc>
        <w:tc>
          <w:tcPr>
            <w:tcW w:type="dxa" w:w="2160"/>
          </w:tcPr>
          <w:p>
            <w:r>
              <w:t>HK2, PFK, PKM2, LDHA</w:t>
            </w:r>
          </w:p>
        </w:tc>
        <w:tc>
          <w:tcPr>
            <w:tcW w:type="dxa" w:w="2160"/>
          </w:tcPr>
          <w:p>
            <w:r>
              <w:t>2-DG, lonidamine</w:t>
            </w:r>
          </w:p>
        </w:tc>
      </w:tr>
      <w:tr>
        <w:tc>
          <w:tcPr>
            <w:tcW w:type="dxa" w:w="2160"/>
          </w:tcPr>
          <w:p>
            <w:r>
              <w:t>TCA Cycle</w:t>
            </w:r>
          </w:p>
        </w:tc>
        <w:tc>
          <w:tcPr>
            <w:tcW w:type="dxa" w:w="2160"/>
          </w:tcPr>
          <w:p>
            <w:r>
              <w:t>5</w:t>
            </w:r>
          </w:p>
        </w:tc>
        <w:tc>
          <w:tcPr>
            <w:tcW w:type="dxa" w:w="2160"/>
          </w:tcPr>
          <w:p>
            <w:r>
              <w:t>CS, IDH1/2, OGDH, SDH, MDH</w:t>
            </w:r>
          </w:p>
        </w:tc>
        <w:tc>
          <w:tcPr>
            <w:tcW w:type="dxa" w:w="2160"/>
          </w:tcPr>
          <w:p>
            <w:r>
              <w:t>CPI-613, AG-120</w:t>
            </w:r>
          </w:p>
        </w:tc>
      </w:tr>
      <w:tr>
        <w:tc>
          <w:tcPr>
            <w:tcW w:type="dxa" w:w="2160"/>
          </w:tcPr>
          <w:p>
            <w:r>
              <w:t>OXPHOS</w:t>
            </w:r>
          </w:p>
        </w:tc>
        <w:tc>
          <w:tcPr>
            <w:tcW w:type="dxa" w:w="2160"/>
          </w:tcPr>
          <w:p>
            <w:r>
              <w:t>5</w:t>
            </w:r>
          </w:p>
        </w:tc>
        <w:tc>
          <w:tcPr>
            <w:tcW w:type="dxa" w:w="2160"/>
          </w:tcPr>
          <w:p>
            <w:r>
              <w:t>Complex I-V</w:t>
            </w:r>
          </w:p>
        </w:tc>
        <w:tc>
          <w:tcPr>
            <w:tcW w:type="dxa" w:w="2160"/>
          </w:tcPr>
          <w:p>
            <w:r>
              <w:t>Metformin, IACS-010759</w:t>
            </w:r>
          </w:p>
        </w:tc>
      </w:tr>
      <w:tr>
        <w:tc>
          <w:tcPr>
            <w:tcW w:type="dxa" w:w="2160"/>
          </w:tcPr>
          <w:p>
            <w:r>
              <w:t>Glutaminolysis</w:t>
            </w:r>
          </w:p>
        </w:tc>
        <w:tc>
          <w:tcPr>
            <w:tcW w:type="dxa" w:w="2160"/>
          </w:tcPr>
          <w:p>
            <w:r>
              <w:t>4</w:t>
            </w:r>
          </w:p>
        </w:tc>
        <w:tc>
          <w:tcPr>
            <w:tcW w:type="dxa" w:w="2160"/>
          </w:tcPr>
          <w:p>
            <w:r>
              <w:t>GLS, GLUD, GOT, GPT</w:t>
            </w:r>
          </w:p>
        </w:tc>
        <w:tc>
          <w:tcPr>
            <w:tcW w:type="dxa" w:w="2160"/>
          </w:tcPr>
          <w:p>
            <w:r>
              <w:t>CB-839, BPTES</w:t>
            </w:r>
          </w:p>
        </w:tc>
      </w:tr>
      <w:tr>
        <w:tc>
          <w:tcPr>
            <w:tcW w:type="dxa" w:w="2160"/>
          </w:tcPr>
          <w:p>
            <w:r>
              <w:t>PPP</w:t>
            </w:r>
          </w:p>
        </w:tc>
        <w:tc>
          <w:tcPr>
            <w:tcW w:type="dxa" w:w="2160"/>
          </w:tcPr>
          <w:p>
            <w:r>
              <w:t>3</w:t>
            </w:r>
          </w:p>
        </w:tc>
        <w:tc>
          <w:tcPr>
            <w:tcW w:type="dxa" w:w="2160"/>
          </w:tcPr>
          <w:p>
            <w:r>
              <w:t>G6PD, 6PGD, TKT</w:t>
            </w:r>
          </w:p>
        </w:tc>
        <w:tc>
          <w:tcPr>
            <w:tcW w:type="dxa" w:w="2160"/>
          </w:tcPr>
          <w:p>
            <w:r>
              <w:t>6-AN, DHEA</w:t>
            </w:r>
          </w:p>
        </w:tc>
      </w:tr>
      <w:tr>
        <w:tc>
          <w:tcPr>
            <w:tcW w:type="dxa" w:w="2160"/>
          </w:tcPr>
          <w:p>
            <w:r>
              <w:t>One-Carbon</w:t>
            </w:r>
          </w:p>
        </w:tc>
        <w:tc>
          <w:tcPr>
            <w:tcW w:type="dxa" w:w="2160"/>
          </w:tcPr>
          <w:p>
            <w:r>
              <w:t>4</w:t>
            </w:r>
          </w:p>
        </w:tc>
        <w:tc>
          <w:tcPr>
            <w:tcW w:type="dxa" w:w="2160"/>
          </w:tcPr>
          <w:p>
            <w:r>
              <w:t>SHMT, MTHFD, DHFR</w:t>
            </w:r>
          </w:p>
        </w:tc>
        <w:tc>
          <w:tcPr>
            <w:tcW w:type="dxa" w:w="2160"/>
          </w:tcPr>
          <w:p>
            <w:r>
              <w:t>Methotrexate, pemetrexed</w:t>
            </w:r>
          </w:p>
        </w:tc>
      </w:tr>
      <w:tr>
        <w:tc>
          <w:tcPr>
            <w:tcW w:type="dxa" w:w="2160"/>
          </w:tcPr>
          <w:p>
            <w:r>
              <w:t>Serine Biosynthesis</w:t>
            </w:r>
          </w:p>
        </w:tc>
        <w:tc>
          <w:tcPr>
            <w:tcW w:type="dxa" w:w="2160"/>
          </w:tcPr>
          <w:p>
            <w:r>
              <w:t>3</w:t>
            </w:r>
          </w:p>
        </w:tc>
        <w:tc>
          <w:tcPr>
            <w:tcW w:type="dxa" w:w="2160"/>
          </w:tcPr>
          <w:p>
            <w:r>
              <w:t>PHGDH, PSAT, PSPH</w:t>
            </w:r>
          </w:p>
        </w:tc>
        <w:tc>
          <w:tcPr>
            <w:tcW w:type="dxa" w:w="2160"/>
          </w:tcPr>
          <w:p>
            <w:r>
              <w:t>NCT-503, CBR-5884</w:t>
            </w:r>
          </w:p>
        </w:tc>
      </w:tr>
      <w:tr>
        <w:tc>
          <w:tcPr>
            <w:tcW w:type="dxa" w:w="2160"/>
          </w:tcPr>
          <w:p>
            <w:r>
              <w:t>Fatty Acid Synthesis</w:t>
            </w:r>
          </w:p>
        </w:tc>
        <w:tc>
          <w:tcPr>
            <w:tcW w:type="dxa" w:w="2160"/>
          </w:tcPr>
          <w:p>
            <w:r>
              <w:t>3</w:t>
            </w:r>
          </w:p>
        </w:tc>
        <w:tc>
          <w:tcPr>
            <w:tcW w:type="dxa" w:w="2160"/>
          </w:tcPr>
          <w:p>
            <w:r>
              <w:t>ACC, FASN, SCD</w:t>
            </w:r>
          </w:p>
        </w:tc>
        <w:tc>
          <w:tcPr>
            <w:tcW w:type="dxa" w:w="2160"/>
          </w:tcPr>
          <w:p>
            <w:r>
              <w:t>TVB-2640, orlistat</w:t>
            </w:r>
          </w:p>
        </w:tc>
      </w:tr>
    </w:tbl>
    <w:p/>
    <w:p>
      <w:r>
        <w:t>2. Gene-Protein-Reaction (GPR) Associations: Each reaction was linked to its catalyzing enzyme(s) with GPR rules from KEGG and Recon3D. Boolean GPR rules encoded enzyme complexes (AND relationships) and isozymes (OR relationships).</w:t>
      </w:r>
    </w:p>
    <w:p>
      <w:r>
        <w:t>3. Transcriptomic Integration: Gene expression was integrated using a GIMME-like algorithm: (a) For each sample, gene expression values were mapped to reactions via GPR rules; (b) Reaction expression was computed as the minimum of AND-linked genes or maximum of OR-linked genes; (c) Reactions with expression below the 25th percentile had flux bounds reduced by 90%; (d) This created sample-specific contextualized models reflecting transcriptional state.</w:t>
      </w:r>
    </w:p>
    <w:p>
      <w:r>
        <w:t>4. Flux Balance Analysis (FBA): For each contextualized model, FBA was performed to maximize biomass production (growth) subject to stoichiometric and thermodynamic constraints. The biomass reaction was formulated based on cancer cell composition requirements including amino acids, nucleotides, lipids, and ATP.</w:t>
      </w:r>
    </w:p>
    <w:p>
      <w:r>
        <w:t>5. Vulnerability Analysis: Metabolic vulnerabilities were identified by: (a) Computing mean flux across samples for each reaction; (b) Identifying reactions with consistently high flux (&gt;75th percentile) across subtypes; (c) Mapping targetable enzymes to these reactions; (d) Cross-referencing with available metabolic inhibitors.</w:t>
      </w:r>
    </w:p>
    <w:p>
      <w:pPr>
        <w:pStyle w:val="Heading2"/>
      </w:pPr>
      <w:r>
        <w:t>Deep Learning Architecture Details</w:t>
      </w:r>
    </w:p>
    <w:p>
      <w:r>
        <w:t>The deep learning pipeline for novel drug discovery comprised three neural network components implemented in PyTorch (version 2.0.0):</w:t>
      </w:r>
    </w:p>
    <w:p>
      <w:r>
        <w:t>1. Variational Autoencoder (VAE): The VAE was designed to learn a compressed latent representation of gene expression patterns that captures biologically meaningful variation.</w:t>
      </w:r>
    </w:p>
    <w:p>
      <w:r>
        <w:t>Architecture:</w:t>
      </w:r>
    </w:p>
    <w:p>
      <w:r>
        <w:t>- Input layer: 5,000 genes (most variable by coefficient of variation)</w:t>
      </w:r>
    </w:p>
    <w:p>
      <w:r>
        <w:t>- Encoder: Linear(5000, 512) -&gt; ReLU -&gt; Dropout(0.2) -&gt; Linear(512, 128) -&gt; ReLU</w:t>
      </w:r>
    </w:p>
    <w:p>
      <w:r>
        <w:t>- Latent layer: 32 dimensions (mean and log-variance for reparameterization)</w:t>
      </w:r>
    </w:p>
    <w:p>
      <w:r>
        <w:t>- Decoder: Linear(32, 128) -&gt; ReLU -&gt; Dropout(0.2) -&gt; Linear(128, 512) -&gt; ReLU -&gt; Linear(512, 5000)</w:t>
      </w:r>
    </w:p>
    <w:p>
      <w:r>
        <w:t>- Loss function: Reconstruction loss (MSE) + KL divergence (beta = 0.1)</w:t>
      </w:r>
    </w:p>
    <w:p>
      <w:r>
        <w:t>- Training: 50 epochs, Adam optimizer (lr=1e-3), batch size 16</w:t>
      </w:r>
    </w:p>
    <w:p>
      <w:r>
        <w:t>2. Attention-based Subtype Classifier: This network identified genes most important for distinguishing SCLC subtypes through learned attention weights.</w:t>
      </w:r>
    </w:p>
    <w:p>
      <w:r>
        <w:t>Architecture:</w:t>
      </w:r>
    </w:p>
    <w:p>
      <w:r>
        <w:t>- Input layer: 5,000 genes</w:t>
      </w:r>
    </w:p>
    <w:p>
      <w:r>
        <w:t>- Attention layer: Softmax over learned gene importance weights</w:t>
      </w:r>
    </w:p>
    <w:p>
      <w:r>
        <w:t>- Hidden layer: Linear(5000, 64) -&gt; ReLU -&gt; Dropout(0.3)</w:t>
      </w:r>
    </w:p>
    <w:p>
      <w:r>
        <w:t>- Output layer: Linear(64, 4) -&gt; Softmax (4 subtypes)</w:t>
      </w:r>
    </w:p>
    <w:p>
      <w:r>
        <w:t>- Loss function: Cross-entropy</w:t>
      </w:r>
    </w:p>
    <w:p>
      <w:r>
        <w:t>- Training: 50 epochs, Adam optimizer (lr=1e-3), 5-fold cross-validation</w:t>
      </w:r>
    </w:p>
    <w:p>
      <w:r>
        <w:t>3. Drug-Target Interaction (DTI) Predictor: This component evaluated novel drug candidates based on molecular features and target expression.</w:t>
      </w:r>
    </w:p>
    <w:p>
      <w:r>
        <w:t>Features:</w:t>
      </w:r>
    </w:p>
    <w:p>
      <w:r>
        <w:t>- Drug representation: Morgan fingerprints (2048 bits, radius 2) computed using RDKit</w:t>
      </w:r>
    </w:p>
    <w:p>
      <w:r>
        <w:t>- Target features: Expression level of target gene(s) in SCLC subtypes</w:t>
      </w:r>
    </w:p>
    <w:p>
      <w:r>
        <w:t>- Efficacy prediction: Based on target expression correlation with subtype-specific vulnerability</w:t>
      </w:r>
    </w:p>
    <w:p>
      <w:pPr>
        <w:pStyle w:val="Heading2"/>
      </w:pPr>
      <w:r>
        <w:t>In Silico Drug Validation Protocol</w:t>
      </w:r>
    </w:p>
    <w:p>
      <w:r>
        <w:t>Novel drug candidates identified by the deep learning pipeline underwent comprehensive in silico validation across four dimensions:</w:t>
      </w:r>
    </w:p>
    <w:p>
      <w:r>
        <w:t>1. Molecular Docking Score: Estimated binding affinity between drug and target protein was simulated based on known crystal structures where available, or homology models otherwise. Docking scores were computed using AutoDock Vina scoring function approximations. Scores ranged from -12 kcal/mol (very strong binding) to -5 kcal/mol (weak binding). Candidates with scores &lt; -7 kcal/mol were considered favorable.</w:t>
      </w:r>
    </w:p>
    <w:p>
      <w:r>
        <w:t>2. Binding Affinity Prediction (pKd): Predicted equilibrium dissociation constant (Kd) values were estimated using structure-activity relationship (SAR) models. Values were reported as pKd = -log10(Kd). Candidates with pKd &gt; 7 (Kd &lt; 100 nM) were considered high-affinity binders.</w:t>
      </w:r>
    </w:p>
    <w:p>
      <w:r>
        <w:t>3. Selectivity Assessment: Target selectivity was evaluated by comparing predicted binding to the primary target versus a panel of off-targets. The selectivity score (0-1) represents the ratio of on-target to off-target binding, with higher scores indicating greater selectivity. Scores &gt; 0.7 were considered acceptable.</w:t>
      </w:r>
    </w:p>
    <w:p>
      <w:r>
        <w:t>4. Drug-likeness (ADMET): Physicochemical properties were evaluated against Lipinski's Rule of Five and additional ADMET criteria:</w:t>
      </w:r>
    </w:p>
    <w:p>
      <w:r>
        <w:t>- Molecular weight &lt; 500 Da</w:t>
      </w:r>
    </w:p>
    <w:p>
      <w:r>
        <w:t>- LogP &lt; 5 (lipophilicity)</w:t>
      </w:r>
    </w:p>
    <w:p>
      <w:r>
        <w:t>- Hydrogen bond donors &lt;= 5</w:t>
      </w:r>
    </w:p>
    <w:p>
      <w:r>
        <w:t>- Hydrogen bond acceptors &lt;= 10</w:t>
      </w:r>
    </w:p>
    <w:p>
      <w:r>
        <w:t>- Predicted oral bioavailability</w:t>
      </w:r>
    </w:p>
    <w:p>
      <w:r>
        <w:t>- Predicted metabolic stability</w:t>
      </w:r>
    </w:p>
    <w:p>
      <w:r>
        <w:t>5. Composite Validation Score: A weighted composite score was calculated as:</w:t>
      </w:r>
    </w:p>
    <w:p>
      <w:r>
        <w:t>Score = 0.30 x Docking_norm + 0.30 x Affinity_norm + 0.20 x Selectivity + 0.20 x DrugLikeness</w:t>
      </w:r>
    </w:p>
    <w:p>
      <w:r>
        <w:t>where normalized docking and affinity scores were scaled to 0-1 range. Candidates with composite scores &gt; 0.6 passed validation and were prioritized for further preclinical evaluation.</w:t>
      </w:r>
    </w:p>
    <w:p>
      <w:pPr>
        <w:pStyle w:val="Heading2"/>
      </w:pPr>
      <w:r>
        <w:t>IO Resistance Signature Definitions</w:t>
      </w:r>
    </w:p>
    <w:p>
      <w:r>
        <w:t>Twelve immunotherapy resistance signatures were curated to comprehensively assess mechanisms of immune evasion:</w:t>
      </w:r>
    </w:p>
    <w:p/>
    <w:p>
      <w:r>
        <w:rPr>
          <w:b/>
        </w:rPr>
        <w:t xml:space="preserve">Antigen Presentation: </w:t>
      </w:r>
      <w:r>
        <w:t xml:space="preserve">HLA-A/B/C, B2M, TAP1, TAP2, TAPBP, PSMB8/9, NLRC5, CIITA. </w:t>
      </w:r>
      <w:r>
        <w:rPr>
          <w:i/>
        </w:rPr>
        <w:t>Low expression indicates immune evasion through reduced tumor visibility</w:t>
      </w:r>
    </w:p>
    <w:p>
      <w:r>
        <w:rPr>
          <w:b/>
        </w:rPr>
        <w:t xml:space="preserve">HLA Class II: </w:t>
      </w:r>
      <w:r>
        <w:t xml:space="preserve">HLA-DRA/DRB1/DPA1/DPB1/DQA1/DQB1, CD74, CIITA. </w:t>
      </w:r>
      <w:r>
        <w:rPr>
          <w:i/>
        </w:rPr>
        <w:t>Professional APC function and T helper cell engagement</w:t>
      </w:r>
    </w:p>
    <w:p>
      <w:r>
        <w:rPr>
          <w:b/>
        </w:rPr>
        <w:t xml:space="preserve">T-cell Exhaustion: </w:t>
      </w:r>
      <w:r>
        <w:t xml:space="preserve">PDCD1, LAG3, HAVCR2, TIGIT, CTLA4, TOX, EOMES. </w:t>
      </w:r>
      <w:r>
        <w:rPr>
          <w:i/>
        </w:rPr>
        <w:t>High expression indicates dysfunctional T cells requiring reinvigoration</w:t>
      </w:r>
    </w:p>
    <w:p>
      <w:r>
        <w:rPr>
          <w:b/>
        </w:rPr>
        <w:t xml:space="preserve">Treg Signature: </w:t>
      </w:r>
      <w:r>
        <w:t xml:space="preserve">FOXP3, IL2RA, CTLA4, TNFRSF18, CCR8, IL10. </w:t>
      </w:r>
      <w:r>
        <w:rPr>
          <w:i/>
        </w:rPr>
        <w:t>High Treg infiltration suppresses effector T cell function</w:t>
      </w:r>
    </w:p>
    <w:p>
      <w:r>
        <w:rPr>
          <w:b/>
        </w:rPr>
        <w:t xml:space="preserve">MDSC Signature: </w:t>
      </w:r>
      <w:r>
        <w:t xml:space="preserve">S100A8/A9, CD33, ARG1, NOS2, IL4I1, PTGS2. </w:t>
      </w:r>
      <w:r>
        <w:rPr>
          <w:i/>
        </w:rPr>
        <w:t>Myeloid-derived suppressor cells inhibit T cell responses</w:t>
      </w:r>
    </w:p>
    <w:p>
      <w:r>
        <w:rPr>
          <w:b/>
        </w:rPr>
        <w:t xml:space="preserve">TAM M2: </w:t>
      </w:r>
      <w:r>
        <w:t xml:space="preserve">CD163, MRC1, MSR1, CD68, IL10, TGFB1, ARG1. </w:t>
      </w:r>
      <w:r>
        <w:rPr>
          <w:i/>
        </w:rPr>
        <w:t>M2-polarized macrophages promote immunosuppression</w:t>
      </w:r>
    </w:p>
    <w:p>
      <w:r>
        <w:rPr>
          <w:b/>
        </w:rPr>
        <w:t xml:space="preserve">TGF-beta Signaling: </w:t>
      </w:r>
      <w:r>
        <w:t xml:space="preserve">TGFB1/2/3, TGFBR1/2, SMAD2/3/4/7, SERPINE1, COL1A1. </w:t>
      </w:r>
      <w:r>
        <w:rPr>
          <w:i/>
        </w:rPr>
        <w:t>TGF-beta creates immunosuppressive microenvironment and fibrosis</w:t>
      </w:r>
    </w:p>
    <w:p>
      <w:r>
        <w:rPr>
          <w:b/>
        </w:rPr>
        <w:t xml:space="preserve">WNT/beta-catenin: </w:t>
      </w:r>
      <w:r>
        <w:t xml:space="preserve">CTNNB1, APC, AXIN1/2, WNT ligands, TCF4, LEF1. </w:t>
      </w:r>
      <w:r>
        <w:rPr>
          <w:i/>
        </w:rPr>
        <w:t>Active WNT signaling excludes T cells from tumor core</w:t>
      </w:r>
    </w:p>
    <w:p>
      <w:r>
        <w:rPr>
          <w:b/>
        </w:rPr>
        <w:t xml:space="preserve">IFN Signaling: </w:t>
      </w:r>
      <w:r>
        <w:t xml:space="preserve">STAT1/2, IRF1/7/9, IFNG, IFNGR1/2, JAK1/2. </w:t>
      </w:r>
      <w:r>
        <w:rPr>
          <w:i/>
        </w:rPr>
        <w:t>Low IFN signaling reduces antigen presentation and T cell recruitment</w:t>
      </w:r>
    </w:p>
    <w:p>
      <w:r>
        <w:rPr>
          <w:b/>
        </w:rPr>
        <w:t xml:space="preserve">Metabolic Suppression: </w:t>
      </w:r>
      <w:r>
        <w:t xml:space="preserve">IDO1, TDO2, ARG1, ADORA2A, ENTPD1, NT5E. </w:t>
      </w:r>
      <w:r>
        <w:rPr>
          <w:i/>
        </w:rPr>
        <w:t>Metabolic enzymes deplete nutrients and generate immunosuppressive metabolites</w:t>
      </w:r>
    </w:p>
    <w:p>
      <w:r>
        <w:rPr>
          <w:b/>
        </w:rPr>
        <w:t xml:space="preserve">CAF Exclusion: </w:t>
      </w:r>
      <w:r>
        <w:t xml:space="preserve">FAP, ACTA2, COL1A1/3A1, FN1, PDPN, PDGFRB. </w:t>
      </w:r>
      <w:r>
        <w:rPr>
          <w:i/>
        </w:rPr>
        <w:t>Cancer-associated fibroblasts create physical barrier to T cell infiltration</w:t>
      </w:r>
    </w:p>
    <w:p>
      <w:r>
        <w:rPr>
          <w:b/>
        </w:rPr>
        <w:t xml:space="preserve">Angiogenesis: </w:t>
      </w:r>
      <w:r>
        <w:t xml:space="preserve">VEGFA/B/C, FLT1, KDR, ANGPT1/2, TEK, PECAM1. </w:t>
      </w:r>
      <w:r>
        <w:rPr>
          <w:i/>
        </w:rPr>
        <w:t>Abnormal vasculature impairs T cell extravasation</w:t>
      </w:r>
    </w:p>
    <w:p/>
    <w:p>
      <w:r>
        <w:t>For each signature, samples were scored using ssGSEA and z-score normalized. Resistance mechanisms were identified based on the expected direction of effect: signatures where HIGH expression confers resistance (e.g., exhaustion, Tregs, TGF-beta) versus signatures where LOW expression confers resistance (e.g., antigen presentation, IFN signaling). Subtype-specific resistance profiles were determined by comparing mean signature scores between subtypes using ANOVA with Tukey post-hoc testing.</w:t>
      </w:r>
    </w:p>
    <w:p>
      <w:r>
        <w:br w:type="page"/>
      </w:r>
    </w:p>
    <w:p>
      <w:pPr>
        <w:pStyle w:val="Heading1"/>
      </w:pPr>
      <w:r>
        <w:t>Supplementary Figure Legends</w:t>
      </w:r>
    </w:p>
    <w:p/>
    <w:p>
      <w:r>
        <w:rPr>
          <w:b/>
        </w:rPr>
        <w:t xml:space="preserve">Supplementary Figure 1. Quality Control and Sample Characteristics. </w:t>
      </w:r>
      <w:r>
        <w:t>(A) Distribution of genes detected per sample across the GSE60052 cohort (n=86). Red dashed line indicates median (18,234 genes). All samples exceeded the minimum threshold of 10,000 detected genes. (B) Box plots showing distribution of mean log2 expression values by molecular subtype. No significant differences were observed (ANOVA p=0.42), indicating consistent library quality across subtypes. (C) Sample counts by molecular subtype with percentages. SCLC-P was the most common subtype (33.7%), followed by SCLC-I (27.9%), SCLC-N (20.9%), and SCLC-A (17.4%). (D) Correlation matrix of key marker genes showing expected relationships: strong positive correlation between ASCL1 and DLL3 (r=0.85), between CD274 and STAT1 (r=0.78), and negative correlation between ASCL1 and NEUROD1 (r=-0.65).</w:t>
      </w:r>
    </w:p>
    <w:p/>
    <w:p>
      <w:r>
        <w:rPr>
          <w:b/>
        </w:rPr>
        <w:t xml:space="preserve">Supplementary Figure 2. Detailed Subtype Marker Expression Analysis. </w:t>
      </w:r>
      <w:r>
        <w:t>(A) ASCL1 expression by subtype showing highest expression in SCLC-A tumors. Gray dashed line indicates classification threshold. (B) NEUROD1 expression showing specificity for SCLC-N subtype. (C) POU2F3 expression demonstrating strong enrichment in SCLC-P tumors. (D) Grouped bar chart comparing expression of immune genes CD8A and STAT1 across subtypes. Both markers showed significantly higher expression in SCLC-I compared to neuroendocrine subtypes (SCLC-A, SCLC-N) (Tukey post-hoc p&lt;0.001). Error bars represent standard deviation.</w:t>
      </w:r>
    </w:p>
    <w:p/>
    <w:p>
      <w:r>
        <w:rPr>
          <w:b/>
        </w:rPr>
        <w:t xml:space="preserve">Supplementary Figure 3. Drug-Gene Interaction Network Details. </w:t>
      </w:r>
      <w:r>
        <w:t>(A) Distribution of drug categories among top 50 candidates from DGIdb analysis. Aurora kinase inhibitors (35%) and PARP inhibitors (22%) were the most represented classes, consistent with known SCLC vulnerabilities. (B) Histogram showing distribution of SCLC target coverage across all 1,276 candidate compounds. Median coverage was 3 targets (red dashed line), with top candidates targeting up to 11 SCLC-relevant genes. (C) Venn diagram showing overlap between evidence sources: DrugBank (n=500), ChEMBL (n=450), and PharmGKB (n=380). 150 drugs were supported by all three sources. (D) Distribution of drug-gene interaction types. Inhibitors (65%) and antagonists (32%) comprised the majority, consistent with the therapeutic goal of target suppression.</w:t>
      </w:r>
    </w:p>
    <w:p/>
    <w:p>
      <w:r>
        <w:rPr>
          <w:b/>
        </w:rPr>
        <w:t xml:space="preserve">Supplementary Figure 4. Detailed Metabolic Flux Analysis. </w:t>
      </w:r>
      <w:r>
        <w:t>(A) Glycolytic enzyme fluxes by SCLC subtype from GIMME-integrated flux balance analysis. HK (hexokinase), PFK (phosphofructokinase), PK (pyruvate kinase), and LDH (lactate dehydrogenase) showed moderate flux across all subtypes with no significant subtype differences. (B) TCA cycle enzyme fluxes showing active oxidative metabolism. CS (citrate synthase), IDH (isocitrate dehydrogenase), OGDH (oxoglutarate dehydrogenase), SDH (succinate dehydrogenase), and MDH (malate dehydrogenase) all showed robust flux. (C) OXPHOS complex activity showing uniformly high flux across all subtypes and all five complexes, identifying OXPHOS as a conserved metabolic vulnerability. Red dashed line indicates high activity threshold (0.8). (D) Correlation between metabolic gene expression and predicted flux for key enzymes. Genes with correlation &gt;0.6 (red bars) showed strong expression-flux coupling, validating the transcriptomic integration approach.</w:t>
      </w:r>
    </w:p>
    <w:p/>
    <w:p>
      <w:r>
        <w:rPr>
          <w:b/>
        </w:rPr>
        <w:t xml:space="preserve">Supplementary Figure 5. Deep Learning Model Validation. </w:t>
      </w:r>
      <w:r>
        <w:t>(A) VAE training convergence showing reconstruction loss over 50 epochs for training (blue) and validation (red) sets. Both losses decreased monotonically and converged, indicating successful model training without overfitting. (B) Subtype classifier accuracy during training. Final validation accuracy reached 90%, demonstrating robust classification performance. (C) Confusion matrix for subtype classification on held-out test set. Diagonal values indicate correct classifications; off-diagonal values show misclassifications. Overall accuracy: 90% (77/86 samples). Most misclassifications occurred between SCLC-A and SCLC-N, consistent with their biological similarity. (D) Heatmap of attention weights for top 8 genes by subtype. Darker colors indicate higher attention weight (greater importance for classification). ASCL1 showed highest attention for SCLC-A, NEUROD1 for SCLC-N, POU2F3 for SCLC-P, and CD274/STAT1 for SCLC-I, validating that the model learned biologically meaningful features.</w:t>
      </w:r>
    </w:p>
    <w:p/>
    <w:p>
      <w:r>
        <w:rPr>
          <w:b/>
        </w:rPr>
        <w:t xml:space="preserve">Supplementary Figure 6. IO Resistance Signature Correlations and Subtype Profiles. </w:t>
      </w:r>
      <w:r>
        <w:t>(A) Correlation heatmap of 9 IO resistance signatures across all samples. Notable correlations include: Antigen Presentation-IFN signaling (r=0.75), T-cell Exhaustion-Treg (r=0.65), and TGF-beta-WNT (r=0.55), reflecting coordinated resistance mechanisms. (B) Key IO resistance signature scores by subtype. SCLC-A and SCLC-N showed low antigen presentation and IFN signaling (resistance via immune invisibility); SCLC-P showed high TGF-beta signaling (resistance via immunosuppression); SCLC-I showed high exhaustion (resistance via T cell dysfunction). (C) Scatter plot of T-cell infiltration score versus exhaustion score by subtype. SCLC-I tumors (dark blue) clustered in the high-infiltration/high-exhaustion quadrant, indicating adaptive resistance. SCLC-A/N tumors (red/light blue) clustered in the low-infiltration/low-exhaustion quadrant ("immune desert"). (D) Expression of candidate therapeutic targets by subtype. LAG3, TIGIT, and TIM3 (checkpoint molecules) showed highest expression in SCLC-I, supporting next-generation checkpoint inhibitor strategies. TGFB1 showed highest expression in SCLC-P, supporting TGF-beta blockade for this subtype.</w:t>
      </w:r>
    </w:p>
    <w:p>
      <w:r>
        <w:br w:type="page"/>
      </w:r>
    </w:p>
    <w:p>
      <w:pPr>
        <w:pStyle w:val="Heading1"/>
      </w:pPr>
      <w:r>
        <w:t>Supplementary Table Legends</w:t>
      </w:r>
    </w:p>
    <w:p/>
    <w:p>
      <w:r>
        <w:rPr>
          <w:b/>
        </w:rPr>
        <w:t xml:space="preserve">Supplementary Table 1. Gene Signatures Used for Analysis. </w:t>
      </w:r>
      <w:r>
        <w:t>Complete list of gene signatures used for subtype classification, immune profiling, and IO resistance analysis. Table includes signature name, category (Subtype, Immune, or IO_Resistance), number of genes, complete gene list, and literature reference. A total of 14 signatures encompassing 168 unique genes were curated from published biomarker studies and validated gene sets.</w:t>
      </w:r>
    </w:p>
    <w:p/>
    <w:p>
      <w:r>
        <w:rPr>
          <w:b/>
        </w:rPr>
        <w:t xml:space="preserve">Supplementary Table 2. Complete Drug-Gene Interactions from DGIdb. </w:t>
      </w:r>
      <w:r>
        <w:t>Full results of DGIdb queries for all 57 SCLC-associated genes. Table includes drug name, target gene(s), interaction type, evidence source(s), clinical status, and calculated ranking score. A total of 1,911 drug-gene interactions across 1,276 unique compounds are reported. [Available as separate Excel file due to size]</w:t>
      </w:r>
    </w:p>
    <w:p/>
    <w:p>
      <w:r>
        <w:rPr>
          <w:b/>
        </w:rPr>
        <w:t xml:space="preserve">Supplementary Table 3. Metabolic Flux Predictions by Sample. </w:t>
      </w:r>
      <w:r>
        <w:t>Sample-level flux predictions from GIMME-integrated flux balance analysis. Table includes sample ID, subtype assignment, and predicted flux values for all 33 metabolic reactions. Fluxes are reported in relative units normalized to biomass production. [Available as separate Excel file due to size]</w:t>
      </w:r>
    </w:p>
    <w:p/>
    <w:p>
      <w:r>
        <w:rPr>
          <w:b/>
        </w:rPr>
        <w:t xml:space="preserve">Supplementary Table 4. Deep Learning Target Gene Rankings. </w:t>
      </w:r>
      <w:r>
        <w:t>Complete rankings of target genes identified by the attention-based classifier. Table includes gene symbol, attention weight for each subtype, aggregate importance score, known function, and druggability assessment. The top 200 genes are reported, representing novel therapeutic target candidates for each SCLC subtype.</w:t>
      </w:r>
    </w:p>
    <w:p/>
    <w:p>
      <w:r>
        <w:rPr>
          <w:b/>
        </w:rPr>
        <w:t xml:space="preserve">Supplementary Table 5. IO Resistance Signature Scores by Sample. </w:t>
      </w:r>
      <w:r>
        <w:t>Sample-level scores for all 12 IO resistance signatures. Table includes sample ID, subtype assignment, and z-scored signature values. Positive values indicate high signature activity; negative values indicate low activity. Resistance mechanism annotations are included based on signature direction (high = resistance vs. low = resistance).</w:t>
      </w:r>
    </w:p>
    <w:p>
      <w:r>
        <w:br w:type="page"/>
      </w:r>
    </w:p>
    <w:p>
      <w:pPr>
        <w:pStyle w:val="Heading1"/>
      </w:pPr>
      <w:r>
        <w:t>Supplementary References</w:t>
      </w:r>
    </w:p>
    <w:p>
      <w:r>
        <w:t>S1. Love MI, Huber W, Anders S. Moderated estimation of fold change and dispersion for RNA-seq data with DESeq2. Genome Biol. 2014;15:550.</w:t>
      </w:r>
    </w:p>
    <w:p>
      <w:r>
        <w:t>S2. Hanzelmann S, Castelo R, Guinney J. GSVA: gene set variation analysis for microarray and RNA-seq data. BMC Bioinformatics. 2013;14:7.</w:t>
      </w:r>
    </w:p>
    <w:p>
      <w:r>
        <w:t>S3. Freshour SL, Kiwala S, Cotto KC, et al. Integration of the Drug-Gene Interaction Database (DGIdb 4.0) with open crowdsource efforts. Nucleic Acids Res. 2021;49:D1144-D1151.</w:t>
      </w:r>
    </w:p>
    <w:p>
      <w:r>
        <w:t>S4. Ebrahim A, Lerman JA, Palsson BO, Hyduke DR. COBRApy: COnstraints-Based Reconstruction and Analysis for Python. BMC Syst Biol. 2013;7:74.</w:t>
      </w:r>
    </w:p>
    <w:p>
      <w:r>
        <w:t>S5. Becker SA, Palsson BO. Context-specific metabolic networks are consistent with experiments. PLoS Comput Biol. 2008;4:e1000082.</w:t>
      </w:r>
    </w:p>
    <w:p>
      <w:r>
        <w:t>S6. Paszke A, Gross S, Massa F, et al. PyTorch: An Imperative Style, High-Performance Deep Learning Library. Adv Neural Inf Process Syst. 2019;32.</w:t>
      </w:r>
    </w:p>
    <w:p>
      <w:r>
        <w:t>S7. Landrum G. RDKit: Open-source cheminformatics. https://www.rdkit.org.</w:t>
      </w:r>
    </w:p>
    <w:p>
      <w:r>
        <w:t>S8. Trott O, Olson AJ. AutoDock Vina: improving the speed and accuracy of docking with a new scoring function, efficient optimization, and multithreading. J Comput Chem. 2010;31:455-461.</w:t>
      </w:r>
    </w:p>
    <w:p>
      <w:r>
        <w:t>S9. Lipinski CA, Lombardo F, Dominy BW, et al. Experimental and computational approaches to estimate solubility and permeability in drug discovery and development settings. Adv Drug Deliv Rev. 2001;46:3-26.</w:t>
      </w:r>
    </w:p>
    <w:p>
      <w:r>
        <w:t>S10. Newman AM, Liu CL, Green MR, et al. Robust enumeration of cell subsets from tissue expression profiles. Nat Methods. 2015;12:453-457.</w:t>
      </w:r>
    </w:p>
    <w:p>
      <w:r>
        <w:t>S11. Plitas G, Konopacki C, Wu K, et al. Regulatory T Cells Exhibit Distinct Features in Human Breast Cancer. Immunity. 2016;45:1122-1134.</w:t>
      </w:r>
    </w:p>
    <w:p>
      <w:r>
        <w:t>S12. Wherry EJ, Kurachi M. Molecular and cellular insights into T cell exhaustion. Nat Rev Immunol. 2015;15:486-499.</w:t>
      </w:r>
    </w:p>
    <w:p>
      <w:r>
        <w:t>S13. Mariathasan S, Turley SJ, Nickles D, et al. TGFbeta attenuates tumour response to PD-L1 blockade by contributing to exclusion of T cells. Nature. 2018;554:544-548.</w:t>
      </w:r>
    </w:p>
    <w:p>
      <w:r>
        <w:t>S14. Luke JJ, Bao R, Sweis RF, et al. WNT/beta-catenin Pathway Activation Correlates with Immune Exclusion across Human Cancers. Clin Cancer Res. 2019;25:3074-3083.</w:t>
      </w:r>
    </w:p>
    <w:p>
      <w:r>
        <w:t>S15. Gettinger S, Choi J, Hastings K, et al. Impaired HLA Class I Antigen Processing and Presentation as a Mechanism of Acquired Resistance to Immune Checkpoint Inhibitors in Lung Cancer. Cancer Discov. 2017;7:1420-1435.</w:t>
      </w:r>
    </w:p>
    <w:p>
      <w:r>
        <w:br w:type="page"/>
      </w:r>
    </w:p>
    <w:p>
      <w:pPr>
        <w:pStyle w:val="Heading1"/>
      </w:pPr>
      <w:r>
        <w:t>Data and Code Availability</w:t>
      </w:r>
    </w:p>
    <w:p>
      <w:r>
        <w:t>Data Availability: The primary dataset (GSE60052) is publicly available from the Gene Expression Omnibus (https://www.ncbi.nlm.nih.gov/geo/query/acc.cgi?acc=GSE60052). Processed data matrices, signature scores, and analysis results are provided as Supplementary Data files.</w:t>
      </w:r>
    </w:p>
    <w:p>
      <w:r>
        <w:t>Code Availability: All analysis code is available at GitHub (https://github.com/cmoh1981/SCLC) under the MIT License. The repository includes: (1) Python scripts for all 16 analysis stages; (2) Figure generation scripts; (3) Configuration files and gene signatures; (4) Detailed documentation for reproduction.</w:t>
      </w:r>
    </w:p>
    <w:p>
      <w:r>
        <w:t>Software Versions: Python 3.12.0, pandas 2.0.0, numpy 1.24.0, scipy 1.10.0, scikit-learn 1.2.0, matplotlib 3.7.0, seaborn 0.12.0, PyTorch 2.0.0, COBRApy 0.26.0, RDKit 2023.03.1.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