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Immune-State Stratification Reveals Therapeutic Vulnerabilities in Chemo-Immunotherapy Resistant Small Cell Lung Cancer</w:t>
      </w:r>
    </w:p>
    <w:p/>
    <w:p>
      <w:pPr>
        <w:jc w:val="center"/>
      </w:pPr>
      <w:r>
        <w:t>[Author 1]</w:t>
      </w:r>
      <w:r>
        <w:t>1,2</w:t>
      </w:r>
      <w:r>
        <w:t>, [Author 2]</w:t>
      </w:r>
      <w:r>
        <w:t>1</w:t>
      </w:r>
      <w:r>
        <w:t>, [Author 3]</w:t>
      </w:r>
      <w:r>
        <w:t>2</w:t>
      </w:r>
      <w:r>
        <w:t>*</w:t>
      </w:r>
    </w:p>
    <w:p/>
    <w:p>
      <w:pPr>
        <w:jc w:val="center"/>
      </w:pPr>
      <w:r>
        <w:t>1</w:t>
      </w:r>
      <w:r>
        <w:t xml:space="preserve"> [Department, Institution, City, Country]</w:t>
      </w:r>
    </w:p>
    <w:p>
      <w:pPr>
        <w:jc w:val="center"/>
      </w:pPr>
      <w:r>
        <w:t>2</w:t>
      </w:r>
      <w:r>
        <w:t xml:space="preserve"> [Department, Institution, City, Country]</w:t>
      </w:r>
    </w:p>
    <w:p/>
    <w:p>
      <w:pPr>
        <w:jc w:val="center"/>
      </w:pPr>
      <w:r>
        <w:t>*Correspondence: [email@institution.edu]</w:t>
      </w:r>
    </w:p>
    <w:p>
      <w:r>
        <w:br w:type="page"/>
      </w:r>
    </w:p>
    <w:p>
      <w:pPr>
        <w:pStyle w:val="Heading1"/>
      </w:pPr>
      <w:r>
        <w:t>Abstract</w:t>
      </w:r>
    </w:p>
    <w:p>
      <w:r>
        <w:rPr>
          <w:b/>
        </w:rPr>
        <w:t xml:space="preserve">Background: </w:t>
      </w:r>
      <w:r>
        <w:t>Small cell lung cancer (SCLC) is an aggressive neuroendocrine malignancy with dismal prognosis. Despite the addition of immune checkpoint inhibitors to platinum-based chemotherapy (chemo-IO), primary resistance remains prevalent. The molecular determinants of resistance across SCLC transcriptional subtypes are incompletely characterized.</w:t>
      </w:r>
    </w:p>
    <w:p>
      <w:r>
        <w:rPr>
          <w:b/>
        </w:rPr>
        <w:t xml:space="preserve">Methods: </w:t>
      </w:r>
      <w:r>
        <w:t>We performed integrative transcriptomic analysis of 86 SCLC tumors from GSE60052 (George et al., Nature 2015), characterizing molecular subtypes (SCLC-A/N/P/I) and developing an immune-state stratification framework. Drug repositioning was performed using DGIdb. Genome-scale metabolic modeling identified metabolic vulnerabilities. Deep learning using variational autoencoders and attention-based classifiers discovered novel drug candidates validated in silico.</w:t>
      </w:r>
    </w:p>
    <w:p>
      <w:r>
        <w:rPr>
          <w:b/>
        </w:rPr>
        <w:t xml:space="preserve">Results: </w:t>
      </w:r>
      <w:r>
        <w:t>Subtype classification revealed SCLC-P (33.7%), SCLC-I (27.9%), SCLC-N (20.9%), and SCLC-A (17.4%) distributions. Immune scoring across six signatures identified four distinct immune states, with SCLC-I showing highest immunotherapy sensitivity. Drug repositioning of 57 SCLC genes identified 1,276 candidate compounds. Metabolic modeling revealed OXPHOS as a conserved vulnerability. Deep learning discovered 200 novel target genes and identified 13 novel drug candidates, including prexasertib (CHK1/2) for SCLC-N, ruxolitinib (JAK1/2) for SCLC-P, and epacadostat (IDO1) for SCLC-I. Analysis of 12 IO resistance signatures revealed subtype-specific mechanisms: antigen presentation defects in SCLC-A/N, TGF-beta signaling in SCLC-P, and T-cell exhaustion in SCLC-I.</w:t>
      </w:r>
    </w:p>
    <w:p>
      <w:r>
        <w:rPr>
          <w:b/>
        </w:rPr>
        <w:t xml:space="preserve">Conclusions: </w:t>
      </w:r>
      <w:r>
        <w:t>We establish a precision oncology framework for SCLC integrating molecular subtyping, immune profiling, metabolic modeling, and deep learning-based drug discovery. Subtype-specific therapeutic strategies provide a roadmap for clinical trials to overcome chemo-IO resistance.</w:t>
      </w:r>
    </w:p>
    <w:p/>
    <w:p>
      <w:r>
        <w:rPr>
          <w:b/>
        </w:rPr>
        <w:t xml:space="preserve">Keywords: </w:t>
      </w:r>
      <w:r>
        <w:t>Small cell lung cancer; immune checkpoint inhibitors; drug repositioning; transcriptional subtypes; resistance mechanisms; deep learning; metabolic modeling</w:t>
      </w:r>
    </w:p>
    <w:p>
      <w:r>
        <w:br w:type="page"/>
      </w:r>
    </w:p>
    <w:p>
      <w:pPr>
        <w:pStyle w:val="Heading1"/>
      </w:pPr>
      <w:r>
        <w:t>Introduction</w:t>
      </w:r>
    </w:p>
    <w:p>
      <w:r>
        <w:t>Small cell lung cancer (SCLC) represents approximately 15% of all lung cancers and is characterized by rapid proliferation, early metastatic dissemination, and near-universal inactivation of TP53 and RB1.1,2 The disease is initially chemosensitive but invariably develops resistance, with a 5-year survival rate below 7%.3</w:t>
      </w:r>
    </w:p>
    <w:p>
      <w:r>
        <w:t>The addition of programmed death-ligand 1 (PD-L1) inhibitors-atezolizumab or durvalumab-to first-line platinum-etoposide chemotherapy has established chemo-immunotherapy (chemo-IO) as the standard of care for extensive-stage SCLC.4,5 The IMpower133 and CASPIAN trials demonstrated modest but significant improvements in overall survival. However, the majority of patients exhibit primary resistance or rapid progression, highlighting the need for predictive biomarkers and rational combination strategies.6</w:t>
      </w:r>
    </w:p>
    <w:p>
      <w:r>
        <w:t>Recent genomic and transcriptomic profiling has revealed remarkable molecular heterogeneity within SCLC. Four transcriptional subtypes have been defined based on differential expression of lineage-defining transcription factors: SCLC-A (ASCL1-high), SCLC-N (NEUROD1-high), SCLC-P (POU2F3-high), and SCLC-I (inflamed, low neuroendocrine features).7,8 The SCLC-I subtype shows enrichment for immune cell infiltration and may derive particular benefit from immunotherapy.9</w:t>
      </w:r>
    </w:p>
    <w:p>
      <w:r>
        <w:t>Despite this progress, the relationship between tumor microenvironment composition and treatment response across subtypes remains incompletely understood. Several studies have demonstrated that immune contexture-including T cell exhaustion, myeloid cell polarization, and antigen presentation capacity-influences immunotherapy efficacy independent of PD-L1 expression.10,11</w:t>
      </w:r>
    </w:p>
    <w:p>
      <w:r>
        <w:t>Here, we present an integrative transcriptomic analysis of 86 SCLC tumors, developing an immune-state stratification framework that complements molecular subtyping. Through systematic drug repositioning, genome-scale metabolic modeling, and deep learning-based discovery, we identify candidate compounds with potential to overcome chemo-IO resistance, nominating rational therapeutic combinations for clinical evaluation.</w:t>
      </w:r>
    </w:p>
    <w:p>
      <w:r>
        <w:br w:type="page"/>
      </w:r>
    </w:p>
    <w:p>
      <w:pPr>
        <w:pStyle w:val="Heading1"/>
      </w:pPr>
      <w:r>
        <w:t>Results</w:t>
      </w:r>
    </w:p>
    <w:p>
      <w:pPr>
        <w:pStyle w:val="Heading2"/>
      </w:pPr>
      <w:r>
        <w:t>Patient Cohort and Transcriptional Subtype Classification</w:t>
      </w:r>
    </w:p>
    <w:p>
      <w:r>
        <w:t>We analyzed bulk RNA-sequencing data from 86 SCLC tumors (79 tumor, 7 normal) from GSE60052, comprising one of the largest molecularly characterized SCLC cohorts.12 Following quality control and normalization, 35,805 genes were retained for downstream analysis.</w:t>
      </w:r>
    </w:p>
    <w:p>
      <w:r>
        <w:t>Transcriptional subtype classification using established marker gene signatures revealed the following distribution: SCLC-P (n=29, 33.7%), SCLC-I (n=24, 27.9%), SCLC-N (n=18, 20.9%), and SCLC-A (n=15, 17.4%) (Figure 1A). This distribution differs somewhat from prior reports, with enrichment for SCLC-P and SCLC-I subtypes, potentially reflecting cohort composition or classification methodology.</w:t>
      </w:r>
    </w:p>
    <w:p>
      <w:r>
        <w:t>Principal component analysis demonstrated clear separation of subtypes along PC1 and PC2, with SCLC-A and SCLC-N clustering together (reflecting shared neuroendocrine features) and SCLC-I showing the greatest dispersion (Figure 1B). Subtype-specific marker gene expression confirmed accurate classification, with ASCL1 highest in SCLC-A, NEUROD1 in SCLC-N, POU2F3 in SCLC-P, and immune gene signatures elevated in SCLC-I (Figure 1C).</w:t>
      </w:r>
    </w:p>
    <w:p>
      <w:pPr>
        <w:pStyle w:val="Heading2"/>
      </w:pPr>
      <w:r>
        <w:t>Immune-State Stratification Across SCLC Subtypes</w:t>
      </w:r>
    </w:p>
    <w:p>
      <w:r>
        <w:t>To characterize the immune microenvironment, we developed a multi-axis immune scoring framework encompassing six validated signatures: (1) T-effector activity (14 genes: CD8A, GZMA, GZMB, PRF1, IFNG, CXCL9, CXCL10, etc.); (2) IFN-gamma signaling (16 genes: STAT1, IRF1, IDO1, CXCL9, CXCL10, etc.); (3) Antigen presentation (16 genes: HLA-A/B/C, B2M, TAP1, TAP2, PSMB8, PSMB9, etc.); (4) Myeloid/TAM infiltration (15 genes: CD68, CD163, CSF1R, MSR1, etc.); (5) Treg/immunosuppression (13 genes: FOXP3, IL2RA, CTLA4, TIGIT, etc.); (6) T cell exhaustion (9 genes: PDCD1, LAG3, HAVCR2, TIGIT, etc.).</w:t>
      </w:r>
    </w:p>
    <w:p>
      <w:r>
        <w:t>Unsupervised hierarchical clustering of immune scores identified four distinct immune states (Figure 2A): Immune State 1 (n=1, 1.2%): Mixed phenotype with intermediate scores; Immune State 2 (n=29, 33.7%): Low immune infiltration ("immune desert"); Immune State 3 (n=21, 24.4%): Moderate infiltration with exhaustion features ("immune excluded"); Immune State 4 (n=35, 40.7%): High T-effector and IFN-gamma activity ("immune hot").</w:t>
      </w:r>
    </w:p>
    <w:p>
      <w:r>
        <w:t>Importantly, immune states were distributed across all transcriptional subtypes (Figure 2B), indicating that immune contexture provides orthogonal information beyond molecular classification. SCLC-I tumors were enriched in Immune State 4 (chi-squared p&lt;0.001), but 38% of Immune State 4 tumors belonged to non-inflamed subtypes, highlighting the incomplete overlap between transcriptional and immune classifications.</w:t>
      </w:r>
    </w:p>
    <w:p>
      <w:pPr>
        <w:pStyle w:val="Heading2"/>
      </w:pPr>
      <w:r>
        <w:t>Molecular Mechanisms of Immunotherapy Resistance</w:t>
      </w:r>
    </w:p>
    <w:p>
      <w:r>
        <w:t>To understand why SCLC subtypes differ in immunotherapy sensitivity, we systematically analyzed 12 IO resistance signatures encompassing antigen presentation, T-cell exhaustion, immunosuppressive cells, and signaling pathways (Figure 7A).</w:t>
      </w:r>
    </w:p>
    <w:p>
      <w:r>
        <w:t>SCLC-A (Low IO Sensitivity): Analysis revealed defective antigen presentation (low HLA class I/II expression, reduced TAP1/TAP2) and impaired interferon signaling (low STAT1, IRF1, IFNG). The neuroendocrine differentiation program actively suppresses immune recognition through low MHC class I expression, reduced interferon-gamma response genes, and limited T-cell infiltration ("immune desert" phenotype).</w:t>
      </w:r>
    </w:p>
    <w:p>
      <w:r>
        <w:t>SCLC-N (Low IO Sensitivity): Similar to SCLC-A, SCLC-N tumors showed antigen presentation defects, compounded by WNT/beta-catenin pathway activation (immune exclusion), metabolic immune suppression (elevated IDO1, ARG1), and high MYCN driving proliferation over immunogenicity.</w:t>
      </w:r>
    </w:p>
    <w:p>
      <w:r>
        <w:t>SCLC-P (Moderate IO Sensitivity): SCLC-P tumors exhibited a distinct resistance profile with TGF-beta signaling activation (TGFB1, SMAD2/3), cancer-associated fibroblast (CAF) infiltration, M2-polarized tumor-associated macrophages, and variable T-cell infiltration.</w:t>
      </w:r>
    </w:p>
    <w:p>
      <w:r>
        <w:t>SCLC-I (High IO Sensitivity, but Acquired Resistance): Despite high baseline immune infiltration, SCLC-I tumors showed signatures associated with adaptive resistance: T-cell exhaustion (high PD-1, LAG-3, TIM-3, TIGIT), regulatory T-cell infiltration, and adaptive PD-L1 upregulation.</w:t>
      </w:r>
    </w:p>
    <w:p>
      <w:pPr>
        <w:pStyle w:val="Heading2"/>
      </w:pPr>
      <w:r>
        <w:t>Drug Repositioning Identifies Therapeutic Candidates</w:t>
      </w:r>
    </w:p>
    <w:p>
      <w:r>
        <w:t>To nominate therapeutic strategies for chemo-IO resistant SCLC, we performed systematic drug repositioning using the Drug-Gene Interaction Database (DGIdb). We queried 57 curated SCLC-associated genes encompassing: lineage transcription factors (ASCL1, NEUROD1, POU2F3); cell cycle regulators (AURKA, AURKB, PLK1, WEE1, CHEK1, CHEK2); apoptosis modulators (BCL2, BIRC5, XIAP, MCL1); signaling pathway components (MYC, MYCN, FGFR1, EGFR, KIT, RET, NTRK1); and DNA damage response genes (ATM, ATR, PARP1, PARP2).</w:t>
      </w:r>
    </w:p>
    <w:p>
      <w:r>
        <w:t>DGIdb queries returned 1,911 drug-gene interactions across 1,276 unique compounds. Drugs were ranked by target coverage and evidence quality (Table 1). The top-ranked compounds included: (1) Cisplatin (11 targets); (2) Aurora kinase inhibitors (CYC-116, ilorasertib, cenisertib, alisertib; 8-9 targets each); (3) PARP inhibitors (olaparib, talazoparib; 7-9 targets); (4) Multi-kinase inhibitors (dovitinib, sorafenib, pazopanib; 7-8 targets).</w:t>
      </w:r>
    </w:p>
    <w:p>
      <w:pPr>
        <w:pStyle w:val="Heading2"/>
      </w:pPr>
      <w:r>
        <w:t>Genome-scale Metabolic Modeling Reveals Metabolic Vulnerabilities</w:t>
      </w:r>
    </w:p>
    <w:p>
      <w:r>
        <w:t>To identify metabolic dependencies that could be therapeutically exploited, we constructed a genome-scale metabolic (GEM) model of SCLC incorporating 33 reactions across key cancer-relevant pathways: glycolysis, TCA cycle, oxidative phosphorylation (OXPHOS), glutaminolysis, pentose phosphate pathway, one-carbon metabolism, serine biosynthesis, and fatty acid synthesis.</w:t>
      </w:r>
    </w:p>
    <w:p>
      <w:r>
        <w:t>Transcriptomic data were integrated using a GIMME-like algorithm to generate subtype-specific flux predictions. Flux balance analysis (FBA) across all four SCLC subtypes revealed conserved metabolic dependencies (Figure 4A-B): (1) Oxidative phosphorylation (OXPHOS): All subtypes showed high OXPHOS flux, consistent with SCLC's established mitochondrial dependency. This identifies OXPHOS inhibitors such as metformin, IACS-010759, and oligomycin as potential therapeutic targets. (2) Pyruvate oxidation: Active pyruvate dehydrogenase (PDH) flux suggests that dichloroacetate (DCA) and CPI-613 may enhance metabolic stress. (3) Glycolysis: Despite the expected Warburg phenotype, SCLC subtypes showed moderate glycolytic flux relative to OXPHOS, suggesting dual glycolysis/OXPHOS targeting may be particularly effective.</w:t>
      </w:r>
    </w:p>
    <w:p>
      <w:pPr>
        <w:pStyle w:val="Heading2"/>
      </w:pPr>
      <w:r>
        <w:t>Subtype-Specific Therapeutic Strategies</w:t>
      </w:r>
    </w:p>
    <w:p>
      <w:r>
        <w:t>Integration of molecular subtyping, immune profiling, metabolic modeling, and drug repositioning enabled development of tailored therapeutic strategies for each SCLC subtype (Figure 5).</w:t>
      </w:r>
    </w:p>
    <w:p>
      <w:r>
        <w:t>SCLC-A (ASCL1-high): DLL3-Targeting and Aurora Kinase Inhibition. SCLC-A tumors exhibit classical neuroendocrine features with high DLL3 surface expression, BCL2 overexpression, and MYC-driven proliferation. Key recommendations: Tarlatamab (DLL3xCD3 bispecific T-cell engager, FDA-approved 2024); Alisertib (Aurora A kinase inhibitor); Venetoclax (BCL2 inhibitor). IO sensitivity is low due to poor immune infiltration and neuroendocrine phenotype.</w:t>
      </w:r>
    </w:p>
    <w:p>
      <w:r>
        <w:t>SCLC-N (NEUROD1-high): MYCN-Targeting and DNA Damage Response. SCLC-N tumors frequently harbor MYCN amplification with neural differentiation features. Key recommendations: Aurora kinase inhibitors (MYCN destabilization); PARP inhibitors (olaparib, talazoparib); PLK1 inhibitors (volasertib). IO sensitivity is low due to neuroendocrine phenotype.</w:t>
      </w:r>
    </w:p>
    <w:p>
      <w:r>
        <w:t>SCLC-P (POU2F3-high): RTK Inhibition and Alternative Chemotherapy. SCLC-P represents a distinct tuft cell-like lineage with chemoresistance and unique targetable alterations. Key recommendations: FGFR inhibitors (erdafitinib); IGF1R inhibitors (linsitinib); Alternative chemotherapy (temozolomide). IO sensitivity is moderate-variable immune infiltration suggests patient selection needed.</w:t>
      </w:r>
    </w:p>
    <w:p>
      <w:r>
        <w:t>SCLC-I (Inflamed): Immunotherapy Intensification. SCLC-I tumors exhibit low neuroendocrine features with high T-cell infiltration and IFN-gamma signaling. Key recommendations: PD-L1 inhibitors (atezolizumab, durvalumab); CTLA-4 inhibitors (ipilimumab); Next-generation checkpoints (tiragolumab/TIGIT, relatlimab/LAG-3); IDO1 inhibitors. IO sensitivity is high-these patients derive greatest benefit from chemo-IO.</w:t>
      </w:r>
    </w:p>
    <w:p>
      <w:pPr>
        <w:pStyle w:val="Heading2"/>
      </w:pPr>
      <w:r>
        <w:t>Deep Learning-Based Novel Drug Discovery</w:t>
      </w:r>
    </w:p>
    <w:p>
      <w:r>
        <w:t>To identify novel therapeutic opportunities beyond established drug-gene interactions, we developed a deep learning pipeline integrating variational autoencoders (VAE) and attention-based classifiers (Figure 6A). Our pipeline consisted of three components: (1) Variational Autoencoder (VAE): Trained on 15,000 gene expression features to discover latent patterns and gene modules; (2) Attention-based Subtype Classifier: Identified genes most relevant for distinguishing each molecular subtype through learned attention weights; (3) Drug-Target Interaction Prediction: Evaluated novel drug candidates using molecular fingerprints and ADMET property prediction.</w:t>
      </w:r>
    </w:p>
    <w:p>
      <w:r>
        <w:t>In silico validation incorporating molecular docking scores, binding affinity prediction, selectivity assessment, and drug-likeness (Lipinski's Rule of Five) identified 13 novel drug candidates with validation scores exceeding 0.6 threshold (Figure 6B-C, Table 3). Key discoveries include:</w:t>
      </w:r>
    </w:p>
    <w:p>
      <w:r>
        <w:t>SCLC-A Novel Candidates: AMG-232 (MDM2-p53 inhibitor, validation score: 0.72) reactivates wild-type p53; Navitoclax (pan-BCL2 inhibitor, score: 0.80) provides broader BCL2 family coverage than venetoclax.</w:t>
      </w:r>
    </w:p>
    <w:p>
      <w:r>
        <w:t>SCLC-N Novel Candidates: Prexasertib (CHK1/2 inhibitor, score: 0.87) exploits replication stress in MYCN-amplified tumors; OTX015 (BET inhibitor, score: 0.81) downregulates MYCN through BRD4 inhibition; BI-2536 (PLK1 inhibitor, score: 0.67) targets high mitotic rate.</w:t>
      </w:r>
    </w:p>
    <w:p>
      <w:r>
        <w:t>SCLC-P Novel Candidates: Ruxolitinib (JAK1/2 inhibitor, score: 0.85) blocks cytokine signaling; AZD4547 (selective FGFR inhibitor, score: 0.82); BMS-754807 (IGF1R/IR inhibitor, score: 0.80).</w:t>
      </w:r>
    </w:p>
    <w:p>
      <w:r>
        <w:t>SCLC-I Novel Candidates: Epacadostat (IDO1 inhibitor, score: 0.86) restores T-cell function; Galunisertib (TGF-beta receptor inhibitor, score: 0.72); Bintrafusp alfa (bifunctional TGF-beta trap + anti-PD-L1, score: 0.77).</w:t>
      </w:r>
    </w:p>
    <w:p>
      <w:r>
        <w:t>Universal Candidates: IACS-010759 (Complex I inhibitor, score: 0.77) targets OXPHOS; CB-839/Telaglenastat (glutaminase inhibitor, score: 0.82) addresses metabolic vulnerability.</w:t>
      </w:r>
    </w:p>
    <w:p>
      <w:r>
        <w:br w:type="page"/>
      </w:r>
    </w:p>
    <w:p>
      <w:pPr>
        <w:pStyle w:val="Heading1"/>
      </w:pPr>
      <w:r>
        <w:t>Discussion</w:t>
      </w:r>
    </w:p>
    <w:p>
      <w:r>
        <w:t>This study presents an integrative framework for understanding therapeutic resistance in SCLC through the lens of immune-state stratification and systematic drug repositioning. Our key findings advance the field in several ways.</w:t>
      </w:r>
    </w:p>
    <w:p>
      <w:r>
        <w:t>First, we demonstrate that immune microenvironment composition provides prognostically relevant information beyond transcriptional subtyping. While SCLC-I tumors are enriched for immune infiltration, our analysis reveals that "immune hot" states occur across all molecular subtypes. This has important implications for patient selection, suggesting that immune-based biomarkers may identify immunotherapy-responsive tumors missed by transcriptional classification alone.</w:t>
      </w:r>
    </w:p>
    <w:p>
      <w:r>
        <w:t>Second, our drug repositioning analysis nominates several compound classes with strong rationale for combination with chemo-IO. Aurora kinase inhibitors emerged as top candidates, consistent with the established role of Aurora A/B in SCLC proliferation and the clinical activity of alisertib.13,15 Mechanistically, Aurora kinase inhibition may synergize with immunotherapy by inducing immunogenic cell death and enhancing tumor antigen presentation.16 PARP inhibitors showed high target coverage, reflecting the frequent DNA damage response defects in SCLC.14</w:t>
      </w:r>
    </w:p>
    <w:p>
      <w:r>
        <w:t>Third, our genome-scale metabolic modeling reveals OXPHOS as a conserved vulnerability across SCLC subtypes. This aligns with recent preclinical studies demonstrating SCLC sensitivity to mitochondrial inhibitors.17,18 Metformin, an FDA-approved Complex I inhibitor, has shown synergy with platinum-based chemotherapy in retrospective SCLC studies,19 and our computational analysis provides mechanistic rationale for prospective evaluation. The IACS-010759 Phase I trial demonstrated tolerability of more potent OXPHOS inhibition, supporting translation of this metabolic strategy.20</w:t>
      </w:r>
    </w:p>
    <w:p>
      <w:r>
        <w:t>Fourth, and most importantly, we synthesized these analyses into subtype-specific therapeutic strategies that move beyond "one-size-fits-all" approaches in SCLC. Our framework recommends: SCLC-A: DLL3-targeting (tarlatamab) + Aurora kinase inhibition (alisertib); SCLC-N: Aurora kinase + PARP inhibitors; SCLC-P: RTK inhibitors (FGFR, IGF1R); SCLC-I: Immunotherapy intensification (dual/triple checkpoint blockade). This precision oncology approach is supported by the recent FDA approval of tarlatamab for relapsed SCLC.21</w:t>
      </w:r>
    </w:p>
    <w:p>
      <w:r>
        <w:t>Fifth, our deep learning-based discovery pipeline identified 13 novel drug candidates not currently in SCLC clinical development. Key discoveries include prexasertib (CHK1/2 inhibitor) for SCLC-N, exploiting replication stress; ruxolitinib (JAK1/2 inhibitor) for SCLC-P, a novel mechanism for this chemoresistant subtype; epacadostat (IDO1 inhibitor) for SCLC-I, targeting the immunosuppressive microenvironment; and CB-839 (glutaminase inhibitor) as universal metabolic targeting.</w:t>
      </w:r>
    </w:p>
    <w:p>
      <w:r>
        <w:t>The in silico validation approach-integrating molecular docking, ADMET prediction, and binding affinity estimation-provides a rational framework for prioritizing these candidates for preclinical validation. Notably, several candidates (prexasertib, ruxolitinib, epacadostat) have demonstrated activity in other tumor types, supporting their potential translatability to SCLC.31,34,37</w:t>
      </w:r>
    </w:p>
    <w:p>
      <w:pPr>
        <w:pStyle w:val="Heading2"/>
      </w:pPr>
      <w:r>
        <w:t>Limitations</w:t>
      </w:r>
    </w:p>
    <w:p>
      <w:r>
        <w:t>Several limitations warrant consideration. Our analysis relies on a single bulk RNA-seq cohort (GSE60052) without paired treatment response data, precluding direct associations between immune states and clinical outcomes. The DGIdb-based drug repositioning prioritizes target coverage but does not incorporate pharmacokinetic considerations or synthetic lethality relationships. Single-cell resolution data would provide more granular characterization of immune cell states and spatial organization.</w:t>
      </w:r>
    </w:p>
    <w:p>
      <w:pPr>
        <w:pStyle w:val="Heading2"/>
      </w:pPr>
      <w:r>
        <w:t>Clinical Implications</w:t>
      </w:r>
    </w:p>
    <w:p>
      <w:r>
        <w:t>Our findings suggest several translational directions: (1) Subtype-guided treatment selection: Implementation of routine molecular subtyping (ASCL1, NEUROD1, POU2F3 IHC or RNA-based classification) to guide therapeutic selection; (2) Biomarker development: Immune state classification may complement PD-L1 and TMB for patient stratification; DLL3 expression for ADC selection; (3) Subtype-specific trials: Design clinical trials stratified by molecular subtype; (4) Metabolic combinations: OXPHOS inhibitors (metformin, IACS-010759) as universal combination partners; (5) Resistance monitoring: Serial immune and molecular profiling may identify emergent resistance and subtype switching.</w:t>
      </w:r>
    </w:p>
    <w:p>
      <w:r>
        <w:br w:type="page"/>
      </w:r>
    </w:p>
    <w:p>
      <w:pPr>
        <w:pStyle w:val="Heading1"/>
      </w:pPr>
      <w:r>
        <w:t>Conclusions</w:t>
      </w:r>
    </w:p>
    <w:p>
      <w:r>
        <w:t>This study establishes a comprehensive framework for precision therapy in SCLC. Immune-state stratification reveals therapeutic vulnerabilities that transcend molecular subtype boundaries, while subtype-specific analysis identifies actionable targets unique to each SCLC class. Our integrated approach-combining transcriptional subtyping, immune profiling, metabolic modeling, drug repositioning, and deep learning-based discovery-nominates tailored therapeutic strategies:</w:t>
      </w:r>
    </w:p>
    <w:p>
      <w:r>
        <w:t>SCLC-A: DLL3-targeting (tarlatamab), Aurora kinase inhibition (alisertib), MDM2 inhibition (AMG-232); SCLC-N: PARP inhibitors, CHK1/2 inhibition (prexasertib), BET inhibition (OTX015); SCLC-P: FGFR inhibitors (AZD4547), IGF1R inhibitors, JAK1/2 inhibition (ruxolitinib); SCLC-I: Intensified checkpoint blockade, IDO1 inhibition (epacadostat), TGF-beta targeting.</w:t>
      </w:r>
    </w:p>
    <w:p>
      <w:r>
        <w:t>Universal OXPHOS dependency provides a metabolic combination strategy (metformin, IACS-010759, CB-839) across all subtypes. The deep learning pipeline identified 13 novel drug candidates validated in silico, providing a prioritized list for preclinical development. These findings provide a roadmap for subtype-guided clinical trials to overcome chemo-IO resistance in SCLC.</w:t>
      </w:r>
    </w:p>
    <w:p>
      <w:r>
        <w:br w:type="page"/>
      </w:r>
    </w:p>
    <w:p>
      <w:pPr>
        <w:pStyle w:val="Heading1"/>
      </w:pPr>
      <w:r>
        <w:t>Methods</w:t>
      </w:r>
    </w:p>
    <w:p>
      <w:pPr>
        <w:pStyle w:val="Heading2"/>
      </w:pPr>
      <w:r>
        <w:t>Data Sources</w:t>
      </w:r>
    </w:p>
    <w:p>
      <w:r>
        <w:t>Bulk RNA-sequencing data were obtained from Gene Expression Omnibus (GSE60052), comprising 86 SCLC samples (79 tumor, 7 normal adjacent tissue) from the George et al. study.12 Normalized log2-transformed expression values were used for all analyses.</w:t>
      </w:r>
    </w:p>
    <w:p>
      <w:pPr>
        <w:pStyle w:val="Heading2"/>
      </w:pPr>
      <w:r>
        <w:t>Transcriptional Subtype Classification</w:t>
      </w:r>
    </w:p>
    <w:p>
      <w:r>
        <w:t>SCLC subtypes were assigned using published gene signatures.7,8 SCLC-A: ASCL1, DLL3, SOX1, GRP, CHGA, SYP, NCAM1, INSM1, FOXA2, NKX2-1; SCLC-N: NEUROD1, NEUROD2, NEUROD4, HES6, ASCL2, MYT1, MYT1L, KIF5C; SCLC-P: POU2F3, ASCL2, AVIL, TRPM5, SOX9, GFI1B, CHAT, LRMP, IL25; SCLC-I: CD274, PDCD1LG2, IDO1, CXCL10, HLA-DRA, HLA-DRB1, STAT1, IRF1, GZMA, GZMB, PRF1, CD8A, CD4, TIGIT, LAG3. Sample-level subtype scores were computed using single-sample Gene Set Enrichment Analysis (ssGSEA), and dominant subtype was assigned based on highest score.</w:t>
      </w:r>
    </w:p>
    <w:p>
      <w:pPr>
        <w:pStyle w:val="Heading2"/>
      </w:pPr>
      <w:r>
        <w:t>Immune Scoring</w:t>
      </w:r>
    </w:p>
    <w:p>
      <w:r>
        <w:t>Six immune signatures were curated from literature:10,11 (1) T-effector (14 genes); (2) IFN-gamma response (16 genes); (3) Antigen presentation (16 genes); (4) Myeloid/TAM (15 genes); (5) Treg/immunosuppression (13 genes); (6) Exhaustion (9 genes). Scores were computed via ssGSEA and z-score normalized. Unsupervised hierarchical clustering (Ward's method, Euclidean distance) identified immune states.</w:t>
      </w:r>
    </w:p>
    <w:p>
      <w:pPr>
        <w:pStyle w:val="Heading2"/>
      </w:pPr>
      <w:r>
        <w:t>Drug Repositioning</w:t>
      </w:r>
    </w:p>
    <w:p>
      <w:r>
        <w:t>SCLC-associated genes (n=57) were queried against DGIdb v4.0 GraphQL API. Drug-gene interactions were filtered for inhibitor/antagonist types with curated evidence. Drugs were ranked by target score: log2(n_targets + 1) * evidence_weight.</w:t>
      </w:r>
    </w:p>
    <w:p>
      <w:pPr>
        <w:pStyle w:val="Heading2"/>
      </w:pPr>
      <w:r>
        <w:t>Genome-scale Metabolic Modeling</w:t>
      </w:r>
    </w:p>
    <w:p>
      <w:r>
        <w:t>A SCLC-specific metabolic model was constructed using COBRApy, incorporating 33 reactions across central carbon metabolism: glycolysis, TCA cycle, oxidative phosphorylation, glutaminolysis, pentose phosphate pathway, serine biosynthesis, one-carbon metabolism, and fatty acid synthesis. Gene-protein-reaction associations were curated from KEGG and Recon3D. Transcriptomic integration used a GIMME-like algorithm: for each sample, reaction bounds were scaled based on associated gene expression. Reactions with low gene expression (&lt;25th percentile) had bounds reduced by 90%. Flux balance analysis (FBA) maximized biomass production subject to these constraints.</w:t>
      </w:r>
    </w:p>
    <w:p>
      <w:pPr>
        <w:pStyle w:val="Heading2"/>
      </w:pPr>
      <w:r>
        <w:t>Deep Learning-Based Novel Drug Discovery</w:t>
      </w:r>
    </w:p>
    <w:p>
      <w:r>
        <w:t>A multi-component deep learning pipeline was developed for novel target and drug discovery. Variational Autoencoder (VAE): A VAE with 128-dimensional hidden layer and 32-dimensional latent space was trained on 5,000 most variable genes for 50 epochs. Attention-based Subtype Classifier: An attention mechanism was integrated with a 4-class neural network classifier (64-dimensional hidden layer, 0.3 dropout). Drug-Target Interaction Prediction: Novel drug candidates were evaluated using Morgan fingerprints (2048 bits) for drug representation and target gene expression levels. In Silico Validation: Drug candidates underwent comprehensive validation including molecular docking score simulation, binding affinity prediction, selectivity assessment, and ADMET property prediction using Lipinski's Rule of Five. Composite validation scores were calculated as weighted averages of normalized docking score (0.3), binding affinity (0.3), selectivity (0.2), and drug-likeness (0.2). Candidates with validation score &gt;0.6 passed validation.</w:t>
      </w:r>
    </w:p>
    <w:p>
      <w:pPr>
        <w:pStyle w:val="Heading2"/>
      </w:pPr>
      <w:r>
        <w:t>Statistical Analysis</w:t>
      </w:r>
    </w:p>
    <w:p>
      <w:r>
        <w:t>All analyses were performed in Python 3.12 using pandas, numpy, scipy, and scikit-learn. Statistical significance was assessed at alpha=0.05 with multiple testing correction where appropriate.</w:t>
      </w:r>
    </w:p>
    <w:p>
      <w:pPr>
        <w:pStyle w:val="Heading2"/>
      </w:pPr>
      <w:r>
        <w:t>Code and Data Availability</w:t>
      </w:r>
    </w:p>
    <w:p>
      <w:r>
        <w:t>Analysis code is available at https://github.com/cmoh1981/SCLC. Raw data are available from GEO (GSE60052). Processed results are provided as Supplementary Data.</w:t>
      </w:r>
    </w:p>
    <w:p>
      <w:r>
        <w:br w:type="page"/>
      </w:r>
    </w:p>
    <w:p>
      <w:pPr>
        <w:pStyle w:val="Heading1"/>
      </w:pPr>
      <w:r>
        <w:t>References</w:t>
      </w:r>
    </w:p>
    <w:p>
      <w:r>
        <w:t>1. Rudin CM, Brambilla E, Pfister DG, et al. Small cell lung cancer. Nat Rev Dis Primers. 2021;7:3.</w:t>
      </w:r>
    </w:p>
    <w:p>
      <w:r>
        <w:t>2. George J, Lim JS, Jang SJ, et al. Comprehensive genomic profiles of small cell lung cancer. Nature. 2015;524:47-53.</w:t>
      </w:r>
    </w:p>
    <w:p>
      <w:r>
        <w:t>3. Howlader N, Forjaz G, Mooradian MJ, et al. The effect of advances in lung-cancer treatment on population mortality. N Engl J Med. 2020;383:640-649.</w:t>
      </w:r>
    </w:p>
    <w:p>
      <w:r>
        <w:t>4. Horn L, Mansfield AS, Szczesna A, et al. First-line atezolizumab plus chemotherapy in extensive-stage small-cell lung cancer. N Engl J Med. 2018;379:2220-2229.</w:t>
      </w:r>
    </w:p>
    <w:p>
      <w:r>
        <w:t>5. Paz-Ares L, Dvorkin M, Chen Y, et al. Durvalumab plus platinum-etoposide versus platinum-etoposide in first-line treatment of extensive-stage small-cell lung cancer (CASPIAN). Lancet. 2019;394:1929-1939.</w:t>
      </w:r>
    </w:p>
    <w:p>
      <w:r>
        <w:t>6. Owonikoko TK, Dwivedi B, Chen Z, et al. YAP1 expression in SCLC defines a distinct subtype with T-cell-inflamed phenotype. J Thorac Oncol. 2021;16:464-476.</w:t>
      </w:r>
    </w:p>
    <w:p>
      <w:r>
        <w:t>7. Rudin CM, Poirier JT, Byers LA, et al. Molecular subtypes of small cell lung cancer: a synthesis of human and mouse model data. Nat Rev Cancer. 2019;19:289-297.</w:t>
      </w:r>
    </w:p>
    <w:p>
      <w:r>
        <w:t>8. Gay CM, Stewart CA, Park EM, et al. Patterns of transcription factor programs and immune pathway activation define four major subtypes of SCLC with distinct therapeutic vulnerabilities. Cancer Cell. 2021;39:346-360.</w:t>
      </w:r>
    </w:p>
    <w:p>
      <w:r>
        <w:t>9. Maddison P, Gozzard P, Grainge MJ, Lang B. Long-term survival in paraneoplastic Lambert-Eaton myasthenic syndrome. Neurology. 2017;88:1334-1339.</w:t>
      </w:r>
    </w:p>
    <w:p>
      <w:r>
        <w:t>10. Ayers M, Lunceford J, Nebozhyn M, et al. IFN-gamma-related mRNA profile predicts clinical response to PD-1 blockade. J Clin Invest. 2017;127:2930-2940.</w:t>
      </w:r>
    </w:p>
    <w:p>
      <w:r>
        <w:t>11. Cristescu R, Mogg R, Ayers M, et al. Pan-tumor genomic biomarkers for PD-1 checkpoint blockade-based immunotherapy. Science. 2018;362:eaar3593.</w:t>
      </w:r>
    </w:p>
    <w:p>
      <w:r>
        <w:t>12. George J, Lim JS, Jang SJ, et al. Comprehensive genomic profiles of small cell lung cancer. Nature. 2015;524:47-53.</w:t>
      </w:r>
    </w:p>
    <w:p>
      <w:r>
        <w:t>13. Owonikoko TK, Niu H, Nackaerts K, et al. Randomized phase II study of paclitaxel plus alisertib versus paclitaxel plus placebo as second-line therapy for SCLC. J Thorac Oncol. 2019;14:1603-1611.</w:t>
      </w:r>
    </w:p>
    <w:p>
      <w:r>
        <w:t>14. Pietanza MC, Waqar SN, Krug LM, et al. Randomized, double-blind, phase II study of temozolomide in combination with either veliparib or placebo in patients with relapsed-sensitive or refractory small-cell lung cancer. J Clin Oncol. 2018;36:2386-2394.</w:t>
      </w:r>
    </w:p>
    <w:p>
      <w:r>
        <w:t>15. Mollaoglu G, Guthrie MR, Bohm S, et al. MYC drives progression of small cell lung cancer to a variant neuroendocrine subtype with vulnerability to aurora kinase inhibition. Cancer Cell. 2017;31:270-285.</w:t>
      </w:r>
    </w:p>
    <w:p>
      <w:r>
        <w:t>16. Guo Z, Zhou C, Zhou L, et al. Aurora kinase A promotes ovarian tumorigenesis through dysregulation of the cell cycle and suppression of BRCA2. Clin Cancer Res. 2010;16:3171-3181.</w:t>
      </w:r>
    </w:p>
    <w:p>
      <w:r>
        <w:t>17. Huang F, Ni M, Chalber A, et al. SCLC cell lines display marked heterogeneity in metabolic phenotypes and sensitivity to metabolic inhibition. Cancer Metab. 2021;9:43.</w:t>
      </w:r>
    </w:p>
    <w:p>
      <w:r>
        <w:t>18. Kodama M, Oshikawa K, Shimizu H, et al. A shift in glutamine nitrogen metabolism contributes to the malignant progression of cancer. Nat Commun. 2020;11:1320.</w:t>
      </w:r>
    </w:p>
    <w:p>
      <w:r>
        <w:t>19. Arrieta O, Varela-Santoyo E, Soto-Perez-de-Celis E, et al. Metformin use and its effect on survival in diabetic patients with advanced non-small cell lung cancer. BMC Cancer. 2016;16:633.</w:t>
      </w:r>
    </w:p>
    <w:p>
      <w:r>
        <w:t>20. Yap TA, Daver N, Mahandra M, et al. Complex I inhibitor of oxidative phosphorylation in advanced solid tumors and acute myeloid leukemia: phase I trials. Nat Med. 2023;29:115-126.</w:t>
      </w:r>
    </w:p>
    <w:p>
      <w:r>
        <w:t>21. Ahn MJ, Cho BC, Felip E, et al. Tarlatamab for patients with previously treated small-cell lung cancer. N Engl J Med. 2023;389:2063-2075.</w:t>
      </w:r>
    </w:p>
    <w:p>
      <w:r>
        <w:t>22. Lochmann TL, Floros KV, Nasber M, et al. Venetoclax is effective in small-cell lung cancers with high BCL-2 expression. Clin Cancer Res. 2018;24:360-369.</w:t>
      </w:r>
    </w:p>
    <w:p>
      <w:r>
        <w:t>23. Brockmann M, Poon E, Berry T, et al. Small molecule inhibitors of Aurora-A induce proteasomal degradation of N-Myc in childhood neuroblastoma. Cancer Cell. 2013;24:75-89.</w:t>
      </w:r>
    </w:p>
    <w:p>
      <w:r>
        <w:t>24. Peifer M, Fernandez-Cuesta L, Sos ML, et al. Integrative genome analyses identify key somatic driver mutations of small-cell lung cancer. Nat Genet. 2012;44:1104-1110.</w:t>
      </w:r>
    </w:p>
    <w:p>
      <w:r>
        <w:t>25. Huang F, Huffman KE, Wang Z, et al. Inhibition of insulin-like growth factor receptor-1 signaling sensitizes small cell lung cancer to cytotoxic agents. Mol Cancer Ther. 2019;18:1174-1185.</w:t>
      </w:r>
    </w:p>
    <w:p>
      <w:r>
        <w:t>26. Reck M, Luft A, Szczesna A, et al. Phase III randomized trial of ipilimumab plus etoposide and platinum versus placebo plus etoposide and platinum in extensive-stage small-cell lung cancer. J Clin Oncol. 2016;34:3740-3748.</w:t>
      </w:r>
    </w:p>
    <w:p>
      <w:r>
        <w:t>27. Rudin CM, Liu SV, Soo RA, et al. SKYSCRAPER-02: Tiragolumab in combination with atezolizumab plus chemotherapy in untreated extensive-stage small-cell lung cancer. J Clin Oncol. 2024;42:324-335.</w:t>
      </w:r>
    </w:p>
    <w:p>
      <w:r>
        <w:t>28. Johnson ML, Zvirbule Z, Laktionov K, et al. Rovalpituzumab tesirine as a maintenance therapy after first-line platinum-based chemotherapy in patients with extensive-stage SCLC: results from the Phase 3 MERU study. J Thorac Oncol. 2021;16:1570-1581.</w:t>
      </w:r>
    </w:p>
    <w:p>
      <w:r>
        <w:t>29. Burgess A, Chia KM, Haupt S, et al. Clinical overview of MDM2/X-targeted therapies. Front Oncol. 2016;6:7.</w:t>
      </w:r>
    </w:p>
    <w:p>
      <w:r>
        <w:t>30. Rudin CM, Hann CL, Garon EB, et al. Phase II study of single-agent navitoclax (ABT-263) and biomarker correlates in patients with relapsed small cell lung cancer. Clin Cancer Res. 2012;18:3163-3169.</w:t>
      </w:r>
    </w:p>
    <w:p>
      <w:r>
        <w:t>31. Hong D, Infante J, Janku F, et al. Phase I study of LY2606368, a checkpoint kinase 1 inhibitor, in patients with advanced cancer. J Clin Oncol. 2016;34:1764-1771.</w:t>
      </w:r>
    </w:p>
    <w:p>
      <w:r>
        <w:t>32. Berthon C, Raffoux E, Thomas X, et al. Bromodomain inhibitor OTX015 in patients with acute leukaemia: a dose-escalation, phase 1 study. Lancet Haematol. 2016;3:e186-195.</w:t>
      </w:r>
    </w:p>
    <w:p>
      <w:r>
        <w:t>33. Schoffski P, Awada A, Dumez H, et al. A phase I, dose-escalation study of the novel Polo-like kinase inhibitor volasertib (BI 6727) in patients with advanced solid tumours. Eur J Cancer. 2012;48:179-186.</w:t>
      </w:r>
    </w:p>
    <w:p>
      <w:r>
        <w:t>34. Verstovsek S, Mesa RA, Gotlib J, et al. A double-blind, placebo-controlled trial of ruxolitinib for myelofibrosis. N Engl J Med. 2012;366:799-807.</w:t>
      </w:r>
    </w:p>
    <w:p>
      <w:r>
        <w:t>35. Paik PK, Shen R, Berger MF, et al. A phase Ib open-label multicenter study of AZD4547 in patients with advanced squamous cell lung cancers. Clin Cancer Res. 2017;23:5366-5373.</w:t>
      </w:r>
    </w:p>
    <w:p>
      <w:r>
        <w:t>36. Fassnacht M, Berruti A, Baudin E, et al. Linsitinib (OSI-906) versus placebo for patients with locally advanced or metastatic adrenocortical carcinoma: a double-blind, randomised, phase 3 study. Lancet Oncol. 2015;16:426-435.</w:t>
      </w:r>
    </w:p>
    <w:p>
      <w:r>
        <w:t>37. Mitchell TC, Hamid O, Smith DC, et al. Epacadostat plus pembrolizumab in patients with advanced solid tumors: phase I results from a multicenter, open-label phase I/II trial (ECHO-202/KEYNOTE-037). J Clin Oncol. 2018;36:3223-3230.</w:t>
      </w:r>
    </w:p>
    <w:p>
      <w:r>
        <w:t>38. Herbertz S, Sawyer JS, Stauber AJ, et al. Clinical development of galunisertib (LY2157299 monohydrate), a small molecule inhibitor of transforming growth factor-beta signaling pathway. Drug Des Devel Ther. 2015;9:4479-4499.</w:t>
      </w:r>
    </w:p>
    <w:p>
      <w:r>
        <w:t>39. Strauss J, Heery CR, Schlom J, et al. Phase I trial of M7824 (MSB0011359C), a bifunctional fusion protein targeting PD-L1 and TGFbeta, in advanced solid tumors. Clin Cancer Res. 2018;24:1287-1295.</w:t>
      </w:r>
    </w:p>
    <w:p>
      <w:r>
        <w:t>40. Gross MI, Demo SD, Dennison JB, et al. Antitumor activity of the glutaminase inhibitor CB-839 in triple-negative breast cancer. Mol Cancer Ther. 2014;13:890-901.</w:t>
      </w:r>
    </w:p>
    <w:p>
      <w:r>
        <w:br w:type="page"/>
      </w:r>
    </w:p>
    <w:p>
      <w:pPr>
        <w:pStyle w:val="Heading1"/>
      </w:pPr>
      <w:r>
        <w:t>Acknowledgments</w:t>
      </w:r>
    </w:p>
    <w:p>
      <w:r>
        <w:t>We acknowledge the original data generators (George et al.) for making the GSE60052 dataset publicly available. Computational analyses were performed using publicly available tools and databases.</w:t>
      </w:r>
    </w:p>
    <w:p>
      <w:pPr>
        <w:pStyle w:val="Heading1"/>
      </w:pPr>
      <w:r>
        <w:t>Author Contributions</w:t>
      </w:r>
    </w:p>
    <w:p>
      <w:r>
        <w:t>[To be completed]</w:t>
      </w:r>
    </w:p>
    <w:p>
      <w:pPr>
        <w:pStyle w:val="Heading1"/>
      </w:pPr>
      <w:r>
        <w:t>Competing Interests</w:t>
      </w:r>
    </w:p>
    <w:p>
      <w:r>
        <w:t>The authors declare no competing interests.</w:t>
      </w:r>
    </w:p>
    <w:p>
      <w:pPr>
        <w:pStyle w:val="Heading1"/>
      </w:pPr>
      <w:r>
        <w:t>Funding</w:t>
      </w:r>
    </w:p>
    <w:p>
      <w:r>
        <w:t>[To be completed]</w:t>
      </w:r>
    </w:p>
    <w:p>
      <w:r>
        <w:br w:type="page"/>
      </w:r>
    </w:p>
    <w:p>
      <w:pPr>
        <w:pStyle w:val="Heading1"/>
      </w:pPr>
      <w:r>
        <w:t>Figure Legends</w:t>
      </w:r>
    </w:p>
    <w:p/>
    <w:p>
      <w:r>
        <w:rPr>
          <w:b/>
        </w:rPr>
        <w:t xml:space="preserve">Figure 1. SCLC Transcriptional Subtype Landscape. </w:t>
      </w:r>
      <w:r>
        <w:t>(A) Distribution of SCLC molecular subtypes in the GSE60052 cohort (n=86). (B) Principal component analysis showing separation of subtypes. (C) Heatmap of subtype-specific marker gene expression.</w:t>
      </w:r>
    </w:p>
    <w:p/>
    <w:p>
      <w:r>
        <w:rPr>
          <w:b/>
        </w:rPr>
        <w:t xml:space="preserve">Figure 2. Immune-State Stratification of SCLC Tumors. </w:t>
      </w:r>
      <w:r>
        <w:t>(A) Hierarchical clustering of immune signature scores identifies four immune states. (B) Distribution of immune states across transcriptional subtypes. (C) Correlation matrix of immune signatures.</w:t>
      </w:r>
    </w:p>
    <w:p/>
    <w:p>
      <w:r>
        <w:rPr>
          <w:b/>
        </w:rPr>
        <w:t xml:space="preserve">Figure 3. Drug Repositioning Analysis. </w:t>
      </w:r>
      <w:r>
        <w:t>(A) Workflow for DGIdb-based drug repositioning. (B) Top 20 drugs ranked by SCLC target coverage. (C) Target gene network for top candidate compounds. (D) Pathway enrichment of drug targets.</w:t>
      </w:r>
    </w:p>
    <w:p/>
    <w:p>
      <w:r>
        <w:rPr>
          <w:b/>
        </w:rPr>
        <w:t xml:space="preserve">Figure 4. Metabolic Reprogramming Analysis. </w:t>
      </w:r>
      <w:r>
        <w:t>(A) SCLC metabolic network schematic showing key pathways: glycolysis (orange), TCA cycle (teal), OXPHOS (blue), glutaminolysis (green), nucleotide synthesis (purple), one-carbon metabolism (brown), and fatty acid synthesis (red). (B) Heatmap of metabolic flux predictions across SCLC subtypes from GIMME-integrated FBA. (C) Top metabolic drug targets ranked by vulnerability score. (D) Pathway-level vulnerability contributions showing OXPHOS and pyruvate oxidation as dominant dependencies.</w:t>
      </w:r>
    </w:p>
    <w:p/>
    <w:p>
      <w:r>
        <w:rPr>
          <w:b/>
        </w:rPr>
        <w:t xml:space="preserve">Figure 5. Subtype-Specific Therapeutic Strategies. </w:t>
      </w:r>
      <w:r>
        <w:t>(A) Overview of four SCLC molecular subtypes with key molecular features and immunotherapy sensitivity. (B) Drug-subtype recommendation matrix showing strength of evidence for specific drug-subtype pairings. (C) Subtype-guided treatment algorithm integrating molecular classification with therapeutic selection. (D) Key clinical trials organized by molecular subtype.</w:t>
      </w:r>
    </w:p>
    <w:p/>
    <w:p>
      <w:r>
        <w:rPr>
          <w:b/>
        </w:rPr>
        <w:t xml:space="preserve">Figure 6. Deep Learning-Based Novel Drug Discovery. </w:t>
      </w:r>
      <w:r>
        <w:t>(A) Computational workflow for novel target and drug discovery. Gene expression data was processed through a variational autoencoder (VAE) for latent pattern discovery and an attention-based classifier for subtype-specific target identification. (B) Novel drug candidates ranked by validation score with mechanism and subtype indication. (C) Validation scores by drug candidate colored by target subtype. (D) Subtype-specific novel therapeutic recommendations.</w:t>
      </w:r>
    </w:p>
    <w:p/>
    <w:p>
      <w:r>
        <w:rPr>
          <w:b/>
        </w:rPr>
        <w:t xml:space="preserve">Figure 7. Molecular Mechanisms of Immunotherapy Resistance in SCLC. </w:t>
      </w:r>
      <w:r>
        <w:t>(A) Overview of IO resistance mechanisms organized by category. (B) Heatmap of IO resistance signature scores across SCLC subtypes. (C) Therapeutic strategies to overcome subtype-specific resistance mechanisms. (D) Subtype-guided IO combination strategies showing chemo-IO backbone with subtype-specific additions to overcome resistance mechanisms.</w:t>
      </w:r>
    </w:p>
    <w:p>
      <w:r>
        <w:br w:type="page"/>
      </w:r>
    </w:p>
    <w:p>
      <w:pPr>
        <w:pStyle w:val="Heading1"/>
      </w:pPr>
      <w:r>
        <w:t>Table Legends</w:t>
      </w:r>
    </w:p>
    <w:p/>
    <w:p>
      <w:r>
        <w:rPr>
          <w:b/>
        </w:rPr>
        <w:t xml:space="preserve">Table 1. Top Drug Candidates for SCLC. </w:t>
      </w:r>
      <w:r>
        <w:t>Summary of top-ranked compounds from DGIdb analysis, including target genes, interaction types, and evidence sources.</w:t>
      </w:r>
    </w:p>
    <w:p/>
    <w:p>
      <w:r>
        <w:rPr>
          <w:b/>
        </w:rPr>
        <w:t xml:space="preserve">Table 2. Subtype-Specific Therapeutic Recommendations. </w:t>
      </w:r>
      <w:r>
        <w:t>Summary of recommended therapeutic strategies for each SCLC molecular subtype, including primary drugs, key targets, clinical trial status, and immunotherapy sensitivity.</w:t>
      </w:r>
    </w:p>
    <w:p/>
    <w:p>
      <w:r>
        <w:rPr>
          <w:b/>
        </w:rPr>
        <w:t xml:space="preserve">Table 3. Novel Drug Candidates from Deep Learning Analysis. </w:t>
      </w:r>
      <w:r>
        <w:t>Summary of 13 novel drug candidates identified through deep learning, including target genes, mechanism of action, SCLC subtype indication, in silico validation scores, and ADMET properties.</w:t>
      </w:r>
    </w:p>
    <w:p/>
    <w:p>
      <w:r>
        <w:rPr>
          <w:b/>
        </w:rPr>
        <w:t xml:space="preserve">Table 4. IO Resistance Mechanisms and Therapeutic Strategies by Subtype. </w:t>
      </w:r>
      <w:r>
        <w:t>Summary of primary IO resistance mechanisms for each SCLC subtype with corresponding therapeutic strategies and candidate drugs.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