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6"/>
        </w:rPr>
        <w:t>CASO PRÁCTICO · CASE STUDY</w:t>
      </w:r>
    </w:p>
    <w:p>
      <w:pPr>
        <w:jc w:val="center"/>
      </w:pPr>
      <w:r>
        <w:rPr>
          <w:b/>
          <w:color w:val="2563EB"/>
          <w:sz w:val="44"/>
        </w:rPr>
        <w:t>Nomade Vans — Pricing under Competition and Psychological Factors</w:t>
      </w:r>
    </w:p>
    <w:p>
      <w:pPr>
        <w:jc w:val="center"/>
      </w:pPr>
      <w:r>
        <w:rPr>
          <w:i/>
          <w:color w:val="64748B"/>
          <w:sz w:val="24"/>
        </w:rPr>
        <w:t>Simulator-driven edition · v3.1 — student workbook</w:t>
      </w:r>
    </w:p>
    <w:p/>
    <w:p>
      <w:pPr>
        <w:jc w:val="center"/>
      </w:pPr>
      <w:r>
        <w:rPr>
          <w:i/>
        </w:rPr>
        <w:t>© César Moreno Pascual PhD — based on Nomade v2.0 by Ariane Atucha, Ángela Pesquera, Irache Gallego, Paula García</w:t>
        <w:br/>
      </w:r>
      <w:r>
        <w:rPr>
          <w:i/>
        </w:rPr>
        <w:t xml:space="preserve">Interactive simulator: </w:t>
      </w:r>
      <w:r>
        <w:rPr>
          <w:color w:val="2563EB"/>
          <w:u w:val="single"/>
        </w:rPr>
        <w:t>https://cmoreno34.github.io/nomade-pricing-simulator/</w:t>
      </w:r>
    </w:p>
    <w:p>
      <w:r>
        <w:br w:type="page"/>
      </w:r>
    </w:p>
    <w:p>
      <w:pPr>
        <w:pStyle w:val="Heading1"/>
      </w:pPr>
      <w:r>
        <w:rPr>
          <w:color w:val="0F172A"/>
        </w:rPr>
        <w:t>1. The story · El caso</w:t>
      </w:r>
    </w:p>
    <w:p>
      <w:r>
        <w:rPr>
          <w:b w:val="0"/>
          <w:i w:val="0"/>
          <w:sz w:val="22"/>
        </w:rPr>
        <w:t>Nomade Vans es una empresa española que se centra en el diseño y la «camperización» de furgonetas sostenibles. Permite a los consumidores personalizar el producto a través de su web y promete cumplir con un plazo de entrega de un mes. A diferencia de otras empresas del sector, emplea un diseño único y coherente con los valores de sostenibilidad y el entorno natural.</w:t>
      </w:r>
    </w:p>
    <w:p>
      <w:r>
        <w:rPr>
          <w:b w:val="0"/>
          <w:i w:val="0"/>
          <w:sz w:val="22"/>
        </w:rPr>
        <w:t>Tras diseñar y camperizar furgonetas para la venta directa, se plantea la posibilidad de iniciar una nueva línea de negocio basada en el alquiler de camper vans. Para ello se establecen dos niveles de servicio — Standard y Premium — y tres métricas temporales — día, fin de semana (2 noches) y semana (6 noches). La combinación de tiers y periodos define una estructura de precios 2 × 3.</w:t>
      </w:r>
    </w:p>
    <w:p>
      <w:r>
        <w:rPr>
          <w:b w:val="0"/>
          <w:i/>
          <w:color w:val="64748B"/>
          <w:sz w:val="20"/>
        </w:rPr>
        <w:t>Nomade Vans is a Spanish start-up designing sustainable camperised vans. Two service tiers (Standard and Premium) and three rental periods (Day / Weekend / Week) define the price structure. To calibrate willingness-to-pay the team surveyed 95 people, and marketing identified three competitors — Further VAN experience, People Camper and Ocean Vans — currently operating only with daily tariffs.</w:t>
      </w:r>
    </w:p>
    <w:tbl>
      <w:tblPr>
        <w:tblW w:type="auto" w:w="0"/>
        <w:tblLook w:firstColumn="1" w:firstRow="1" w:lastColumn="0" w:lastRow="0" w:noHBand="0" w:noVBand="1" w:val="04A0"/>
      </w:tblPr>
      <w:tblGrid>
        <w:gridCol w:w="8640"/>
      </w:tblGrid>
      <w:tr>
        <w:tc>
          <w:tcPr>
            <w:tcW w:type="dxa" w:w="8640"/>
            <w:shd w:fill="FEF3C7"/>
          </w:tcPr>
          <w:p>
            <w:r>
              <w:rPr>
                <w:b/>
                <w:color w:val="92400E"/>
              </w:rPr>
              <w:t xml:space="preserve">⚠ Data note — dataset is incomplete  </w:t>
            </w:r>
            <w:r>
              <w:t>The three competitors publish DAILY tariffs only. Weekend and weekly prices shown throughout the simulator are ESTIMATES aggregated from the daily tariff (weekend ≈ −5 % per day, week ≈ −30 % per day). Treat them as reference scenarios, not observed data. Any number can be overridden on the Position &amp; prices tab. The Nomade WTP data itself is real (95 respondents).</w:t>
            </w:r>
          </w:p>
        </w:tc>
      </w:tr>
    </w:tbl>
    <w:p/>
    <w:p>
      <w:pPr>
        <w:pStyle w:val="Heading1"/>
      </w:pPr>
      <w:r>
        <w:rPr>
          <w:color w:val="0F172A"/>
        </w:rPr>
        <w:t>2. Estructura de precios óptimos sin segmentar (Nomade v2.0 baseline)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Day</w:t>
            </w:r>
          </w:p>
        </w:tc>
        <w:tc>
          <w:tcPr>
            <w:tcW w:type="dxa" w:w="1728"/>
          </w:tcPr>
          <w:p>
            <w:r>
              <w:rPr>
                <w:b/>
              </w:rPr>
              <w:t>Weekend (total)</w:t>
            </w:r>
          </w:p>
        </w:tc>
        <w:tc>
          <w:tcPr>
            <w:tcW w:type="dxa" w:w="1728"/>
          </w:tcPr>
          <w:p>
            <w:r>
              <w:rPr>
                <w:b/>
              </w:rPr>
              <w:t>Week (total)</w:t>
            </w:r>
          </w:p>
        </w:tc>
        <w:tc>
          <w:tcPr>
            <w:tcW w:type="dxa" w:w="1728"/>
          </w:tcPr>
          <w:p>
            <w:r>
              <w:rPr>
                <w:b/>
              </w:rPr>
              <w:t>Per-day price</w:t>
            </w:r>
          </w:p>
        </w:tc>
      </w:tr>
      <w:tr>
        <w:tc>
          <w:tcPr>
            <w:tcW w:type="dxa" w:w="1728"/>
          </w:tcPr>
          <w:p>
            <w:r>
              <w:t>Standard</w:t>
            </w:r>
          </w:p>
        </w:tc>
        <w:tc>
          <w:tcPr>
            <w:tcW w:type="dxa" w:w="1728"/>
          </w:tcPr>
          <w:p>
            <w:r>
              <w:t>80 €</w:t>
            </w:r>
          </w:p>
        </w:tc>
        <w:tc>
          <w:tcPr>
            <w:tcW w:type="dxa" w:w="1728"/>
          </w:tcPr>
          <w:p>
            <w:r>
              <w:t>120 €</w:t>
            </w:r>
          </w:p>
        </w:tc>
        <w:tc>
          <w:tcPr>
            <w:tcW w:type="dxa" w:w="1728"/>
          </w:tcPr>
          <w:p>
            <w:r>
              <w:t>420 €</w:t>
            </w:r>
          </w:p>
        </w:tc>
        <w:tc>
          <w:tcPr>
            <w:tcW w:type="dxa" w:w="1728"/>
          </w:tcPr>
          <w:p>
            <w:r>
              <w:t>60 € weekend / 60 € week</w:t>
            </w:r>
          </w:p>
        </w:tc>
      </w:tr>
      <w:tr>
        <w:tc>
          <w:tcPr>
            <w:tcW w:type="dxa" w:w="1728"/>
          </w:tcPr>
          <w:p>
            <w:r>
              <w:t>Premium</w:t>
            </w:r>
          </w:p>
        </w:tc>
        <w:tc>
          <w:tcPr>
            <w:tcW w:type="dxa" w:w="1728"/>
          </w:tcPr>
          <w:p>
            <w:r>
              <w:t>100 €</w:t>
            </w:r>
          </w:p>
        </w:tc>
        <w:tc>
          <w:tcPr>
            <w:tcW w:type="dxa" w:w="1728"/>
          </w:tcPr>
          <w:p>
            <w:r>
              <w:t>160 €</w:t>
            </w:r>
          </w:p>
        </w:tc>
        <w:tc>
          <w:tcPr>
            <w:tcW w:type="dxa" w:w="1728"/>
          </w:tcPr>
          <w:p>
            <w:r>
              <w:t>540 €</w:t>
            </w:r>
          </w:p>
        </w:tc>
        <w:tc>
          <w:tcPr>
            <w:tcW w:type="dxa" w:w="1728"/>
          </w:tcPr>
          <w:p>
            <w:r>
              <w:t>80 € weekend / 77 € week</w:t>
            </w:r>
          </w:p>
        </w:tc>
      </w:tr>
    </w:tbl>
    <w:p/>
    <w:p>
      <w:pPr>
        <w:pStyle w:val="Heading1"/>
      </w:pPr>
      <w:r>
        <w:rPr>
          <w:color w:val="0F172A"/>
        </w:rPr>
        <w:t>3. Estructura de costes · Cost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Standard</w:t>
            </w:r>
          </w:p>
        </w:tc>
        <w:tc>
          <w:tcPr>
            <w:tcW w:type="dxa" w:w="2880"/>
          </w:tcPr>
          <w:p>
            <w:r>
              <w:rPr>
                <w:b/>
              </w:rPr>
              <w:t>Premium</w:t>
            </w:r>
          </w:p>
        </w:tc>
      </w:tr>
      <w:tr>
        <w:tc>
          <w:tcPr>
            <w:tcW w:type="dxa" w:w="2880"/>
          </w:tcPr>
          <w:p>
            <w:r>
              <w:t>Variable cost per rental (VC)</w:t>
            </w:r>
          </w:p>
        </w:tc>
        <w:tc>
          <w:tcPr>
            <w:tcW w:type="dxa" w:w="2880"/>
          </w:tcPr>
          <w:p>
            <w:r>
              <w:t>30 €</w:t>
            </w:r>
          </w:p>
        </w:tc>
        <w:tc>
          <w:tcPr>
            <w:tcW w:type="dxa" w:w="2880"/>
          </w:tcPr>
          <w:p>
            <w:r>
              <w:t>30 €</w:t>
            </w:r>
          </w:p>
        </w:tc>
      </w:tr>
      <w:tr>
        <w:tc>
          <w:tcPr>
            <w:tcW w:type="dxa" w:w="2880"/>
          </w:tcPr>
          <w:p>
            <w:r>
              <w:t>Fixed cost per year (CF)</w:t>
            </w:r>
          </w:p>
        </w:tc>
        <w:tc>
          <w:tcPr>
            <w:tcW w:type="dxa" w:w="2880"/>
          </w:tcPr>
          <w:p>
            <w:r>
              <w:t>69.750 €</w:t>
            </w:r>
          </w:p>
        </w:tc>
        <w:tc>
          <w:tcPr>
            <w:tcW w:type="dxa" w:w="2880"/>
          </w:tcPr>
          <w:p>
            <w:r>
              <w:t>77.750 €</w:t>
            </w:r>
          </w:p>
        </w:tc>
      </w:tr>
      <w:tr>
        <w:tc>
          <w:tcPr>
            <w:tcW w:type="dxa" w:w="2880"/>
          </w:tcPr>
          <w:p>
            <w:r>
              <w:t>Demand potential (D)</w:t>
            </w:r>
          </w:p>
        </w:tc>
        <w:tc>
          <w:tcPr>
            <w:tcW w:type="dxa" w:w="2880"/>
          </w:tcPr>
          <w:p>
            <w:r>
              <w:t>5.000</w:t>
            </w:r>
          </w:p>
        </w:tc>
        <w:tc>
          <w:tcPr>
            <w:tcW w:type="dxa" w:w="2880"/>
          </w:tcPr>
          <w:p>
            <w:r>
              <w:t>5.000</w:t>
            </w:r>
          </w:p>
        </w:tc>
      </w:tr>
    </w:tbl>
    <w:p/>
    <w:p>
      <w:r>
        <w:rPr>
          <w:b w:val="0"/>
          <w:i/>
          <w:color w:val="64748B"/>
          <w:sz w:val="20"/>
        </w:rPr>
        <w:t>Demand scaling: day × 1.0, weekend × 0.365 (≈ 182 rentals/year), week × 0.0743 (≈ 52 rentals/year).</w:t>
      </w:r>
    </w:p>
    <w:p>
      <w:pPr>
        <w:pStyle w:val="Heading1"/>
      </w:pPr>
      <w:r>
        <w:rPr>
          <w:color w:val="0F172A"/>
        </w:rPr>
        <w:t>4. Competidores · Competitors (daily tariff — the only one published)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Competitor</w:t>
            </w:r>
          </w:p>
        </w:tc>
        <w:tc>
          <w:tcPr>
            <w:tcW w:type="dxa" w:w="2880"/>
          </w:tcPr>
          <w:p>
            <w:r>
              <w:rPr>
                <w:b/>
              </w:rPr>
              <w:t>Standard (€)</w:t>
            </w:r>
          </w:p>
        </w:tc>
        <w:tc>
          <w:tcPr>
            <w:tcW w:type="dxa" w:w="2880"/>
          </w:tcPr>
          <w:p>
            <w:r>
              <w:rPr>
                <w:b/>
              </w:rPr>
              <w:t>Premium (€)</w:t>
            </w:r>
          </w:p>
        </w:tc>
      </w:tr>
      <w:tr>
        <w:tc>
          <w:tcPr>
            <w:tcW w:type="dxa" w:w="2880"/>
          </w:tcPr>
          <w:p>
            <w:r>
              <w:t>Further VAN experience</w:t>
            </w:r>
          </w:p>
        </w:tc>
        <w:tc>
          <w:tcPr>
            <w:tcW w:type="dxa" w:w="2880"/>
          </w:tcPr>
          <w:p>
            <w:r>
              <w:t>85</w:t>
            </w:r>
          </w:p>
        </w:tc>
        <w:tc>
          <w:tcPr>
            <w:tcW w:type="dxa" w:w="2880"/>
          </w:tcPr>
          <w:p>
            <w:r>
              <w:t>95</w:t>
            </w:r>
          </w:p>
        </w:tc>
      </w:tr>
      <w:tr>
        <w:tc>
          <w:tcPr>
            <w:tcW w:type="dxa" w:w="2880"/>
          </w:tcPr>
          <w:p>
            <w:r>
              <w:t>People Camper</w:t>
            </w:r>
          </w:p>
        </w:tc>
        <w:tc>
          <w:tcPr>
            <w:tcW w:type="dxa" w:w="2880"/>
          </w:tcPr>
          <w:p>
            <w:r>
              <w:t>105</w:t>
            </w:r>
          </w:p>
        </w:tc>
        <w:tc>
          <w:tcPr>
            <w:tcW w:type="dxa" w:w="2880"/>
          </w:tcPr>
          <w:p>
            <w:r>
              <w:t>115</w:t>
            </w:r>
          </w:p>
        </w:tc>
      </w:tr>
      <w:tr>
        <w:tc>
          <w:tcPr>
            <w:tcW w:type="dxa" w:w="2880"/>
          </w:tcPr>
          <w:p>
            <w:r>
              <w:t>Ocean Vans</w:t>
            </w:r>
          </w:p>
        </w:tc>
        <w:tc>
          <w:tcPr>
            <w:tcW w:type="dxa" w:w="2880"/>
          </w:tcPr>
          <w:p>
            <w:r>
              <w:t>98</w:t>
            </w:r>
          </w:p>
        </w:tc>
        <w:tc>
          <w:tcPr>
            <w:tcW w:type="dxa" w:w="2880"/>
          </w:tcPr>
          <w:p>
            <w:r>
              <w:t>129</w:t>
            </w:r>
          </w:p>
        </w:tc>
      </w:tr>
    </w:tbl>
    <w:p/>
    <w:p>
      <w:pPr>
        <w:pStyle w:val="Heading1"/>
      </w:pPr>
      <w:r>
        <w:rPr>
          <w:color w:val="0F172A"/>
        </w:rPr>
        <w:t>5. Uso del simulador · How to use the simulator</w:t>
      </w:r>
    </w:p>
    <w:p>
      <w:r>
        <w:rPr>
          <w:b w:val="0"/>
          <w:i w:val="0"/>
          <w:sz w:val="22"/>
        </w:rPr>
        <w:t xml:space="preserve">URL: </w:t>
      </w:r>
      <w:r>
        <w:rPr>
          <w:color w:val="2563EB"/>
          <w:u w:val="single"/>
        </w:rPr>
        <w:t>https://cmoreno34.github.io/nomade-pricing-simulator/</w:t>
      </w:r>
    </w:p>
    <w:p>
      <w:pPr>
        <w:pStyle w:val="ListNumber"/>
      </w:pPr>
      <w:r>
        <w:t>Pick a rental period (Day / Weekend / Week) and a version (Standard / Premium) at the top.</w:t>
      </w:r>
    </w:p>
    <w:p>
      <w:pPr>
        <w:pStyle w:val="ListNumber"/>
      </w:pPr>
      <w:r>
        <w:t>Go to Competition-based → Profit curve. DRAG the green "Our price" line. Coloured dashed lines are the three competitors; KPIs (profit, demand, revenue, lost-vs-peak) update live. Use Match-competitor / Snap-to-peak.</w:t>
      </w:r>
    </w:p>
    <w:p>
      <w:pPr>
        <w:pStyle w:val="ListNumber"/>
      </w:pPr>
      <w:r>
        <w:t>Go to Psychological factors — all inputs are pre-loaded from your current position. Experiment (Anchoring, Charm, Prospect Theory before/after price, Reference). Use Apply-to-Standard / Apply-to-Premium buttons to push a tested number back into Position &amp; prices.</w:t>
      </w:r>
    </w:p>
    <w:p>
      <w:pPr>
        <w:pStyle w:val="ListNumber"/>
      </w:pPr>
      <w:r>
        <w:t>Open Position &amp; prices to type numbers directly and add the analyst note.</w:t>
      </w:r>
    </w:p>
    <w:p>
      <w:pPr>
        <w:pStyle w:val="ListNumber"/>
      </w:pPr>
      <w:r>
        <w:t>Open Case answers — the three formal questions are there; write your answer in each box.</w:t>
      </w:r>
    </w:p>
    <w:p>
      <w:pPr>
        <w:pStyle w:val="ListNumber"/>
      </w:pPr>
      <w:r>
        <w:t>Open Download Excel. One click produces a .xlsx with 8 sheets including Case answers and all 9 charts embedded as images.</w:t>
      </w:r>
    </w:p>
    <w:p>
      <w:r>
        <w:br w:type="page"/>
      </w:r>
    </w:p>
    <w:p>
      <w:pPr>
        <w:pStyle w:val="Heading1"/>
      </w:pPr>
      <w:r>
        <w:rPr>
          <w:color w:val="0F172A"/>
        </w:rPr>
        <w:t>6. Preguntas del caso · Formal deliverable questions</w:t>
      </w:r>
    </w:p>
    <w:p>
      <w:r>
        <w:rPr>
          <w:b w:val="0"/>
          <w:i/>
          <w:sz w:val="22"/>
        </w:rPr>
        <w:t>These three questions reproduce the original Nomade v2.0 deliverables. Write your answer either (a) inside the simulator's Case answers tab — everything will be exported to the Excel download — or (b) directly in the boxes below.</w:t>
      </w:r>
    </w:p>
    <w:p>
      <w:r>
        <w:rPr>
          <w:b/>
          <w:color w:val="F97316"/>
        </w:rPr>
        <w:t xml:space="preserve">P1 — </w:t>
      </w:r>
      <w:r>
        <w:rPr>
          <w:b/>
        </w:rPr>
        <w:t>With the indicated data, give assumptions of competitors' cost structures and brand-value differentiation compared to NOMADE. Consider that NOMADE is new, and the others are well-established.</w:t>
      </w:r>
    </w:p>
    <w:p>
      <w:r>
        <w:rPr>
          <w:b/>
          <w:i w:val="0"/>
          <w:sz w:val="22"/>
        </w:rPr>
        <w:t>Simulator tasks:</w:t>
      </w:r>
    </w:p>
    <w:p>
      <w:pPr>
        <w:pStyle w:val="ListBullet"/>
      </w:pPr>
      <w:r>
        <w:t>Read profit at each competitor's price on the Profit curve (dashed lines). Fill the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Competitor</w:t>
            </w:r>
          </w:p>
        </w:tc>
        <w:tc>
          <w:tcPr>
            <w:tcW w:type="dxa" w:w="2160"/>
          </w:tcPr>
          <w:p>
            <w:r>
              <w:rPr>
                <w:b/>
              </w:rPr>
              <w:t>Their Std (€)</w:t>
            </w:r>
          </w:p>
        </w:tc>
        <w:tc>
          <w:tcPr>
            <w:tcW w:type="dxa" w:w="2160"/>
          </w:tcPr>
          <w:p>
            <w:r>
              <w:rPr>
                <w:b/>
              </w:rPr>
              <w:t>Our profit at their price (€)</w:t>
            </w:r>
          </w:p>
        </w:tc>
        <w:tc>
          <w:tcPr>
            <w:tcW w:type="dxa" w:w="2160"/>
          </w:tcPr>
          <w:p>
            <w:r>
              <w:rPr>
                <w:b/>
              </w:rPr>
              <w:t>Likely FC assumption</w:t>
            </w:r>
          </w:p>
        </w:tc>
      </w:tr>
      <w:tr>
        <w:tc>
          <w:tcPr>
            <w:tcW w:type="dxa" w:w="2160"/>
          </w:tcPr>
          <w:p>
            <w:r>
              <w:t>Further VAN experience</w:t>
            </w:r>
          </w:p>
        </w:tc>
        <w:tc>
          <w:tcPr>
            <w:tcW w:type="dxa" w:w="2160"/>
          </w:tcPr>
          <w:p/>
        </w:tc>
        <w:tc>
          <w:tcPr>
            <w:tcW w:type="dxa" w:w="2160"/>
          </w:tcPr>
          <w:p/>
        </w:tc>
        <w:tc>
          <w:tcPr>
            <w:tcW w:type="dxa" w:w="2160"/>
          </w:tcPr>
          <w:p/>
        </w:tc>
      </w:tr>
      <w:tr>
        <w:tc>
          <w:tcPr>
            <w:tcW w:type="dxa" w:w="2160"/>
          </w:tcPr>
          <w:p>
            <w:r>
              <w:t>People Camper</w:t>
            </w:r>
          </w:p>
        </w:tc>
        <w:tc>
          <w:tcPr>
            <w:tcW w:type="dxa" w:w="2160"/>
          </w:tcPr>
          <w:p/>
        </w:tc>
        <w:tc>
          <w:tcPr>
            <w:tcW w:type="dxa" w:w="2160"/>
          </w:tcPr>
          <w:p/>
        </w:tc>
        <w:tc>
          <w:tcPr>
            <w:tcW w:type="dxa" w:w="2160"/>
          </w:tcPr>
          <w:p/>
        </w:tc>
      </w:tr>
      <w:tr>
        <w:tc>
          <w:tcPr>
            <w:tcW w:type="dxa" w:w="2160"/>
          </w:tcPr>
          <w:p>
            <w:r>
              <w:t>Ocean Vans</w:t>
            </w:r>
          </w:p>
        </w:tc>
        <w:tc>
          <w:tcPr>
            <w:tcW w:type="dxa" w:w="2160"/>
          </w:tcPr>
          <w:p/>
        </w:tc>
        <w:tc>
          <w:tcPr>
            <w:tcW w:type="dxa" w:w="2160"/>
          </w:tcPr>
          <w:p/>
        </w:tc>
        <w:tc>
          <w:tcPr>
            <w:tcW w:type="dxa" w:w="2160"/>
          </w:tcPr>
          <w:p/>
        </w:tc>
      </w:tr>
    </w:tbl>
    <w:p/>
    <w:p>
      <w:pPr>
        <w:pStyle w:val="ListBullet"/>
      </w:pPr>
      <w:r>
        <w:t>Justify NOMADE's cost disadvantage (new, smaller scale) and brand-value upside (design, sustainability, customisation).</w:t>
      </w:r>
    </w:p>
    <w:p>
      <w:r>
        <w:rPr>
          <w:b/>
          <w:i w:val="0"/>
          <w:sz w:val="22"/>
        </w:rPr>
        <w:t>Your answer:</w:t>
      </w:r>
    </w:p>
    <w:tbl>
      <w:tblPr>
        <w:tblW w:type="auto" w:w="0"/>
        <w:tblLook w:firstColumn="1" w:firstRow="1" w:lastColumn="0" w:lastRow="0" w:noHBand="0" w:noVBand="1" w:val="04A0"/>
      </w:tblPr>
      <w:tblGrid>
        <w:gridCol w:w="8640"/>
      </w:tblGrid>
      <w:tr>
        <w:tc>
          <w:tcPr>
            <w:tcW w:type="dxa" w:w="8640"/>
            <w:shd w:fill="F8FAFC"/>
          </w:tcPr>
          <w:p>
            <w:r>
              <w:br/>
              <w:br/>
              <w:br/>
              <w:br/>
              <w:br/>
              <w:br/>
              <w:br/>
              <w:br/>
              <w:br/>
            </w:r>
          </w:p>
        </w:tc>
      </w:tr>
    </w:tbl>
    <w:p/>
    <w:p>
      <w:r>
        <w:rPr>
          <w:b/>
          <w:color w:val="F97316"/>
        </w:rPr>
        <w:t xml:space="preserve">P2 — </w:t>
      </w:r>
      <w:r>
        <w:rPr>
          <w:b/>
        </w:rPr>
        <w:t>Suggest a competitive strategy for Nomade, indicating whether Nomade can improve its market position with a strategic view. Also consider possible psychological factors.</w:t>
      </w:r>
    </w:p>
    <w:p>
      <w:r>
        <w:rPr>
          <w:b/>
          <w:i w:val="0"/>
          <w:sz w:val="22"/>
        </w:rPr>
        <w:t>Simulator tasks:</w:t>
      </w:r>
    </w:p>
    <w:p>
      <w:pPr>
        <w:pStyle w:val="ListBullet"/>
      </w:pPr>
      <w:r>
        <w:t>Drag the green line and use Match-competitor / Snap-to-peak. Take a screenshot.</w:t>
      </w:r>
    </w:p>
    <w:p>
      <w:pPr>
        <w:pStyle w:val="ListBullet"/>
      </w:pPr>
      <w:r>
        <w:t>On Psychological factors, experiment in this order:</w:t>
      </w:r>
    </w:p>
    <w:p>
      <w:pPr>
        <w:pStyle w:val="ListNumber"/>
      </w:pPr>
      <w:r>
        <w:t>Anchoring: design a Good-Better-Best sandwich. Apply the middle to Our Standard.</w:t>
      </w:r>
    </w:p>
    <w:p>
      <w:pPr>
        <w:pStyle w:val="ListNumber"/>
      </w:pPr>
      <w:r>
        <w:t>Charm pricing: test round vs charm. Does the +7 % perception uplift beat the margin cost of −€1? Apply if it does.</w:t>
      </w:r>
    </w:p>
    <w:p>
      <w:pPr>
        <w:pStyle w:val="ListNumber"/>
      </w:pPr>
      <w:r>
        <w:t>Prospect Theory: if you raise price by €10 next year, quantify the pain and draft one sentence to reframe it.</w:t>
      </w:r>
    </w:p>
    <w:p>
      <w:pPr>
        <w:pStyle w:val="ListNumber"/>
      </w:pPr>
      <w:r>
        <w:t>Reference price: cheapest competitor as reference. What share of respondents sit above?</w:t>
      </w:r>
    </w:p>
    <w:p>
      <w:pPr>
        <w:pStyle w:val="ListBullet"/>
      </w:pPr>
      <w:r>
        <w:t>Close with a &lt;100-word positioning statement.</w:t>
      </w:r>
    </w:p>
    <w:p>
      <w:r>
        <w:rPr>
          <w:b/>
          <w:i w:val="0"/>
          <w:sz w:val="22"/>
        </w:rPr>
        <w:t>Your answer:</w:t>
      </w:r>
    </w:p>
    <w:tbl>
      <w:tblPr>
        <w:tblW w:type="auto" w:w="0"/>
        <w:tblLook w:firstColumn="1" w:firstRow="1" w:lastColumn="0" w:lastRow="0" w:noHBand="0" w:noVBand="1" w:val="04A0"/>
      </w:tblPr>
      <w:tblGrid>
        <w:gridCol w:w="8640"/>
      </w:tblGrid>
      <w:tr>
        <w:tc>
          <w:tcPr>
            <w:tcW w:type="dxa" w:w="8640"/>
            <w:shd w:fill="F8FAFC"/>
          </w:tcPr>
          <w:p>
            <w:r>
              <w:br/>
              <w:br/>
              <w:br/>
              <w:br/>
              <w:br/>
              <w:br/>
              <w:br/>
              <w:br/>
              <w:br/>
              <w:br/>
              <w:br/>
              <w:br/>
              <w:br/>
            </w:r>
          </w:p>
        </w:tc>
      </w:tr>
    </w:tbl>
    <w:p/>
    <w:p>
      <w:r>
        <w:rPr>
          <w:b/>
          <w:color w:val="F97316"/>
        </w:rPr>
        <w:t xml:space="preserve">P3 — </w:t>
      </w:r>
      <w:r>
        <w:rPr>
          <w:b/>
        </w:rPr>
        <w:t>Suggest a pricing implementation strategy with the final list prices and elaborate on possible promotional actions.</w:t>
      </w:r>
    </w:p>
    <w:p>
      <w:r>
        <w:rPr>
          <w:b/>
          <w:i w:val="0"/>
          <w:sz w:val="22"/>
        </w:rPr>
        <w:t>Simulator tasks:</w:t>
      </w:r>
    </w:p>
    <w:p>
      <w:pPr>
        <w:pStyle w:val="ListBullet"/>
      </w:pPr>
      <w:r>
        <w:t>Set final prices in Position &amp; prices for each combination: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Day</w:t>
            </w:r>
          </w:p>
        </w:tc>
        <w:tc>
          <w:tcPr>
            <w:tcW w:type="dxa" w:w="2160"/>
          </w:tcPr>
          <w:p>
            <w:r>
              <w:rPr>
                <w:b/>
              </w:rPr>
              <w:t>Weekend (per day)</w:t>
            </w:r>
          </w:p>
        </w:tc>
        <w:tc>
          <w:tcPr>
            <w:tcW w:type="dxa" w:w="2160"/>
          </w:tcPr>
          <w:p>
            <w:r>
              <w:rPr>
                <w:b/>
              </w:rPr>
              <w:t>Week (per day)</w:t>
            </w:r>
          </w:p>
        </w:tc>
      </w:tr>
      <w:tr>
        <w:tc>
          <w:tcPr>
            <w:tcW w:type="dxa" w:w="2160"/>
          </w:tcPr>
          <w:p>
            <w:r>
              <w:t>Standard</w:t>
            </w:r>
          </w:p>
        </w:tc>
        <w:tc>
          <w:tcPr>
            <w:tcW w:type="dxa" w:w="2160"/>
          </w:tcPr>
          <w:p/>
        </w:tc>
        <w:tc>
          <w:tcPr>
            <w:tcW w:type="dxa" w:w="2160"/>
          </w:tcPr>
          <w:p/>
        </w:tc>
        <w:tc>
          <w:tcPr>
            <w:tcW w:type="dxa" w:w="2160"/>
          </w:tcPr>
          <w:p/>
        </w:tc>
      </w:tr>
      <w:tr>
        <w:tc>
          <w:tcPr>
            <w:tcW w:type="dxa" w:w="2160"/>
          </w:tcPr>
          <w:p>
            <w:r>
              <w:t>Premium</w:t>
            </w:r>
          </w:p>
        </w:tc>
        <w:tc>
          <w:tcPr>
            <w:tcW w:type="dxa" w:w="2160"/>
          </w:tcPr>
          <w:p/>
        </w:tc>
        <w:tc>
          <w:tcPr>
            <w:tcW w:type="dxa" w:w="2160"/>
          </w:tcPr>
          <w:p/>
        </w:tc>
        <w:tc>
          <w:tcPr>
            <w:tcW w:type="dxa" w:w="2160"/>
          </w:tcPr>
          <w:p/>
        </w:tc>
      </w:tr>
    </w:tbl>
    <w:p/>
    <w:p>
      <w:pPr>
        <w:pStyle w:val="ListBullet"/>
      </w:pPr>
      <w:r>
        <w:t>Justify each number (peak, WTP %, nearest competitor, psychological lever).</w:t>
      </w:r>
    </w:p>
    <w:p>
      <w:pPr>
        <w:pStyle w:val="ListBullet"/>
      </w:pPr>
      <w:r>
        <w:t>Draft 2–3 promotions — target segment, price lever, expected pain/gain (Prospect Theory).</w:t>
      </w:r>
    </w:p>
    <w:p>
      <w:pPr>
        <w:pStyle w:val="ListBullet"/>
      </w:pPr>
      <w:r>
        <w:t>Add the analyst note in the simulator, click Download Excel, attach the file.</w:t>
      </w:r>
    </w:p>
    <w:p>
      <w:r>
        <w:rPr>
          <w:b/>
          <w:i w:val="0"/>
          <w:sz w:val="22"/>
        </w:rPr>
        <w:t>Your answer:</w:t>
      </w:r>
    </w:p>
    <w:tbl>
      <w:tblPr>
        <w:tblW w:type="auto" w:w="0"/>
        <w:tblLook w:firstColumn="1" w:firstRow="1" w:lastColumn="0" w:lastRow="0" w:noHBand="0" w:noVBand="1" w:val="04A0"/>
      </w:tblPr>
      <w:tblGrid>
        <w:gridCol w:w="8640"/>
      </w:tblGrid>
      <w:tr>
        <w:tc>
          <w:tcPr>
            <w:tcW w:type="dxa" w:w="8640"/>
            <w:shd w:fill="F8FAFC"/>
          </w:tcPr>
          <w:p>
            <w:r>
              <w:br/>
              <w:br/>
              <w:br/>
              <w:br/>
              <w:br/>
              <w:br/>
              <w:br/>
              <w:br/>
              <w:br/>
              <w:br/>
              <w:br/>
              <w:br/>
              <w:br/>
            </w:r>
          </w:p>
        </w:tc>
      </w:tr>
    </w:tbl>
    <w:p/>
    <w:p>
      <w:r>
        <w:br w:type="page"/>
      </w:r>
    </w:p>
    <w:p>
      <w:pPr>
        <w:pStyle w:val="Heading1"/>
      </w:pPr>
      <w:r>
        <w:rPr>
          <w:color w:val="0F172A"/>
        </w:rPr>
        <w:t>7. Criterios de evaluación · Evaluation criteria</w:t>
      </w:r>
    </w:p>
    <w:p>
      <w:pPr>
        <w:pStyle w:val="ListBullet"/>
      </w:pPr>
      <w:r>
        <w:t>Rigour (simulator evidence: screenshots, Excel, numbers).</w:t>
      </w:r>
    </w:p>
    <w:p>
      <w:pPr>
        <w:pStyle w:val="ListBullet"/>
      </w:pPr>
      <w:r>
        <w:t>Integration of competition + WTP + psychological factors.</w:t>
      </w:r>
    </w:p>
    <w:p>
      <w:pPr>
        <w:pStyle w:val="ListBullet"/>
      </w:pPr>
      <w:r>
        <w:t>Clarity &amp; brevity — numbers justified, trade-offs explicit.</w:t>
      </w:r>
    </w:p>
    <w:p>
      <w:pPr>
        <w:pStyle w:val="ListBullet"/>
      </w:pPr>
      <w:r>
        <w:t>Attached Excel export with final prices, position, Case answers and chart images.</w:t>
      </w:r>
    </w:p>
    <w:p>
      <w:pPr>
        <w:pStyle w:val="Heading2"/>
      </w:pPr>
      <w:r>
        <w:rPr>
          <w:color w:val="0F172A"/>
        </w:rPr>
        <w:t>Entregables · Deliverables</w:t>
      </w:r>
    </w:p>
    <w:p>
      <w:pPr>
        <w:pStyle w:val="ListNumber"/>
      </w:pPr>
      <w:r>
        <w:t>This workbook (Word), every answer box filled in — OR case answers written inside the simulator.</w:t>
      </w:r>
    </w:p>
    <w:p>
      <w:pPr>
        <w:pStyle w:val="ListNumber"/>
      </w:pPr>
      <w:r>
        <w:t>The Excel (.xlsx) downloaded from the simulator — Guide, Questions, Answers (Day/Weekend/Week), Position, Case answers, Charts.</w:t>
      </w:r>
    </w:p>
    <w:p>
      <w:pPr>
        <w:pStyle w:val="ListNumber"/>
      </w:pPr>
      <w:r>
        <w:t>A one-page executive summary.</w:t>
      </w:r>
    </w:p>
    <w:p>
      <w:r>
        <w:br w:type="page"/>
      </w:r>
    </w:p>
    <w:p>
      <w:pPr>
        <w:pStyle w:val="Heading1"/>
      </w:pPr>
      <w:r>
        <w:rPr>
          <w:color w:val="0F172A"/>
        </w:rPr>
        <w:t>Anexo · Appendix — The 13 survey questions (reference)</w:t>
      </w:r>
    </w:p>
    <w:p>
      <w:r>
        <w:rPr>
          <w:b w:val="0"/>
          <w:i/>
          <w:color w:val="64748B"/>
          <w:sz w:val="22"/>
        </w:rPr>
        <w:t>These are the 13 items asked to the 95 survey respondents. They appear here for reference so that you can interpret the aggregated WTP distribution displayed by the simulator. You are NOT asked to answer them yourself.</w:t>
      </w:r>
    </w:p>
    <w:p>
      <w:r>
        <w:rPr>
          <w:b/>
        </w:rPr>
        <w:t xml:space="preserve">Q1. </w:t>
      </w:r>
      <w:r>
        <w:t>Por favor, indique su género.</w:t>
      </w:r>
    </w:p>
    <w:p>
      <w:r>
        <w:rPr>
          <w:b/>
        </w:rPr>
        <w:t xml:space="preserve">Q2. </w:t>
      </w:r>
      <w:r>
        <w:t>¿En qué rango de edad se encuentra?  &lt;20 / 20-30 / 30-40 / 40-50 / 50-60 / &gt;60</w:t>
      </w:r>
    </w:p>
    <w:p>
      <w:r>
        <w:rPr>
          <w:b/>
        </w:rPr>
        <w:t xml:space="preserve">Q3. </w:t>
      </w:r>
      <w:r>
        <w:t>¿Cuál es su estado civil?  Soltero / Casado / Divorciado / Viudo</w:t>
      </w:r>
    </w:p>
    <w:p>
      <w:r>
        <w:rPr>
          <w:b/>
        </w:rPr>
        <w:t xml:space="preserve">Q4. </w:t>
      </w:r>
      <w:r>
        <w:t>¿Cuál es su nivel de educación?  Primaria / Secundaria / Grado / Máster o Posgrado</w:t>
      </w:r>
    </w:p>
    <w:p>
      <w:r>
        <w:rPr>
          <w:b/>
        </w:rPr>
        <w:t xml:space="preserve">Q5. </w:t>
      </w:r>
      <w:r>
        <w:t>Seleccione su situación laboral.  Empleado / Autónomo / Desempleado / Jubilado / Estudiante</w:t>
      </w:r>
    </w:p>
    <w:p>
      <w:r>
        <w:rPr>
          <w:b/>
        </w:rPr>
        <w:t xml:space="preserve">Q6. </w:t>
      </w:r>
      <w:r>
        <w:t>¿Qué le gusta hacer en su tiempo libre? (Multi-select)  Viajar · Leer · Deporte · Aventura · Familia · Otras</w:t>
      </w:r>
    </w:p>
    <w:p>
      <w:r>
        <w:rPr>
          <w:b/>
        </w:rPr>
        <w:t xml:space="preserve">Q7. </w:t>
      </w:r>
      <w:r>
        <w:t>¿Cuántos días sueles irte de vacaciones?  &lt;3 / 3-5 / 5-7 / &gt;7</w:t>
      </w:r>
    </w:p>
    <w:p>
      <w:r>
        <w:rPr>
          <w:b/>
        </w:rPr>
        <w:t xml:space="preserve">Q8. </w:t>
      </w:r>
      <w:r>
        <w:t>Precio máximo dispuesto a pagar — camper ESTÁNDAR al día.</w:t>
      </w:r>
    </w:p>
    <w:p>
      <w:r>
        <w:rPr>
          <w:b/>
        </w:rPr>
        <w:t xml:space="preserve">Q9. </w:t>
      </w:r>
      <w:r>
        <w:t>Precio máximo dispuesto a pagar — camper ESTÁNDAR fin de semana (2 noches).</w:t>
      </w:r>
    </w:p>
    <w:p>
      <w:r>
        <w:rPr>
          <w:b/>
        </w:rPr>
        <w:t xml:space="preserve">Q10. </w:t>
      </w:r>
      <w:r>
        <w:t>Precio máximo dispuesto a pagar — camper ESTÁNDAR semana (6 noches).</w:t>
      </w:r>
    </w:p>
    <w:p>
      <w:r>
        <w:rPr>
          <w:b/>
        </w:rPr>
        <w:t xml:space="preserve">Q11. </w:t>
      </w:r>
      <w:r>
        <w:t>Precio máximo dispuesto a pagar — camper PREMIUM al día.</w:t>
      </w:r>
    </w:p>
    <w:p>
      <w:r>
        <w:rPr>
          <w:b/>
        </w:rPr>
        <w:t xml:space="preserve">Q12. </w:t>
      </w:r>
      <w:r>
        <w:t>Precio máximo dispuesto a pagar — camper PREMIUM fin de semana (2 noches).</w:t>
      </w:r>
    </w:p>
    <w:p>
      <w:r>
        <w:rPr>
          <w:b/>
        </w:rPr>
        <w:t xml:space="preserve">Q13. </w:t>
      </w:r>
      <w:r>
        <w:t>Precio máximo dispuesto a pagar — camper PREMIUM semana (6 noches).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