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4748B"/>
          <w:sz w:val="26"/>
        </w:rPr>
        <w:t>INTERACTIVE PRICING STRATEGY — CASE STUDY</w:t>
      </w:r>
    </w:p>
    <w:p>
      <w:pPr>
        <w:jc w:val="center"/>
      </w:pPr>
      <w:r>
        <w:rPr>
          <w:b/>
          <w:color w:val="2563EB"/>
          <w:sz w:val="44"/>
        </w:rPr>
        <w:t>Nomade Vans — Pricing under Competition and Psychological Factors</w:t>
      </w:r>
    </w:p>
    <w:p>
      <w:pPr>
        <w:jc w:val="center"/>
      </w:pPr>
      <w:r>
        <w:rPr>
          <w:i/>
          <w:color w:val="64748B"/>
          <w:sz w:val="24"/>
        </w:rPr>
        <w:t>Simulator-driven edition · aligned to Nomade v3.0 — student workbook</w:t>
      </w:r>
    </w:p>
    <w:p/>
    <w:p>
      <w:pPr>
        <w:jc w:val="center"/>
      </w:pPr>
      <w:r>
        <w:rPr>
          <w:i/>
        </w:rPr>
        <w:t>© César Moreno Pascual PhD — based on Nomade v2.0 / v3.0</w:t>
        <w:br/>
      </w:r>
      <w:r>
        <w:rPr>
          <w:i/>
        </w:rPr>
        <w:t xml:space="preserve">Interactive simulator: </w:t>
      </w:r>
      <w:r>
        <w:rPr>
          <w:color w:val="2563EB"/>
          <w:u w:val="single"/>
        </w:rPr>
        <w:t>https://cmoreno34.github.io/nomade-pricing-simulator/</w:t>
      </w:r>
    </w:p>
    <w:p>
      <w:r>
        <w:br w:type="page"/>
      </w:r>
    </w:p>
    <w:p>
      <w:pPr>
        <w:pStyle w:val="Heading1"/>
      </w:pPr>
      <w:r>
        <w:rPr>
          <w:color w:val="0F172A"/>
        </w:rPr>
        <w:t>1. The case — Nomade Vans</w:t>
      </w:r>
    </w:p>
    <w:p>
      <w:r>
        <w:rPr>
          <w:b w:val="0"/>
          <w:i w:val="0"/>
          <w:sz w:val="22"/>
        </w:rPr>
        <w:t>Nomade Vans is a Spanish company focused on the design and "camperization" of sustainable vans. Customers configure their vehicle through the company website and the firm commits to a one-month delivery. Unlike most players in the category, Nomade uses a unique design aligned with sustainability values and the natural environment.</w:t>
      </w:r>
    </w:p>
    <w:p>
      <w:r>
        <w:rPr>
          <w:b w:val="0"/>
          <w:i w:val="0"/>
          <w:sz w:val="22"/>
        </w:rPr>
        <w:t>After two seasons designing and camperizing vans for direct sale, the founders are now considering a new line of business: renting camperized vans. To launch it, the company has defined two service tiers, three rental periods and a survey-based willingness-to-pay analysis.</w:t>
      </w:r>
    </w:p>
    <w:p>
      <w:r>
        <w:rPr>
          <w:b/>
          <w:i w:val="0"/>
          <w:sz w:val="22"/>
        </w:rPr>
        <w:t>Two service tiers:</w:t>
      </w:r>
    </w:p>
    <w:p>
      <w:pPr>
        <w:pStyle w:val="ListBullet"/>
      </w:pPr>
      <w:r>
        <w:t>Standard Camper Rental — base conversion with proven kitchen + bed package.</w:t>
      </w:r>
    </w:p>
    <w:p>
      <w:pPr>
        <w:pStyle w:val="ListBullet"/>
      </w:pPr>
      <w:r>
        <w:t>Premium Camper Rental — hybrid model, extra bed, indoor shower, air conditioning, solar power, extra kitchenware.</w:t>
      </w:r>
    </w:p>
    <w:p>
      <w:r>
        <w:rPr>
          <w:b/>
          <w:i w:val="0"/>
          <w:sz w:val="22"/>
        </w:rPr>
        <w:t>Three rental periods:</w:t>
      </w:r>
    </w:p>
    <w:p>
      <w:pPr>
        <w:pStyle w:val="ListBullet"/>
      </w:pPr>
      <w:r>
        <w:t>Day — single-day rental.</w:t>
      </w:r>
    </w:p>
    <w:p>
      <w:pPr>
        <w:pStyle w:val="ListBullet"/>
      </w:pPr>
      <w:r>
        <w:t>Weekend — 2 nights.</w:t>
      </w:r>
    </w:p>
    <w:p>
      <w:pPr>
        <w:pStyle w:val="ListBullet"/>
      </w:pPr>
      <w:r>
        <w:t>Week — 6 nights.</w:t>
      </w:r>
    </w:p>
    <w:p>
      <w:r>
        <w:rPr>
          <w:b w:val="0"/>
          <w:i/>
          <w:color w:val="64748B"/>
          <w:sz w:val="22"/>
        </w:rPr>
        <w:t>The combination of tiers × periods defines a 2 × 3 price structure.</w:t>
      </w:r>
    </w:p>
    <w:p>
      <w:r>
        <w:rPr>
          <w:b w:val="0"/>
          <w:i w:val="0"/>
          <w:sz w:val="22"/>
        </w:rPr>
        <w:t>To calibrate willingness-to-pay, Nomade surveyed 95 people, asking about demographics, travel habits and the maximum price they would be willing to pay in each of the six rental scenarios. The marketing department also identified three competitors in the relevant market — Further VAN, People Camper and Ocean Vans — currently publishing daily tariffs only.</w:t>
      </w:r>
    </w:p>
    <w:tbl>
      <w:tblPr>
        <w:tblW w:type="auto" w:w="0"/>
        <w:tblLook w:firstColumn="1" w:firstRow="1" w:lastColumn="0" w:lastRow="0" w:noHBand="0" w:noVBand="1" w:val="04A0"/>
      </w:tblPr>
      <w:tblGrid>
        <w:gridCol w:w="8640"/>
      </w:tblGrid>
      <w:tr>
        <w:tc>
          <w:tcPr>
            <w:tcW w:type="dxa" w:w="8640"/>
            <w:shd w:fill="F5F3FF"/>
          </w:tcPr>
          <w:p>
            <w:r>
              <w:rPr>
                <w:b/>
                <w:color w:val="5B21B6"/>
              </w:rPr>
              <w:t xml:space="preserve">Size parity — the competitive set  </w:t>
            </w:r>
            <w:r>
              <w:t>All four players are SIMILAR-SIZED operators in the Spanish sustainable-camper niche. Approximate fleet size: Nomade &lt; 30 vans, Further VAN ~ 50, People Camper ~ 60, Ocean Vans ~ 55. This is a PEER SET, not a David-vs-Goliath fight. The implication matters: the cost-structure advantage of the incumbents is LIMITED — their price premium is mostly driven by BRAND RECOGNITION and first-mover status, not by radically lower unit costs. Nomade can therefore close the gap by building brand perception on its stronger attributes (sustainability, customisation, design).</w:t>
            </w:r>
          </w:p>
        </w:tc>
      </w:tr>
    </w:tbl>
    <w:p/>
    <w:p>
      <w:pPr>
        <w:pStyle w:val="Heading1"/>
      </w:pPr>
      <w:r>
        <w:rPr>
          <w:color w:val="0F172A"/>
        </w:rPr>
        <w:t>2. Company summary — Nomade vs. market</w:t>
      </w:r>
    </w:p>
    <w:p>
      <w:r>
        <w:rPr>
          <w:b w:val="0"/>
          <w:i w:val="0"/>
          <w:sz w:val="22"/>
        </w:rPr>
        <w:t>Nomade Vans is a NEW entrant in the campervan rental market, specialised in sustainable and highly customisable van designs with fast delivery (within 1 month). Despite its superior features it faces the classic challenge of low brand awareness while competing against well-established incumbents.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Attribute</w:t>
            </w:r>
          </w:p>
        </w:tc>
        <w:tc>
          <w:tcPr>
            <w:tcW w:type="dxa" w:w="2880"/>
          </w:tcPr>
          <w:p>
            <w:r>
              <w:rPr>
                <w:b/>
              </w:rPr>
              <w:t>Nomade</w:t>
            </w:r>
          </w:p>
        </w:tc>
        <w:tc>
          <w:tcPr>
            <w:tcW w:type="dxa" w:w="2880"/>
          </w:tcPr>
          <w:p>
            <w:r>
              <w:rPr>
                <w:b/>
              </w:rPr>
              <w:t>Market average</w:t>
            </w:r>
          </w:p>
        </w:tc>
      </w:tr>
      <w:tr>
        <w:tc>
          <w:tcPr>
            <w:tcW w:type="dxa" w:w="2880"/>
          </w:tcPr>
          <w:p>
            <w:r>
              <w:t>Market position</w:t>
            </w:r>
          </w:p>
        </w:tc>
        <w:tc>
          <w:tcPr>
            <w:tcW w:type="dxa" w:w="2880"/>
          </w:tcPr>
          <w:p>
            <w:r>
              <w:t>NEW ENTRANT</w:t>
            </w:r>
          </w:p>
        </w:tc>
        <w:tc>
          <w:tcPr>
            <w:tcW w:type="dxa" w:w="2880"/>
          </w:tcPr>
          <w:p>
            <w:r>
              <w:t>Established (8–9/10)</w:t>
            </w:r>
          </w:p>
        </w:tc>
      </w:tr>
      <w:tr>
        <w:tc>
          <w:tcPr>
            <w:tcW w:type="dxa" w:w="2880"/>
          </w:tcPr>
          <w:p>
            <w:r>
              <w:t>Sustainability</w:t>
            </w:r>
          </w:p>
        </w:tc>
        <w:tc>
          <w:tcPr>
            <w:tcW w:type="dxa" w:w="2880"/>
          </w:tcPr>
          <w:p>
            <w:r>
              <w:t>10/10</w:t>
            </w:r>
          </w:p>
        </w:tc>
        <w:tc>
          <w:tcPr>
            <w:tcW w:type="dxa" w:w="2880"/>
          </w:tcPr>
          <w:p>
            <w:r>
              <w:t>4–6/10</w:t>
            </w:r>
          </w:p>
        </w:tc>
      </w:tr>
      <w:tr>
        <w:tc>
          <w:tcPr>
            <w:tcW w:type="dxa" w:w="2880"/>
          </w:tcPr>
          <w:p>
            <w:r>
              <w:t>Customisation</w:t>
            </w:r>
          </w:p>
        </w:tc>
        <w:tc>
          <w:tcPr>
            <w:tcW w:type="dxa" w:w="2880"/>
          </w:tcPr>
          <w:p>
            <w:r>
              <w:t>10/10</w:t>
            </w:r>
          </w:p>
        </w:tc>
        <w:tc>
          <w:tcPr>
            <w:tcW w:type="dxa" w:w="2880"/>
          </w:tcPr>
          <w:p>
            <w:r>
              <w:t>3–6/10</w:t>
            </w:r>
          </w:p>
        </w:tc>
      </w:tr>
      <w:tr>
        <w:tc>
          <w:tcPr>
            <w:tcW w:type="dxa" w:w="2880"/>
          </w:tcPr>
          <w:p>
            <w:r>
              <w:t>Brand recognition</w:t>
            </w:r>
          </w:p>
        </w:tc>
        <w:tc>
          <w:tcPr>
            <w:tcW w:type="dxa" w:w="2880"/>
          </w:tcPr>
          <w:p>
            <w:r>
              <w:t>3/10</w:t>
            </w:r>
          </w:p>
        </w:tc>
        <w:tc>
          <w:tcPr>
            <w:tcW w:type="dxa" w:w="2880"/>
          </w:tcPr>
          <w:p>
            <w:r>
              <w:t>8–9/10</w:t>
            </w:r>
          </w:p>
        </w:tc>
      </w:tr>
      <w:tr>
        <w:tc>
          <w:tcPr>
            <w:tcW w:type="dxa" w:w="2880"/>
          </w:tcPr>
          <w:p>
            <w:r>
              <w:t>Service quality</w:t>
            </w:r>
          </w:p>
        </w:tc>
        <w:tc>
          <w:tcPr>
            <w:tcW w:type="dxa" w:w="2880"/>
          </w:tcPr>
          <w:p>
            <w:r>
              <w:t>7/10</w:t>
            </w:r>
          </w:p>
        </w:tc>
        <w:tc>
          <w:tcPr>
            <w:tcW w:type="dxa" w:w="2880"/>
          </w:tcPr>
          <w:p>
            <w:r>
              <w:t>7–9/10</w:t>
            </w:r>
          </w:p>
        </w:tc>
      </w:tr>
    </w:tbl>
    <w:p/>
    <w:tbl>
      <w:tblPr>
        <w:tblW w:type="auto" w:w="0"/>
        <w:tblLook w:firstColumn="1" w:firstRow="1" w:lastColumn="0" w:lastRow="0" w:noHBand="0" w:noVBand="1" w:val="04A0"/>
      </w:tblPr>
      <w:tblGrid>
        <w:gridCol w:w="8640"/>
      </w:tblGrid>
      <w:tr>
        <w:tc>
          <w:tcPr>
            <w:tcW w:type="dxa" w:w="8640"/>
            <w:shd w:fill="FEF3C7"/>
          </w:tcPr>
          <w:p>
            <w:r>
              <w:rPr>
                <w:b/>
                <w:color w:val="92400E"/>
              </w:rPr>
              <w:t xml:space="preserve">⚠ Data note — incomplete dataset (v3.0)  </w:t>
            </w:r>
            <w:r>
              <w:t>Competitor prices are only published as DAILY tariffs. Weekend and weekly rates in the simulator are ESTIMATES aggregated from the daily tariff (industry convention: weekend ≈ 5–10 % per-day discount, week ≈ 20–30 % total discount). Treat them as reference scenarios. Nomade WTP data itself is real (95 respondents).</w:t>
            </w:r>
          </w:p>
        </w:tc>
      </w:tr>
    </w:tbl>
    <w:p/>
    <w:p>
      <w:pPr>
        <w:pStyle w:val="Heading1"/>
      </w:pPr>
      <w:r>
        <w:rPr>
          <w:color w:val="0F172A"/>
        </w:rPr>
        <w:t>3. Data available</w:t>
      </w:r>
    </w:p>
    <w:p>
      <w:pPr>
        <w:pStyle w:val="Heading2"/>
      </w:pPr>
      <w:r>
        <w:rPr>
          <w:color w:val="0F172A"/>
        </w:rPr>
        <w:t>3.1 Survey — Standard camper (WTP)</w:t>
      </w:r>
    </w:p>
    <w:p>
      <w:r>
        <w:rPr>
          <w:b/>
          <w:i w:val="0"/>
          <w:sz w:val="22"/>
        </w:rPr>
        <w:t>Daily rentals</w:t>
      </w:r>
    </w:p>
    <w:tbl>
      <w:tblPr>
        <w:tblStyle w:val="LightGrid-Accent1"/>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t>Price (€)</w:t>
            </w:r>
          </w:p>
        </w:tc>
        <w:tc>
          <w:tcPr>
            <w:tcW w:type="dxa" w:w="864"/>
          </w:tcPr>
          <w:p>
            <w:r>
              <w:t>50</w:t>
            </w:r>
          </w:p>
        </w:tc>
        <w:tc>
          <w:tcPr>
            <w:tcW w:type="dxa" w:w="864"/>
          </w:tcPr>
          <w:p>
            <w:r>
              <w:t>60</w:t>
            </w:r>
          </w:p>
        </w:tc>
        <w:tc>
          <w:tcPr>
            <w:tcW w:type="dxa" w:w="864"/>
          </w:tcPr>
          <w:p>
            <w:r>
              <w:t>70</w:t>
            </w:r>
          </w:p>
        </w:tc>
        <w:tc>
          <w:tcPr>
            <w:tcW w:type="dxa" w:w="864"/>
          </w:tcPr>
          <w:p>
            <w:r>
              <w:t>80</w:t>
            </w:r>
          </w:p>
        </w:tc>
        <w:tc>
          <w:tcPr>
            <w:tcW w:type="dxa" w:w="864"/>
          </w:tcPr>
          <w:p>
            <w:r>
              <w:t>90</w:t>
            </w:r>
          </w:p>
        </w:tc>
        <w:tc>
          <w:tcPr>
            <w:tcW w:type="dxa" w:w="864"/>
          </w:tcPr>
          <w:p>
            <w:r>
              <w:t>100</w:t>
            </w:r>
          </w:p>
        </w:tc>
        <w:tc>
          <w:tcPr>
            <w:tcW w:type="dxa" w:w="864"/>
          </w:tcPr>
          <w:p>
            <w:r>
              <w:t>110</w:t>
            </w:r>
          </w:p>
        </w:tc>
        <w:tc>
          <w:tcPr>
            <w:tcW w:type="dxa" w:w="864"/>
          </w:tcPr>
          <w:p>
            <w:r>
              <w:t>120</w:t>
            </w:r>
          </w:p>
        </w:tc>
        <w:tc>
          <w:tcPr>
            <w:tcW w:type="dxa" w:w="864"/>
          </w:tcPr>
          <w:p>
            <w:r>
              <w:t>130</w:t>
            </w:r>
          </w:p>
        </w:tc>
      </w:tr>
      <w:tr>
        <w:tc>
          <w:tcPr>
            <w:tcW w:type="dxa" w:w="864"/>
          </w:tcPr>
          <w:p>
            <w:r>
              <w:t>Responses</w:t>
            </w:r>
          </w:p>
        </w:tc>
        <w:tc>
          <w:tcPr>
            <w:tcW w:type="dxa" w:w="864"/>
          </w:tcPr>
          <w:p>
            <w:r>
              <w:t>17</w:t>
            </w:r>
          </w:p>
        </w:tc>
        <w:tc>
          <w:tcPr>
            <w:tcW w:type="dxa" w:w="864"/>
          </w:tcPr>
          <w:p>
            <w:r>
              <w:t>14</w:t>
            </w:r>
          </w:p>
        </w:tc>
        <w:tc>
          <w:tcPr>
            <w:tcW w:type="dxa" w:w="864"/>
          </w:tcPr>
          <w:p>
            <w:r>
              <w:t>10</w:t>
            </w:r>
          </w:p>
        </w:tc>
        <w:tc>
          <w:tcPr>
            <w:tcW w:type="dxa" w:w="864"/>
          </w:tcPr>
          <w:p>
            <w:r>
              <w:t>16</w:t>
            </w:r>
          </w:p>
        </w:tc>
        <w:tc>
          <w:tcPr>
            <w:tcW w:type="dxa" w:w="864"/>
          </w:tcPr>
          <w:p>
            <w:r>
              <w:t>12</w:t>
            </w:r>
          </w:p>
        </w:tc>
        <w:tc>
          <w:tcPr>
            <w:tcW w:type="dxa" w:w="864"/>
          </w:tcPr>
          <w:p>
            <w:r>
              <w:t>19</w:t>
            </w:r>
          </w:p>
        </w:tc>
        <w:tc>
          <w:tcPr>
            <w:tcW w:type="dxa" w:w="864"/>
          </w:tcPr>
          <w:p>
            <w:r>
              <w:t>2</w:t>
            </w:r>
          </w:p>
        </w:tc>
        <w:tc>
          <w:tcPr>
            <w:tcW w:type="dxa" w:w="864"/>
          </w:tcPr>
          <w:p>
            <w:r>
              <w:t>4</w:t>
            </w:r>
          </w:p>
        </w:tc>
        <w:tc>
          <w:tcPr>
            <w:tcW w:type="dxa" w:w="864"/>
          </w:tcPr>
          <w:p>
            <w:r>
              <w:t>1</w:t>
            </w:r>
          </w:p>
        </w:tc>
      </w:tr>
    </w:tbl>
    <w:p/>
    <w:p>
      <w:r>
        <w:rPr>
          <w:b/>
          <w:i w:val="0"/>
          <w:sz w:val="22"/>
        </w:rPr>
        <w:t>Weekend (2-night) rentals</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Price (€)</w:t>
            </w:r>
          </w:p>
        </w:tc>
        <w:tc>
          <w:tcPr>
            <w:tcW w:type="dxa" w:w="1080"/>
          </w:tcPr>
          <w:p>
            <w:r>
              <w:t>80</w:t>
            </w:r>
          </w:p>
        </w:tc>
        <w:tc>
          <w:tcPr>
            <w:tcW w:type="dxa" w:w="1080"/>
          </w:tcPr>
          <w:p>
            <w:r>
              <w:t>100</w:t>
            </w:r>
          </w:p>
        </w:tc>
        <w:tc>
          <w:tcPr>
            <w:tcW w:type="dxa" w:w="1080"/>
          </w:tcPr>
          <w:p>
            <w:r>
              <w:t>120</w:t>
            </w:r>
          </w:p>
        </w:tc>
        <w:tc>
          <w:tcPr>
            <w:tcW w:type="dxa" w:w="1080"/>
          </w:tcPr>
          <w:p>
            <w:r>
              <w:t>140</w:t>
            </w:r>
          </w:p>
        </w:tc>
        <w:tc>
          <w:tcPr>
            <w:tcW w:type="dxa" w:w="1080"/>
          </w:tcPr>
          <w:p>
            <w:r>
              <w:t>160</w:t>
            </w:r>
          </w:p>
        </w:tc>
        <w:tc>
          <w:tcPr>
            <w:tcW w:type="dxa" w:w="1080"/>
          </w:tcPr>
          <w:p>
            <w:r>
              <w:t>180</w:t>
            </w:r>
          </w:p>
        </w:tc>
        <w:tc>
          <w:tcPr>
            <w:tcW w:type="dxa" w:w="1080"/>
          </w:tcPr>
          <w:p>
            <w:r>
              <w:t>200</w:t>
            </w:r>
          </w:p>
        </w:tc>
      </w:tr>
      <w:tr>
        <w:tc>
          <w:tcPr>
            <w:tcW w:type="dxa" w:w="1080"/>
          </w:tcPr>
          <w:p>
            <w:r>
              <w:t>Responses</w:t>
            </w:r>
          </w:p>
        </w:tc>
        <w:tc>
          <w:tcPr>
            <w:tcW w:type="dxa" w:w="1080"/>
          </w:tcPr>
          <w:p>
            <w:r>
              <w:t>12</w:t>
            </w:r>
          </w:p>
        </w:tc>
        <w:tc>
          <w:tcPr>
            <w:tcW w:type="dxa" w:w="1080"/>
          </w:tcPr>
          <w:p>
            <w:r>
              <w:t>7</w:t>
            </w:r>
          </w:p>
        </w:tc>
        <w:tc>
          <w:tcPr>
            <w:tcW w:type="dxa" w:w="1080"/>
          </w:tcPr>
          <w:p>
            <w:r>
              <w:t>18</w:t>
            </w:r>
          </w:p>
        </w:tc>
        <w:tc>
          <w:tcPr>
            <w:tcW w:type="dxa" w:w="1080"/>
          </w:tcPr>
          <w:p>
            <w:r>
              <w:t>13</w:t>
            </w:r>
          </w:p>
        </w:tc>
        <w:tc>
          <w:tcPr>
            <w:tcW w:type="dxa" w:w="1080"/>
          </w:tcPr>
          <w:p>
            <w:r>
              <w:t>11</w:t>
            </w:r>
          </w:p>
        </w:tc>
        <w:tc>
          <w:tcPr>
            <w:tcW w:type="dxa" w:w="1080"/>
          </w:tcPr>
          <w:p>
            <w:r>
              <w:t>15</w:t>
            </w:r>
          </w:p>
        </w:tc>
        <w:tc>
          <w:tcPr>
            <w:tcW w:type="dxa" w:w="1080"/>
          </w:tcPr>
          <w:p>
            <w:r>
              <w:t>11</w:t>
            </w:r>
          </w:p>
        </w:tc>
      </w:tr>
    </w:tbl>
    <w:p/>
    <w:p>
      <w:r>
        <w:rPr>
          <w:b/>
          <w:i w:val="0"/>
          <w:sz w:val="22"/>
        </w:rPr>
        <w:t>Weekly (7-night) rentals</w:t>
      </w:r>
    </w:p>
    <w:tbl>
      <w:tblPr>
        <w:tblStyle w:val="LightGrid-Accent1"/>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t>Price (€)</w:t>
            </w:r>
          </w:p>
        </w:tc>
        <w:tc>
          <w:tcPr>
            <w:tcW w:type="dxa" w:w="864"/>
          </w:tcPr>
          <w:p>
            <w:r>
              <w:t>240</w:t>
            </w:r>
          </w:p>
        </w:tc>
        <w:tc>
          <w:tcPr>
            <w:tcW w:type="dxa" w:w="864"/>
          </w:tcPr>
          <w:p>
            <w:r>
              <w:t>300</w:t>
            </w:r>
          </w:p>
        </w:tc>
        <w:tc>
          <w:tcPr>
            <w:tcW w:type="dxa" w:w="864"/>
          </w:tcPr>
          <w:p>
            <w:r>
              <w:t>360</w:t>
            </w:r>
          </w:p>
        </w:tc>
        <w:tc>
          <w:tcPr>
            <w:tcW w:type="dxa" w:w="864"/>
          </w:tcPr>
          <w:p>
            <w:r>
              <w:t>420</w:t>
            </w:r>
          </w:p>
        </w:tc>
        <w:tc>
          <w:tcPr>
            <w:tcW w:type="dxa" w:w="864"/>
          </w:tcPr>
          <w:p>
            <w:r>
              <w:t>480</w:t>
            </w:r>
          </w:p>
        </w:tc>
        <w:tc>
          <w:tcPr>
            <w:tcW w:type="dxa" w:w="864"/>
          </w:tcPr>
          <w:p>
            <w:r>
              <w:t>540</w:t>
            </w:r>
          </w:p>
        </w:tc>
        <w:tc>
          <w:tcPr>
            <w:tcW w:type="dxa" w:w="864"/>
          </w:tcPr>
          <w:p>
            <w:r>
              <w:t>600</w:t>
            </w:r>
          </w:p>
        </w:tc>
        <w:tc>
          <w:tcPr>
            <w:tcW w:type="dxa" w:w="864"/>
          </w:tcPr>
          <w:p>
            <w:r>
              <w:t>660</w:t>
            </w:r>
          </w:p>
        </w:tc>
        <w:tc>
          <w:tcPr>
            <w:tcW w:type="dxa" w:w="864"/>
          </w:tcPr>
          <w:p>
            <w:r>
              <w:t>720</w:t>
            </w:r>
          </w:p>
        </w:tc>
      </w:tr>
      <w:tr>
        <w:tc>
          <w:tcPr>
            <w:tcW w:type="dxa" w:w="864"/>
          </w:tcPr>
          <w:p>
            <w:r>
              <w:t>Responses</w:t>
            </w:r>
          </w:p>
        </w:tc>
        <w:tc>
          <w:tcPr>
            <w:tcW w:type="dxa" w:w="864"/>
          </w:tcPr>
          <w:p>
            <w:r>
              <w:t>14</w:t>
            </w:r>
          </w:p>
        </w:tc>
        <w:tc>
          <w:tcPr>
            <w:tcW w:type="dxa" w:w="864"/>
          </w:tcPr>
          <w:p>
            <w:r>
              <w:t>10</w:t>
            </w:r>
          </w:p>
        </w:tc>
        <w:tc>
          <w:tcPr>
            <w:tcW w:type="dxa" w:w="864"/>
          </w:tcPr>
          <w:p>
            <w:r>
              <w:t>10</w:t>
            </w:r>
          </w:p>
        </w:tc>
        <w:tc>
          <w:tcPr>
            <w:tcW w:type="dxa" w:w="864"/>
          </w:tcPr>
          <w:p>
            <w:r>
              <w:t>15</w:t>
            </w:r>
          </w:p>
        </w:tc>
        <w:tc>
          <w:tcPr>
            <w:tcW w:type="dxa" w:w="864"/>
          </w:tcPr>
          <w:p>
            <w:r>
              <w:t>15</w:t>
            </w:r>
          </w:p>
        </w:tc>
        <w:tc>
          <w:tcPr>
            <w:tcW w:type="dxa" w:w="864"/>
          </w:tcPr>
          <w:p>
            <w:r>
              <w:t>8</w:t>
            </w:r>
          </w:p>
        </w:tc>
        <w:tc>
          <w:tcPr>
            <w:tcW w:type="dxa" w:w="864"/>
          </w:tcPr>
          <w:p>
            <w:r>
              <w:t>10</w:t>
            </w:r>
          </w:p>
        </w:tc>
        <w:tc>
          <w:tcPr>
            <w:tcW w:type="dxa" w:w="864"/>
          </w:tcPr>
          <w:p>
            <w:r>
              <w:t>3</w:t>
            </w:r>
          </w:p>
        </w:tc>
        <w:tc>
          <w:tcPr>
            <w:tcW w:type="dxa" w:w="864"/>
          </w:tcPr>
          <w:p>
            <w:r>
              <w:t>6</w:t>
            </w:r>
          </w:p>
        </w:tc>
      </w:tr>
    </w:tbl>
    <w:p/>
    <w:p>
      <w:pPr>
        <w:pStyle w:val="Heading2"/>
      </w:pPr>
      <w:r>
        <w:rPr>
          <w:color w:val="0F172A"/>
        </w:rPr>
        <w:t>3.2 Survey — Premium camper (WTP)</w:t>
      </w:r>
    </w:p>
    <w:p>
      <w:r>
        <w:rPr>
          <w:b/>
          <w:i w:val="0"/>
          <w:sz w:val="22"/>
        </w:rPr>
        <w:t>Daily rentals</w:t>
      </w:r>
    </w:p>
    <w:tbl>
      <w:tblPr>
        <w:tblStyle w:val="LightGrid-Accent1"/>
        <w:tblW w:type="auto" w:w="0"/>
        <w:tblLook w:firstColumn="1" w:firstRow="1" w:lastColumn="0" w:lastRow="0" w:noHBand="0" w:noVBand="1" w:val="04A0"/>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r>
              <w:t>Price (€)</w:t>
            </w:r>
          </w:p>
        </w:tc>
        <w:tc>
          <w:tcPr>
            <w:tcW w:type="dxa" w:w="617"/>
          </w:tcPr>
          <w:p>
            <w:r>
              <w:t>60</w:t>
            </w:r>
          </w:p>
        </w:tc>
        <w:tc>
          <w:tcPr>
            <w:tcW w:type="dxa" w:w="617"/>
          </w:tcPr>
          <w:p>
            <w:r>
              <w:t>70</w:t>
            </w:r>
          </w:p>
        </w:tc>
        <w:tc>
          <w:tcPr>
            <w:tcW w:type="dxa" w:w="617"/>
          </w:tcPr>
          <w:p>
            <w:r>
              <w:t>80</w:t>
            </w:r>
          </w:p>
        </w:tc>
        <w:tc>
          <w:tcPr>
            <w:tcW w:type="dxa" w:w="617"/>
          </w:tcPr>
          <w:p>
            <w:r>
              <w:t>90</w:t>
            </w:r>
          </w:p>
        </w:tc>
        <w:tc>
          <w:tcPr>
            <w:tcW w:type="dxa" w:w="617"/>
          </w:tcPr>
          <w:p>
            <w:r>
              <w:t>100</w:t>
            </w:r>
          </w:p>
        </w:tc>
        <w:tc>
          <w:tcPr>
            <w:tcW w:type="dxa" w:w="617"/>
          </w:tcPr>
          <w:p>
            <w:r>
              <w:t>110</w:t>
            </w:r>
          </w:p>
        </w:tc>
        <w:tc>
          <w:tcPr>
            <w:tcW w:type="dxa" w:w="617"/>
          </w:tcPr>
          <w:p>
            <w:r>
              <w:t>120</w:t>
            </w:r>
          </w:p>
        </w:tc>
        <w:tc>
          <w:tcPr>
            <w:tcW w:type="dxa" w:w="617"/>
          </w:tcPr>
          <w:p>
            <w:r>
              <w:t>130</w:t>
            </w:r>
          </w:p>
        </w:tc>
        <w:tc>
          <w:tcPr>
            <w:tcW w:type="dxa" w:w="617"/>
          </w:tcPr>
          <w:p>
            <w:r>
              <w:t>140</w:t>
            </w:r>
          </w:p>
        </w:tc>
        <w:tc>
          <w:tcPr>
            <w:tcW w:type="dxa" w:w="617"/>
          </w:tcPr>
          <w:p>
            <w:r>
              <w:t>150</w:t>
            </w:r>
          </w:p>
        </w:tc>
        <w:tc>
          <w:tcPr>
            <w:tcW w:type="dxa" w:w="617"/>
          </w:tcPr>
          <w:p>
            <w:r>
              <w:t>160</w:t>
            </w:r>
          </w:p>
        </w:tc>
        <w:tc>
          <w:tcPr>
            <w:tcW w:type="dxa" w:w="617"/>
          </w:tcPr>
          <w:p>
            <w:r>
              <w:t>180</w:t>
            </w:r>
          </w:p>
        </w:tc>
        <w:tc>
          <w:tcPr>
            <w:tcW w:type="dxa" w:w="617"/>
          </w:tcPr>
          <w:p>
            <w:r>
              <w:t>200</w:t>
            </w:r>
          </w:p>
        </w:tc>
      </w:tr>
      <w:tr>
        <w:tc>
          <w:tcPr>
            <w:tcW w:type="dxa" w:w="617"/>
          </w:tcPr>
          <w:p>
            <w:r>
              <w:t>Responses</w:t>
            </w:r>
          </w:p>
        </w:tc>
        <w:tc>
          <w:tcPr>
            <w:tcW w:type="dxa" w:w="617"/>
          </w:tcPr>
          <w:p>
            <w:r>
              <w:t>10</w:t>
            </w:r>
          </w:p>
        </w:tc>
        <w:tc>
          <w:tcPr>
            <w:tcW w:type="dxa" w:w="617"/>
          </w:tcPr>
          <w:p>
            <w:r>
              <w:t>5</w:t>
            </w:r>
          </w:p>
        </w:tc>
        <w:tc>
          <w:tcPr>
            <w:tcW w:type="dxa" w:w="617"/>
          </w:tcPr>
          <w:p>
            <w:r>
              <w:t>12</w:t>
            </w:r>
          </w:p>
        </w:tc>
        <w:tc>
          <w:tcPr>
            <w:tcW w:type="dxa" w:w="617"/>
          </w:tcPr>
          <w:p>
            <w:r>
              <w:t>8</w:t>
            </w:r>
          </w:p>
        </w:tc>
        <w:tc>
          <w:tcPr>
            <w:tcW w:type="dxa" w:w="617"/>
          </w:tcPr>
          <w:p>
            <w:r>
              <w:t>14</w:t>
            </w:r>
          </w:p>
        </w:tc>
        <w:tc>
          <w:tcPr>
            <w:tcW w:type="dxa" w:w="617"/>
          </w:tcPr>
          <w:p>
            <w:r>
              <w:t>12</w:t>
            </w:r>
          </w:p>
        </w:tc>
        <w:tc>
          <w:tcPr>
            <w:tcW w:type="dxa" w:w="617"/>
          </w:tcPr>
          <w:p>
            <w:r>
              <w:t>19</w:t>
            </w:r>
          </w:p>
        </w:tc>
        <w:tc>
          <w:tcPr>
            <w:tcW w:type="dxa" w:w="617"/>
          </w:tcPr>
          <w:p>
            <w:r>
              <w:t>5</w:t>
            </w:r>
          </w:p>
        </w:tc>
        <w:tc>
          <w:tcPr>
            <w:tcW w:type="dxa" w:w="617"/>
          </w:tcPr>
          <w:p>
            <w:r>
              <w:t>3</w:t>
            </w:r>
          </w:p>
        </w:tc>
        <w:tc>
          <w:tcPr>
            <w:tcW w:type="dxa" w:w="617"/>
          </w:tcPr>
          <w:p>
            <w:r>
              <w:t>4</w:t>
            </w:r>
          </w:p>
        </w:tc>
        <w:tc>
          <w:tcPr>
            <w:tcW w:type="dxa" w:w="617"/>
          </w:tcPr>
          <w:p>
            <w:r>
              <w:t>1</w:t>
            </w:r>
          </w:p>
        </w:tc>
        <w:tc>
          <w:tcPr>
            <w:tcW w:type="dxa" w:w="617"/>
          </w:tcPr>
          <w:p>
            <w:r>
              <w:t>1</w:t>
            </w:r>
          </w:p>
        </w:tc>
        <w:tc>
          <w:tcPr>
            <w:tcW w:type="dxa" w:w="617"/>
          </w:tcPr>
          <w:p>
            <w:r>
              <w:t>1</w:t>
            </w:r>
          </w:p>
        </w:tc>
      </w:tr>
    </w:tbl>
    <w:p/>
    <w:p>
      <w:r>
        <w:rPr>
          <w:b/>
          <w:i w:val="0"/>
          <w:sz w:val="22"/>
        </w:rPr>
        <w:t>Weekend (2-night) rentals</w:t>
      </w:r>
    </w:p>
    <w:tbl>
      <w:tblPr>
        <w:tblStyle w:val="LightGrid-Accent1"/>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t>Price (€)</w:t>
            </w:r>
          </w:p>
        </w:tc>
        <w:tc>
          <w:tcPr>
            <w:tcW w:type="dxa" w:w="864"/>
          </w:tcPr>
          <w:p>
            <w:r>
              <w:t>120</w:t>
            </w:r>
          </w:p>
        </w:tc>
        <w:tc>
          <w:tcPr>
            <w:tcW w:type="dxa" w:w="864"/>
          </w:tcPr>
          <w:p>
            <w:r>
              <w:t>140</w:t>
            </w:r>
          </w:p>
        </w:tc>
        <w:tc>
          <w:tcPr>
            <w:tcW w:type="dxa" w:w="864"/>
          </w:tcPr>
          <w:p>
            <w:r>
              <w:t>160</w:t>
            </w:r>
          </w:p>
        </w:tc>
        <w:tc>
          <w:tcPr>
            <w:tcW w:type="dxa" w:w="864"/>
          </w:tcPr>
          <w:p>
            <w:r>
              <w:t>180</w:t>
            </w:r>
          </w:p>
        </w:tc>
        <w:tc>
          <w:tcPr>
            <w:tcW w:type="dxa" w:w="864"/>
          </w:tcPr>
          <w:p>
            <w:r>
              <w:t>200</w:t>
            </w:r>
          </w:p>
        </w:tc>
        <w:tc>
          <w:tcPr>
            <w:tcW w:type="dxa" w:w="864"/>
          </w:tcPr>
          <w:p>
            <w:r>
              <w:t>220</w:t>
            </w:r>
          </w:p>
        </w:tc>
        <w:tc>
          <w:tcPr>
            <w:tcW w:type="dxa" w:w="864"/>
          </w:tcPr>
          <w:p>
            <w:r>
              <w:t>240</w:t>
            </w:r>
          </w:p>
        </w:tc>
        <w:tc>
          <w:tcPr>
            <w:tcW w:type="dxa" w:w="864"/>
          </w:tcPr>
          <w:p>
            <w:r>
              <w:t>260</w:t>
            </w:r>
          </w:p>
        </w:tc>
        <w:tc>
          <w:tcPr>
            <w:tcW w:type="dxa" w:w="864"/>
          </w:tcPr>
          <w:p>
            <w:r>
              <w:t>280</w:t>
            </w:r>
          </w:p>
        </w:tc>
      </w:tr>
      <w:tr>
        <w:tc>
          <w:tcPr>
            <w:tcW w:type="dxa" w:w="864"/>
          </w:tcPr>
          <w:p>
            <w:r>
              <w:t>Responses</w:t>
            </w:r>
          </w:p>
        </w:tc>
        <w:tc>
          <w:tcPr>
            <w:tcW w:type="dxa" w:w="864"/>
          </w:tcPr>
          <w:p>
            <w:r>
              <w:t>10</w:t>
            </w:r>
          </w:p>
        </w:tc>
        <w:tc>
          <w:tcPr>
            <w:tcW w:type="dxa" w:w="864"/>
          </w:tcPr>
          <w:p>
            <w:r>
              <w:t>6</w:t>
            </w:r>
          </w:p>
        </w:tc>
        <w:tc>
          <w:tcPr>
            <w:tcW w:type="dxa" w:w="864"/>
          </w:tcPr>
          <w:p>
            <w:r>
              <w:t>13</w:t>
            </w:r>
          </w:p>
        </w:tc>
        <w:tc>
          <w:tcPr>
            <w:tcW w:type="dxa" w:w="864"/>
          </w:tcPr>
          <w:p>
            <w:r>
              <w:t>8</w:t>
            </w:r>
          </w:p>
        </w:tc>
        <w:tc>
          <w:tcPr>
            <w:tcW w:type="dxa" w:w="864"/>
          </w:tcPr>
          <w:p>
            <w:r>
              <w:t>22</w:t>
            </w:r>
          </w:p>
        </w:tc>
        <w:tc>
          <w:tcPr>
            <w:tcW w:type="dxa" w:w="864"/>
          </w:tcPr>
          <w:p>
            <w:r>
              <w:t>2</w:t>
            </w:r>
          </w:p>
        </w:tc>
        <w:tc>
          <w:tcPr>
            <w:tcW w:type="dxa" w:w="864"/>
          </w:tcPr>
          <w:p>
            <w:r>
              <w:t>18</w:t>
            </w:r>
          </w:p>
        </w:tc>
        <w:tc>
          <w:tcPr>
            <w:tcW w:type="dxa" w:w="864"/>
          </w:tcPr>
          <w:p>
            <w:r>
              <w:t>4</w:t>
            </w:r>
          </w:p>
        </w:tc>
        <w:tc>
          <w:tcPr>
            <w:tcW w:type="dxa" w:w="864"/>
          </w:tcPr>
          <w:p>
            <w:r>
              <w:t>2</w:t>
            </w:r>
          </w:p>
        </w:tc>
      </w:tr>
    </w:tbl>
    <w:p/>
    <w:p>
      <w:r>
        <w:rPr>
          <w:b/>
          <w:i w:val="0"/>
          <w:sz w:val="22"/>
        </w:rPr>
        <w:t>Weekly (7-night) rentals</w:t>
      </w:r>
    </w:p>
    <w:tbl>
      <w:tblPr>
        <w:tblStyle w:val="LightGrid-Accent1"/>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t>Price (€)</w:t>
            </w:r>
          </w:p>
        </w:tc>
        <w:tc>
          <w:tcPr>
            <w:tcW w:type="dxa" w:w="864"/>
          </w:tcPr>
          <w:p>
            <w:r>
              <w:t>360</w:t>
            </w:r>
          </w:p>
        </w:tc>
        <w:tc>
          <w:tcPr>
            <w:tcW w:type="dxa" w:w="864"/>
          </w:tcPr>
          <w:p>
            <w:r>
              <w:t>420</w:t>
            </w:r>
          </w:p>
        </w:tc>
        <w:tc>
          <w:tcPr>
            <w:tcW w:type="dxa" w:w="864"/>
          </w:tcPr>
          <w:p>
            <w:r>
              <w:t>480</w:t>
            </w:r>
          </w:p>
        </w:tc>
        <w:tc>
          <w:tcPr>
            <w:tcW w:type="dxa" w:w="864"/>
          </w:tcPr>
          <w:p>
            <w:r>
              <w:t>540</w:t>
            </w:r>
          </w:p>
        </w:tc>
        <w:tc>
          <w:tcPr>
            <w:tcW w:type="dxa" w:w="864"/>
          </w:tcPr>
          <w:p>
            <w:r>
              <w:t>600</w:t>
            </w:r>
          </w:p>
        </w:tc>
        <w:tc>
          <w:tcPr>
            <w:tcW w:type="dxa" w:w="864"/>
          </w:tcPr>
          <w:p>
            <w:r>
              <w:t>660</w:t>
            </w:r>
          </w:p>
        </w:tc>
        <w:tc>
          <w:tcPr>
            <w:tcW w:type="dxa" w:w="864"/>
          </w:tcPr>
          <w:p>
            <w:r>
              <w:t>720</w:t>
            </w:r>
          </w:p>
        </w:tc>
        <w:tc>
          <w:tcPr>
            <w:tcW w:type="dxa" w:w="864"/>
          </w:tcPr>
          <w:p>
            <w:r>
              <w:t>780</w:t>
            </w:r>
          </w:p>
        </w:tc>
        <w:tc>
          <w:tcPr>
            <w:tcW w:type="dxa" w:w="864"/>
          </w:tcPr>
          <w:p>
            <w:r>
              <w:t>840</w:t>
            </w:r>
          </w:p>
        </w:tc>
      </w:tr>
      <w:tr>
        <w:tc>
          <w:tcPr>
            <w:tcW w:type="dxa" w:w="864"/>
          </w:tcPr>
          <w:p>
            <w:r>
              <w:t>Responses</w:t>
            </w:r>
          </w:p>
        </w:tc>
        <w:tc>
          <w:tcPr>
            <w:tcW w:type="dxa" w:w="864"/>
          </w:tcPr>
          <w:p>
            <w:r>
              <w:t>14</w:t>
            </w:r>
          </w:p>
        </w:tc>
        <w:tc>
          <w:tcPr>
            <w:tcW w:type="dxa" w:w="864"/>
          </w:tcPr>
          <w:p>
            <w:r>
              <w:t>7</w:t>
            </w:r>
          </w:p>
        </w:tc>
        <w:tc>
          <w:tcPr>
            <w:tcW w:type="dxa" w:w="864"/>
          </w:tcPr>
          <w:p>
            <w:r>
              <w:t>4</w:t>
            </w:r>
          </w:p>
        </w:tc>
        <w:tc>
          <w:tcPr>
            <w:tcW w:type="dxa" w:w="864"/>
          </w:tcPr>
          <w:p>
            <w:r>
              <w:t>13</w:t>
            </w:r>
          </w:p>
        </w:tc>
        <w:tc>
          <w:tcPr>
            <w:tcW w:type="dxa" w:w="864"/>
          </w:tcPr>
          <w:p>
            <w:r>
              <w:t>17</w:t>
            </w:r>
          </w:p>
        </w:tc>
        <w:tc>
          <w:tcPr>
            <w:tcW w:type="dxa" w:w="864"/>
          </w:tcPr>
          <w:p>
            <w:r>
              <w:t>8</w:t>
            </w:r>
          </w:p>
        </w:tc>
        <w:tc>
          <w:tcPr>
            <w:tcW w:type="dxa" w:w="864"/>
          </w:tcPr>
          <w:p>
            <w:r>
              <w:t>13</w:t>
            </w:r>
          </w:p>
        </w:tc>
        <w:tc>
          <w:tcPr>
            <w:tcW w:type="dxa" w:w="864"/>
          </w:tcPr>
          <w:p>
            <w:r>
              <w:t>7</w:t>
            </w:r>
          </w:p>
        </w:tc>
        <w:tc>
          <w:tcPr>
            <w:tcW w:type="dxa" w:w="864"/>
          </w:tcPr>
          <w:p>
            <w:r>
              <w:t>3</w:t>
            </w:r>
          </w:p>
        </w:tc>
      </w:tr>
    </w:tbl>
    <w:p/>
    <w:p>
      <w:pPr>
        <w:pStyle w:val="Heading2"/>
      </w:pPr>
      <w:r>
        <w:rPr>
          <w:color w:val="0F172A"/>
        </w:rPr>
        <w:t>3.3 Cost structure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Item</w:t>
            </w:r>
          </w:p>
        </w:tc>
        <w:tc>
          <w:tcPr>
            <w:tcW w:type="dxa" w:w="2160"/>
          </w:tcPr>
          <w:p>
            <w:r>
              <w:rPr>
                <w:b/>
              </w:rPr>
              <w:t>Daily</w:t>
            </w:r>
          </w:p>
        </w:tc>
        <w:tc>
          <w:tcPr>
            <w:tcW w:type="dxa" w:w="2160"/>
          </w:tcPr>
          <w:p>
            <w:r>
              <w:rPr>
                <w:b/>
              </w:rPr>
              <w:t>Weekend</w:t>
            </w:r>
          </w:p>
        </w:tc>
        <w:tc>
          <w:tcPr>
            <w:tcW w:type="dxa" w:w="2160"/>
          </w:tcPr>
          <w:p>
            <w:r>
              <w:rPr>
                <w:b/>
              </w:rPr>
              <w:t>Weekly</w:t>
            </w:r>
          </w:p>
        </w:tc>
      </w:tr>
      <w:tr>
        <w:tc>
          <w:tcPr>
            <w:tcW w:type="dxa" w:w="2160"/>
          </w:tcPr>
          <w:p>
            <w:r>
              <w:t>Variable cost (€/day)</w:t>
            </w:r>
          </w:p>
        </w:tc>
        <w:tc>
          <w:tcPr>
            <w:tcW w:type="dxa" w:w="2160"/>
          </w:tcPr>
          <w:p>
            <w:r>
              <w:t>30</w:t>
            </w:r>
          </w:p>
        </w:tc>
        <w:tc>
          <w:tcPr>
            <w:tcW w:type="dxa" w:w="2160"/>
          </w:tcPr>
          <w:p>
            <w:r>
              <w:t>30</w:t>
            </w:r>
          </w:p>
        </w:tc>
        <w:tc>
          <w:tcPr>
            <w:tcW w:type="dxa" w:w="2160"/>
          </w:tcPr>
          <w:p>
            <w:r>
              <w:t>30</w:t>
            </w:r>
          </w:p>
        </w:tc>
      </w:tr>
      <w:tr>
        <w:tc>
          <w:tcPr>
            <w:tcW w:type="dxa" w:w="2160"/>
          </w:tcPr>
          <w:p>
            <w:r>
              <w:t>Fixed cost (€/year)</w:t>
            </w:r>
          </w:p>
        </w:tc>
        <w:tc>
          <w:tcPr>
            <w:tcW w:type="dxa" w:w="2160"/>
          </w:tcPr>
          <w:p>
            <w:r>
              <w:t>69,750 (Std) / 77,750 (Prem)</w:t>
            </w:r>
          </w:p>
        </w:tc>
        <w:tc>
          <w:tcPr>
            <w:tcW w:type="dxa" w:w="2160"/>
          </w:tcPr>
          <w:p>
            <w:r>
              <w:t>—</w:t>
            </w:r>
          </w:p>
        </w:tc>
        <w:tc>
          <w:tcPr>
            <w:tcW w:type="dxa" w:w="2160"/>
          </w:tcPr>
          <w:p>
            <w:r>
              <w:t>—</w:t>
            </w:r>
          </w:p>
        </w:tc>
      </w:tr>
      <w:tr>
        <w:tc>
          <w:tcPr>
            <w:tcW w:type="dxa" w:w="2160"/>
          </w:tcPr>
          <w:p>
            <w:r>
              <w:t>Average demand (rentals/yr)</w:t>
            </w:r>
          </w:p>
        </w:tc>
        <w:tc>
          <w:tcPr>
            <w:tcW w:type="dxa" w:w="2160"/>
          </w:tcPr>
          <w:p>
            <w:r>
              <w:t>5,000</w:t>
            </w:r>
          </w:p>
        </w:tc>
        <w:tc>
          <w:tcPr>
            <w:tcW w:type="dxa" w:w="2160"/>
          </w:tcPr>
          <w:p>
            <w:r>
              <w:t>1,825</w:t>
            </w:r>
          </w:p>
        </w:tc>
        <w:tc>
          <w:tcPr>
            <w:tcW w:type="dxa" w:w="2160"/>
          </w:tcPr>
          <w:p>
            <w:r>
              <w:t>521.43</w:t>
            </w:r>
          </w:p>
        </w:tc>
      </w:tr>
    </w:tbl>
    <w:p/>
    <w:p>
      <w:pPr>
        <w:pStyle w:val="Heading2"/>
      </w:pPr>
      <w:r>
        <w:rPr>
          <w:color w:val="0F172A"/>
        </w:rPr>
        <w:t>3.4 Competitor data — single-tariff, daily-only</w:t>
      </w:r>
    </w:p>
    <w:tbl>
      <w:tblPr>
        <w:tblW w:type="auto" w:w="0"/>
        <w:tblLook w:firstColumn="1" w:firstRow="1" w:lastColumn="0" w:lastRow="0" w:noHBand="0" w:noVBand="1" w:val="04A0"/>
      </w:tblPr>
      <w:tblGrid>
        <w:gridCol w:w="8640"/>
      </w:tblGrid>
      <w:tr>
        <w:tc>
          <w:tcPr>
            <w:tcW w:type="dxa" w:w="8640"/>
            <w:shd w:fill="E0F2FE"/>
          </w:tcPr>
          <w:p>
            <w:r>
              <w:rPr>
                <w:b/>
                <w:color w:val="1E3A8A"/>
              </w:rPr>
              <w:t xml:space="preserve">Asymmetry in the competitive set  </w:t>
            </w:r>
            <w:r>
              <w:t>Important: the three competitors offer a SINGLE VERSION of their camper — there is NO Standard / Premium split on their side. They also publish DAILY TARIFFS ONLY. Any weekend / weekly number in the simulator is a reference projection from the daily tariff, not observed data. Nomade is the only player proposing two tiers (Standard + Premium) and three rental periods (Day / Weekend / Week).</w:t>
            </w:r>
          </w:p>
        </w:tc>
      </w:tr>
    </w:tbl>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Competitor</w:t>
            </w:r>
          </w:p>
        </w:tc>
        <w:tc>
          <w:tcPr>
            <w:tcW w:type="dxa" w:w="1440"/>
          </w:tcPr>
          <w:p>
            <w:r>
              <w:rPr>
                <w:b/>
              </w:rPr>
              <w:t>Daily tariff (€)</w:t>
            </w:r>
          </w:p>
        </w:tc>
        <w:tc>
          <w:tcPr>
            <w:tcW w:type="dxa" w:w="1440"/>
          </w:tcPr>
          <w:p>
            <w:r>
              <w:rPr>
                <w:b/>
              </w:rPr>
              <w:t>Tiers offered</w:t>
            </w:r>
          </w:p>
        </w:tc>
        <w:tc>
          <w:tcPr>
            <w:tcW w:type="dxa" w:w="1440"/>
          </w:tcPr>
          <w:p>
            <w:r>
              <w:rPr>
                <w:b/>
              </w:rPr>
              <w:t>Establishment 0–10</w:t>
            </w:r>
          </w:p>
        </w:tc>
        <w:tc>
          <w:tcPr>
            <w:tcW w:type="dxa" w:w="1440"/>
          </w:tcPr>
          <w:p>
            <w:r>
              <w:rPr>
                <w:b/>
              </w:rPr>
              <w:t>Brand 0–10</w:t>
            </w:r>
          </w:p>
        </w:tc>
        <w:tc>
          <w:tcPr>
            <w:tcW w:type="dxa" w:w="1440"/>
          </w:tcPr>
          <w:p>
            <w:r>
              <w:rPr>
                <w:b/>
              </w:rPr>
              <w:t>Sustainability 0–10</w:t>
            </w:r>
          </w:p>
        </w:tc>
      </w:tr>
      <w:tr>
        <w:tc>
          <w:tcPr>
            <w:tcW w:type="dxa" w:w="1440"/>
          </w:tcPr>
          <w:p>
            <w:r>
              <w:t>Further VAN</w:t>
            </w:r>
          </w:p>
        </w:tc>
        <w:tc>
          <w:tcPr>
            <w:tcW w:type="dxa" w:w="1440"/>
          </w:tcPr>
          <w:p>
            <w:r>
              <w:t>85</w:t>
            </w:r>
          </w:p>
        </w:tc>
        <w:tc>
          <w:tcPr>
            <w:tcW w:type="dxa" w:w="1440"/>
          </w:tcPr>
          <w:p>
            <w:r>
              <w:t>One (single tier)</w:t>
            </w:r>
          </w:p>
        </w:tc>
        <w:tc>
          <w:tcPr>
            <w:tcW w:type="dxa" w:w="1440"/>
          </w:tcPr>
          <w:p>
            <w:r>
              <w:t>8</w:t>
            </w:r>
          </w:p>
        </w:tc>
        <w:tc>
          <w:tcPr>
            <w:tcW w:type="dxa" w:w="1440"/>
          </w:tcPr>
          <w:p>
            <w:r>
              <w:t>8</w:t>
            </w:r>
          </w:p>
        </w:tc>
        <w:tc>
          <w:tcPr>
            <w:tcW w:type="dxa" w:w="1440"/>
          </w:tcPr>
          <w:p>
            <w:r>
              <w:t>5</w:t>
            </w:r>
          </w:p>
        </w:tc>
      </w:tr>
      <w:tr>
        <w:tc>
          <w:tcPr>
            <w:tcW w:type="dxa" w:w="1440"/>
          </w:tcPr>
          <w:p>
            <w:r>
              <w:t>People Camper</w:t>
            </w:r>
          </w:p>
        </w:tc>
        <w:tc>
          <w:tcPr>
            <w:tcW w:type="dxa" w:w="1440"/>
          </w:tcPr>
          <w:p>
            <w:r>
              <w:t>105</w:t>
            </w:r>
          </w:p>
        </w:tc>
        <w:tc>
          <w:tcPr>
            <w:tcW w:type="dxa" w:w="1440"/>
          </w:tcPr>
          <w:p>
            <w:r>
              <w:t>One (single tier)</w:t>
            </w:r>
          </w:p>
        </w:tc>
        <w:tc>
          <w:tcPr>
            <w:tcW w:type="dxa" w:w="1440"/>
          </w:tcPr>
          <w:p>
            <w:r>
              <w:t>9</w:t>
            </w:r>
          </w:p>
        </w:tc>
        <w:tc>
          <w:tcPr>
            <w:tcW w:type="dxa" w:w="1440"/>
          </w:tcPr>
          <w:p>
            <w:r>
              <w:t>9</w:t>
            </w:r>
          </w:p>
        </w:tc>
        <w:tc>
          <w:tcPr>
            <w:tcW w:type="dxa" w:w="1440"/>
          </w:tcPr>
          <w:p>
            <w:r>
              <w:t>4</w:t>
            </w:r>
          </w:p>
        </w:tc>
      </w:tr>
      <w:tr>
        <w:tc>
          <w:tcPr>
            <w:tcW w:type="dxa" w:w="1440"/>
          </w:tcPr>
          <w:p>
            <w:r>
              <w:t>Ocean Vans</w:t>
            </w:r>
          </w:p>
        </w:tc>
        <w:tc>
          <w:tcPr>
            <w:tcW w:type="dxa" w:w="1440"/>
          </w:tcPr>
          <w:p>
            <w:r>
              <w:t>98</w:t>
            </w:r>
          </w:p>
        </w:tc>
        <w:tc>
          <w:tcPr>
            <w:tcW w:type="dxa" w:w="1440"/>
          </w:tcPr>
          <w:p>
            <w:r>
              <w:t>One (single tier)</w:t>
            </w:r>
          </w:p>
        </w:tc>
        <w:tc>
          <w:tcPr>
            <w:tcW w:type="dxa" w:w="1440"/>
          </w:tcPr>
          <w:p>
            <w:r>
              <w:t>9</w:t>
            </w:r>
          </w:p>
        </w:tc>
        <w:tc>
          <w:tcPr>
            <w:tcW w:type="dxa" w:w="1440"/>
          </w:tcPr>
          <w:p>
            <w:r>
              <w:t>9</w:t>
            </w:r>
          </w:p>
        </w:tc>
        <w:tc>
          <w:tcPr>
            <w:tcW w:type="dxa" w:w="1440"/>
          </w:tcPr>
          <w:p>
            <w:r>
              <w:t>6</w:t>
            </w:r>
          </w:p>
        </w:tc>
      </w:tr>
      <w:tr>
        <w:tc>
          <w:tcPr>
            <w:tcW w:type="dxa" w:w="1440"/>
          </w:tcPr>
          <w:p>
            <w:r>
              <w:t>Nomade</w:t>
            </w:r>
          </w:p>
        </w:tc>
        <w:tc>
          <w:tcPr>
            <w:tcW w:type="dxa" w:w="1440"/>
          </w:tcPr>
          <w:p>
            <w:r>
              <w:t>80 / 100 (Std / Prem)</w:t>
            </w:r>
          </w:p>
        </w:tc>
        <w:tc>
          <w:tcPr>
            <w:tcW w:type="dxa" w:w="1440"/>
          </w:tcPr>
          <w:p>
            <w:r>
              <w:t>TWO (Standard + Premium)</w:t>
            </w:r>
          </w:p>
        </w:tc>
        <w:tc>
          <w:tcPr>
            <w:tcW w:type="dxa" w:w="1440"/>
          </w:tcPr>
          <w:p>
            <w:r>
              <w:t>2</w:t>
            </w:r>
          </w:p>
        </w:tc>
        <w:tc>
          <w:tcPr>
            <w:tcW w:type="dxa" w:w="1440"/>
          </w:tcPr>
          <w:p>
            <w:r>
              <w:t>3</w:t>
            </w:r>
          </w:p>
        </w:tc>
        <w:tc>
          <w:tcPr>
            <w:tcW w:type="dxa" w:w="1440"/>
          </w:tcPr>
          <w:p>
            <w:r>
              <w:t>10</w:t>
            </w:r>
          </w:p>
        </w:tc>
      </w:tr>
    </w:tbl>
    <w:p/>
    <w:p>
      <w:r>
        <w:rPr>
          <w:b/>
          <w:i w:val="0"/>
          <w:sz w:val="22"/>
        </w:rPr>
        <w:t>Competitor profiles:</w:t>
      </w:r>
    </w:p>
    <w:p>
      <w:pPr>
        <w:pStyle w:val="ListBullet"/>
      </w:pPr>
      <w:r>
        <w:t>Further VAN — well-established, affordable single-tier offer. Less differentiated; operational-efficiency focus.</w:t>
      </w:r>
    </w:p>
    <w:p>
      <w:pPr>
        <w:pStyle w:val="ListBullet"/>
      </w:pPr>
      <w:r>
        <w:t>People Camper — premium single-tier positioning. High daily tariff suggests brand-premium pricing.</w:t>
      </w:r>
    </w:p>
    <w:p>
      <w:pPr>
        <w:pStyle w:val="ListBullet"/>
      </w:pPr>
      <w:r>
        <w:t>Ocean Vans — sophisticated single-tier offer, mid-high daily price. Positioned on comfort + design.</w:t>
      </w:r>
    </w:p>
    <w:p>
      <w:pPr>
        <w:pStyle w:val="ListBullet"/>
      </w:pPr>
      <w:r>
        <w:t>Nomade — NEW ENTRANT with two tiers. Highly differentiated (sustainable design, customisation, 1-month delivery) but low brand recognition. The two-tier structure alone is a differentiator vs the single-tier field.</w:t>
      </w:r>
    </w:p>
    <w:p>
      <w:pPr>
        <w:pStyle w:val="Heading2"/>
      </w:pPr>
      <w:r>
        <w:rPr>
          <w:color w:val="0F172A"/>
        </w:rPr>
        <w:t>3.5 Positioning maps — price vs. perceived attribute</w:t>
      </w:r>
    </w:p>
    <w:p>
      <w:r>
        <w:rPr>
          <w:b w:val="0"/>
          <w:i w:val="0"/>
          <w:sz w:val="22"/>
        </w:rPr>
        <w:t>A positioning map plots each player on two axes: price (Y) and a key perceived attribute (X). It is the most direct visual way to see where the market's white space is, where the closest competitor really sits, and why Nomade ends up charging less despite being objectively more differentiated.</w:t>
      </w:r>
    </w:p>
    <w:p>
      <w:r>
        <w:rPr>
          <w:b/>
          <w:i w:val="0"/>
          <w:sz w:val="22"/>
        </w:rPr>
        <w:t>The four players' coordinates (used by the simulator):</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Player</w:t>
            </w:r>
          </w:p>
        </w:tc>
        <w:tc>
          <w:tcPr>
            <w:tcW w:type="dxa" w:w="1440"/>
          </w:tcPr>
          <w:p>
            <w:r>
              <w:rPr>
                <w:b/>
              </w:rPr>
              <w:t>Daily price (€)</w:t>
            </w:r>
          </w:p>
        </w:tc>
        <w:tc>
          <w:tcPr>
            <w:tcW w:type="dxa" w:w="1440"/>
          </w:tcPr>
          <w:p>
            <w:r>
              <w:rPr>
                <w:b/>
              </w:rPr>
              <w:t>Brand 0–10</w:t>
            </w:r>
          </w:p>
        </w:tc>
        <w:tc>
          <w:tcPr>
            <w:tcW w:type="dxa" w:w="1440"/>
          </w:tcPr>
          <w:p>
            <w:r>
              <w:rPr>
                <w:b/>
              </w:rPr>
              <w:t>Sustainability 0–10</w:t>
            </w:r>
          </w:p>
        </w:tc>
        <w:tc>
          <w:tcPr>
            <w:tcW w:type="dxa" w:w="1440"/>
          </w:tcPr>
          <w:p>
            <w:r>
              <w:rPr>
                <w:b/>
              </w:rPr>
              <w:t>Design 0–10</w:t>
            </w:r>
          </w:p>
        </w:tc>
        <w:tc>
          <w:tcPr>
            <w:tcW w:type="dxa" w:w="1440"/>
          </w:tcPr>
          <w:p>
            <w:r>
              <w:rPr>
                <w:b/>
              </w:rPr>
              <w:t>Fleet size</w:t>
            </w:r>
          </w:p>
        </w:tc>
      </w:tr>
      <w:tr>
        <w:tc>
          <w:tcPr>
            <w:tcW w:type="dxa" w:w="1440"/>
          </w:tcPr>
          <w:p>
            <w:r>
              <w:t>Nomade</w:t>
            </w:r>
          </w:p>
        </w:tc>
        <w:tc>
          <w:tcPr>
            <w:tcW w:type="dxa" w:w="1440"/>
          </w:tcPr>
          <w:p>
            <w:r>
              <w:t>80</w:t>
            </w:r>
          </w:p>
        </w:tc>
        <w:tc>
          <w:tcPr>
            <w:tcW w:type="dxa" w:w="1440"/>
          </w:tcPr>
          <w:p>
            <w:r>
              <w:t>3</w:t>
            </w:r>
          </w:p>
        </w:tc>
        <w:tc>
          <w:tcPr>
            <w:tcW w:type="dxa" w:w="1440"/>
          </w:tcPr>
          <w:p>
            <w:r>
              <w:t>10</w:t>
            </w:r>
          </w:p>
        </w:tc>
        <w:tc>
          <w:tcPr>
            <w:tcW w:type="dxa" w:w="1440"/>
          </w:tcPr>
          <w:p>
            <w:r>
              <w:t>9</w:t>
            </w:r>
          </w:p>
        </w:tc>
        <w:tc>
          <w:tcPr>
            <w:tcW w:type="dxa" w:w="1440"/>
          </w:tcPr>
          <w:p>
            <w:r>
              <w:t>&lt; 30 vans</w:t>
            </w:r>
          </w:p>
        </w:tc>
      </w:tr>
      <w:tr>
        <w:tc>
          <w:tcPr>
            <w:tcW w:type="dxa" w:w="1440"/>
          </w:tcPr>
          <w:p>
            <w:r>
              <w:t>Further VAN</w:t>
            </w:r>
          </w:p>
        </w:tc>
        <w:tc>
          <w:tcPr>
            <w:tcW w:type="dxa" w:w="1440"/>
          </w:tcPr>
          <w:p>
            <w:r>
              <w:t>85</w:t>
            </w:r>
          </w:p>
        </w:tc>
        <w:tc>
          <w:tcPr>
            <w:tcW w:type="dxa" w:w="1440"/>
          </w:tcPr>
          <w:p>
            <w:r>
              <w:t>8</w:t>
            </w:r>
          </w:p>
        </w:tc>
        <w:tc>
          <w:tcPr>
            <w:tcW w:type="dxa" w:w="1440"/>
          </w:tcPr>
          <w:p>
            <w:r>
              <w:t>5</w:t>
            </w:r>
          </w:p>
        </w:tc>
        <w:tc>
          <w:tcPr>
            <w:tcW w:type="dxa" w:w="1440"/>
          </w:tcPr>
          <w:p>
            <w:r>
              <w:t>7</w:t>
            </w:r>
          </w:p>
        </w:tc>
        <w:tc>
          <w:tcPr>
            <w:tcW w:type="dxa" w:w="1440"/>
          </w:tcPr>
          <w:p>
            <w:r>
              <w:t>~ 50 vans</w:t>
            </w:r>
          </w:p>
        </w:tc>
      </w:tr>
      <w:tr>
        <w:tc>
          <w:tcPr>
            <w:tcW w:type="dxa" w:w="1440"/>
          </w:tcPr>
          <w:p>
            <w:r>
              <w:t>People Camper</w:t>
            </w:r>
          </w:p>
        </w:tc>
        <w:tc>
          <w:tcPr>
            <w:tcW w:type="dxa" w:w="1440"/>
          </w:tcPr>
          <w:p>
            <w:r>
              <w:t>105</w:t>
            </w:r>
          </w:p>
        </w:tc>
        <w:tc>
          <w:tcPr>
            <w:tcW w:type="dxa" w:w="1440"/>
          </w:tcPr>
          <w:p>
            <w:r>
              <w:t>9</w:t>
            </w:r>
          </w:p>
        </w:tc>
        <w:tc>
          <w:tcPr>
            <w:tcW w:type="dxa" w:w="1440"/>
          </w:tcPr>
          <w:p>
            <w:r>
              <w:t>4</w:t>
            </w:r>
          </w:p>
        </w:tc>
        <w:tc>
          <w:tcPr>
            <w:tcW w:type="dxa" w:w="1440"/>
          </w:tcPr>
          <w:p>
            <w:r>
              <w:t>6</w:t>
            </w:r>
          </w:p>
        </w:tc>
        <w:tc>
          <w:tcPr>
            <w:tcW w:type="dxa" w:w="1440"/>
          </w:tcPr>
          <w:p>
            <w:r>
              <w:t>~ 60 vans</w:t>
            </w:r>
          </w:p>
        </w:tc>
      </w:tr>
      <w:tr>
        <w:tc>
          <w:tcPr>
            <w:tcW w:type="dxa" w:w="1440"/>
          </w:tcPr>
          <w:p>
            <w:r>
              <w:t>Ocean Vans</w:t>
            </w:r>
          </w:p>
        </w:tc>
        <w:tc>
          <w:tcPr>
            <w:tcW w:type="dxa" w:w="1440"/>
          </w:tcPr>
          <w:p>
            <w:r>
              <w:t>98</w:t>
            </w:r>
          </w:p>
        </w:tc>
        <w:tc>
          <w:tcPr>
            <w:tcW w:type="dxa" w:w="1440"/>
          </w:tcPr>
          <w:p>
            <w:r>
              <w:t>9</w:t>
            </w:r>
          </w:p>
        </w:tc>
        <w:tc>
          <w:tcPr>
            <w:tcW w:type="dxa" w:w="1440"/>
          </w:tcPr>
          <w:p>
            <w:r>
              <w:t>6</w:t>
            </w:r>
          </w:p>
        </w:tc>
        <w:tc>
          <w:tcPr>
            <w:tcW w:type="dxa" w:w="1440"/>
          </w:tcPr>
          <w:p>
            <w:r>
              <w:t>7</w:t>
            </w:r>
          </w:p>
        </w:tc>
        <w:tc>
          <w:tcPr>
            <w:tcW w:type="dxa" w:w="1440"/>
          </w:tcPr>
          <w:p>
            <w:r>
              <w:t>~ 55 vans</w:t>
            </w:r>
          </w:p>
        </w:tc>
      </w:tr>
    </w:tbl>
    <w:p/>
    <w:p>
      <w:r>
        <w:rPr>
          <w:b/>
          <w:i w:val="0"/>
          <w:sz w:val="22"/>
        </w:rPr>
        <w:t>Three useful maps — tick them on Competition-based → Graph picker:</w:t>
      </w:r>
    </w:p>
    <w:p>
      <w:pPr>
        <w:pStyle w:val="ListBullet"/>
      </w:pPr>
      <w:r>
        <w:t>Price × Brand recognition — Nomade is bottom-left (low brand, low price); competitors are top-right (high brand, high price). The price gap mirrors the brand gap almost perfectly.</w:t>
      </w:r>
    </w:p>
    <w:p>
      <w:pPr>
        <w:pStyle w:val="ListBullet"/>
      </w:pPr>
      <w:r>
        <w:t>Price × Sustainability — the picture flips: Nomade is top-right (best score, 10/10) yet the LEAST expensive. The competitors sit bottom-left, with People Camper the weakest on sustainability (4/10). This map alone justifies a skimming move on Premium.</w:t>
      </w:r>
    </w:p>
    <w:p>
      <w:pPr>
        <w:pStyle w:val="ListBullet"/>
      </w:pPr>
      <w:r>
        <w:t>Price × Design / customisation — Nomade is mid-top (9/10 on design, €80 price). Competitors cluster mid-price / mid-design. This shows that the pricing gap is NOT explained by product inferiority.</w:t>
      </w:r>
    </w:p>
    <w:tbl>
      <w:tblPr>
        <w:tblW w:type="auto" w:w="0"/>
        <w:tblLook w:firstColumn="1" w:firstRow="1" w:lastColumn="0" w:lastRow="0" w:noHBand="0" w:noVBand="1" w:val="04A0"/>
      </w:tblPr>
      <w:tblGrid>
        <w:gridCol w:w="8640"/>
      </w:tblGrid>
      <w:tr>
        <w:tc>
          <w:tcPr>
            <w:tcW w:type="dxa" w:w="8640"/>
            <w:shd w:fill="F5F3FF"/>
          </w:tcPr>
          <w:p>
            <w:r>
              <w:rPr>
                <w:b/>
                <w:color w:val="5B21B6"/>
              </w:rPr>
              <w:t xml:space="preserve">Why Nomade charges less — and what to do about it  </w:t>
            </w:r>
            <w:r>
              <w:t>The three maps together tell the story: Nomade's lower price is NOT explained by inferior product or by a structural cost disadvantage (sizes are similar). It is explained almost entirely by the BRAND RECOGNITION gap. The strategic implication is therefore clear — invest in brand perception (narrative, channels, reviews, endorsements) to move UP the price axis without having to touch the product.</w:t>
            </w:r>
          </w:p>
        </w:tc>
      </w:tr>
    </w:tbl>
    <w:p/>
    <w:p>
      <w:r>
        <w:rPr>
          <w:b w:val="0"/>
          <w:i/>
          <w:color w:val="64748B"/>
          <w:sz w:val="22"/>
        </w:rPr>
        <w:t>A fourth axis — versatility (number of tariffs / tiers) — is where Nomade is ALONE: two tiers and three periods vs the competitors' single-tier, daily-only offer. That asymmetry is itself a positioning lever (anchoring sandwich, flexible bundles) and is rendered in the simulator under the "Std+Prem × Day/Weekend/Week + competitors" chart.</w:t>
      </w:r>
    </w:p>
    <w:p>
      <w:r>
        <w:br w:type="page"/>
      </w:r>
    </w:p>
    <w:p>
      <w:pPr>
        <w:pStyle w:val="Heading1"/>
      </w:pPr>
      <w:r>
        <w:rPr>
          <w:color w:val="0F172A"/>
        </w:rPr>
        <w:t>4. Using the interactive simulator</w:t>
      </w:r>
    </w:p>
    <w:p>
      <w:r>
        <w:rPr>
          <w:b w:val="0"/>
          <w:i w:val="0"/>
          <w:sz w:val="22"/>
        </w:rPr>
        <w:t xml:space="preserve">URL: </w:t>
      </w:r>
      <w:r>
        <w:rPr>
          <w:color w:val="2563EB"/>
          <w:u w:val="single"/>
        </w:rPr>
        <w:t>https://cmoreno34.github.io/nomade-pricing-simulator/</w:t>
      </w:r>
    </w:p>
    <w:p>
      <w:r>
        <w:rPr>
          <w:b w:val="0"/>
          <w:i/>
          <w:color w:val="64748B"/>
          <w:sz w:val="22"/>
        </w:rPr>
        <w:t>The simulator is a CLOSED LOOP. The Nomade price lives in one place and every tab reads or writes the same number. You do not have to re-type the same price in multiple tabs — pick one, iterate, and the Excel download will reflect whatever you left on "Position &amp; prices".</w:t>
      </w:r>
    </w:p>
    <w:p>
      <w:pPr>
        <w:pStyle w:val="ListNumber"/>
      </w:pPr>
      <w:r>
        <w:t>Pick period (Day / Weekend / Week) and version (Standard / Premium) at the top.</w:t>
      </w:r>
    </w:p>
    <w:p>
      <w:pPr>
        <w:pStyle w:val="ListNumber"/>
      </w:pPr>
      <w:r>
        <w:t>Competition-based → Profit curve: DRAG the green "Our price" line. Coloured dashed lines are competitors; KPIs (profit, demand, revenue, lost-vs-peak) update live. Use Match-competitor / Snap-to-peak quick-jump buttons.</w:t>
      </w:r>
    </w:p>
    <w:p>
      <w:pPr>
        <w:pStyle w:val="ListNumber"/>
      </w:pPr>
      <w:r>
        <w:t>Psychological factors: all inputs pre-loaded from your current position. Experiment with Anchoring, Charm pricing, Prospect Theory (before/after), Reference price. Use Apply-to-Standard / Apply-to-Premium to push tested numbers into the final position.</w:t>
      </w:r>
    </w:p>
    <w:p>
      <w:pPr>
        <w:pStyle w:val="ListNumber"/>
      </w:pPr>
      <w:r>
        <w:t>Position &amp; prices: same interactive chart + numeric inputs for every period. Add the analyst note.</w:t>
      </w:r>
    </w:p>
    <w:p>
      <w:pPr>
        <w:pStyle w:val="ListNumber"/>
      </w:pPr>
      <w:r>
        <w:t>Case answers: the four formal questions (see section 4) — write your answer in each box.</w:t>
      </w:r>
    </w:p>
    <w:p>
      <w:pPr>
        <w:pStyle w:val="ListNumber"/>
      </w:pPr>
      <w:r>
        <w:t>Download Excel: single .xlsx with 8 sheets including Case answers and all 9 charts as images — this file IS the deliverable.</w:t>
      </w:r>
    </w:p>
    <w:p>
      <w:r>
        <w:br w:type="page"/>
      </w:r>
    </w:p>
    <w:p>
      <w:pPr>
        <w:pStyle w:val="Heading1"/>
      </w:pPr>
      <w:r>
        <w:rPr>
          <w:color w:val="0F172A"/>
        </w:rPr>
        <w:t>5. Strategic framework — the 4 scenarios</w:t>
      </w:r>
    </w:p>
    <w:p>
      <w:r>
        <w:rPr>
          <w:b w:val="0"/>
          <w:i w:val="0"/>
          <w:sz w:val="22"/>
        </w:rPr>
        <w:t>The pricing decision depends on comparing the WTP optimal price (Popt) with competitor prices (C) and on understanding whether the gap comes from cost structure or from differentiation.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Scenario</w:t>
            </w:r>
          </w:p>
        </w:tc>
        <w:tc>
          <w:tcPr>
            <w:tcW w:type="dxa" w:w="2160"/>
          </w:tcPr>
          <w:p>
            <w:r>
              <w:rPr>
                <w:b/>
              </w:rPr>
              <w:t>Status</w:t>
            </w:r>
          </w:p>
        </w:tc>
        <w:tc>
          <w:tcPr>
            <w:tcW w:type="dxa" w:w="2160"/>
          </w:tcPr>
          <w:p>
            <w:r>
              <w:rPr>
                <w:b/>
              </w:rPr>
              <w:t>Reason</w:t>
            </w:r>
          </w:p>
        </w:tc>
        <w:tc>
          <w:tcPr>
            <w:tcW w:type="dxa" w:w="2160"/>
          </w:tcPr>
          <w:p>
            <w:r>
              <w:rPr>
                <w:b/>
              </w:rPr>
              <w:t>Strategy</w:t>
            </w:r>
          </w:p>
        </w:tc>
      </w:tr>
      <w:tr>
        <w:tc>
          <w:tcPr>
            <w:tcW w:type="dxa" w:w="2160"/>
          </w:tcPr>
          <w:p>
            <w:r>
              <w:t>a.1</w:t>
            </w:r>
          </w:p>
        </w:tc>
        <w:tc>
          <w:tcPr>
            <w:tcW w:type="dxa" w:w="2160"/>
          </w:tcPr>
          <w:p>
            <w:r>
              <w:t>Popt &gt; C</w:t>
            </w:r>
          </w:p>
        </w:tc>
        <w:tc>
          <w:tcPr>
            <w:tcW w:type="dxa" w:w="2160"/>
          </w:tcPr>
          <w:p>
            <w:r>
              <w:t>More differentiated</w:t>
            </w:r>
          </w:p>
        </w:tc>
        <w:tc>
          <w:tcPr>
            <w:tcW w:type="dxa" w:w="2160"/>
          </w:tcPr>
          <w:p>
            <w:r>
              <w:t>NO — illogical</w:t>
            </w:r>
          </w:p>
        </w:tc>
      </w:tr>
      <w:tr>
        <w:tc>
          <w:tcPr>
            <w:tcW w:type="dxa" w:w="2160"/>
          </w:tcPr>
          <w:p>
            <w:r>
              <w:t>a.2</w:t>
            </w:r>
          </w:p>
        </w:tc>
        <w:tc>
          <w:tcPr>
            <w:tcW w:type="dxa" w:w="2160"/>
          </w:tcPr>
          <w:p>
            <w:r>
              <w:t>Popt &gt; C</w:t>
            </w:r>
          </w:p>
        </w:tc>
        <w:tc>
          <w:tcPr>
            <w:tcW w:type="dxa" w:w="2160"/>
          </w:tcPr>
          <w:p>
            <w:r>
              <w:t>Worse costs</w:t>
            </w:r>
          </w:p>
        </w:tc>
        <w:tc>
          <w:tcPr>
            <w:tcW w:type="dxa" w:w="2160"/>
          </w:tcPr>
          <w:p>
            <w:r>
              <w:t>YES (−) Penetration</w:t>
            </w:r>
          </w:p>
        </w:tc>
      </w:tr>
      <w:tr>
        <w:tc>
          <w:tcPr>
            <w:tcW w:type="dxa" w:w="2160"/>
          </w:tcPr>
          <w:p>
            <w:r>
              <w:t>a.3</w:t>
            </w:r>
          </w:p>
        </w:tc>
        <w:tc>
          <w:tcPr>
            <w:tcW w:type="dxa" w:w="2160"/>
          </w:tcPr>
          <w:p>
            <w:r>
              <w:t>Popt &lt; C</w:t>
            </w:r>
          </w:p>
        </w:tc>
        <w:tc>
          <w:tcPr>
            <w:tcW w:type="dxa" w:w="2160"/>
          </w:tcPr>
          <w:p>
            <w:r>
              <w:t>Less differentiated</w:t>
            </w:r>
          </w:p>
        </w:tc>
        <w:tc>
          <w:tcPr>
            <w:tcW w:type="dxa" w:w="2160"/>
          </w:tcPr>
          <w:p>
            <w:r>
              <w:t>YES (−−) Aggressive penetration</w:t>
            </w:r>
          </w:p>
        </w:tc>
      </w:tr>
      <w:tr>
        <w:tc>
          <w:tcPr>
            <w:tcW w:type="dxa" w:w="2160"/>
          </w:tcPr>
          <w:p>
            <w:r>
              <w:t>a.4</w:t>
            </w:r>
          </w:p>
        </w:tc>
        <w:tc>
          <w:tcPr>
            <w:tcW w:type="dxa" w:w="2160"/>
          </w:tcPr>
          <w:p>
            <w:r>
              <w:t>Popt &lt; C</w:t>
            </w:r>
          </w:p>
        </w:tc>
        <w:tc>
          <w:tcPr>
            <w:tcW w:type="dxa" w:w="2160"/>
          </w:tcPr>
          <w:p>
            <w:r>
              <w:t>Better costs</w:t>
            </w:r>
          </w:p>
        </w:tc>
        <w:tc>
          <w:tcPr>
            <w:tcW w:type="dxa" w:w="2160"/>
          </w:tcPr>
          <w:p>
            <w:r>
              <w:t>NO — great position</w:t>
            </w:r>
          </w:p>
        </w:tc>
      </w:tr>
      <w:tr>
        <w:tc>
          <w:tcPr>
            <w:tcW w:type="dxa" w:w="2160"/>
          </w:tcPr>
          <w:p>
            <w:r>
              <w:t>b.1</w:t>
            </w:r>
          </w:p>
        </w:tc>
        <w:tc>
          <w:tcPr>
            <w:tcW w:type="dxa" w:w="2160"/>
          </w:tcPr>
          <w:p>
            <w:r>
              <w:t>Popt &gt; C</w:t>
            </w:r>
          </w:p>
        </w:tc>
        <w:tc>
          <w:tcPr>
            <w:tcW w:type="dxa" w:w="2160"/>
          </w:tcPr>
          <w:p>
            <w:r>
              <w:t>More differentiated</w:t>
            </w:r>
          </w:p>
        </w:tc>
        <w:tc>
          <w:tcPr>
            <w:tcW w:type="dxa" w:w="2160"/>
          </w:tcPr>
          <w:p>
            <w:r>
              <w:t>RISKY — only for Apple-like brands</w:t>
            </w:r>
          </w:p>
        </w:tc>
      </w:tr>
      <w:tr>
        <w:tc>
          <w:tcPr>
            <w:tcW w:type="dxa" w:w="2160"/>
          </w:tcPr>
          <w:p>
            <w:r>
              <w:t>b.2</w:t>
            </w:r>
          </w:p>
        </w:tc>
        <w:tc>
          <w:tcPr>
            <w:tcW w:type="dxa" w:w="2160"/>
          </w:tcPr>
          <w:p>
            <w:r>
              <w:t>Popt &gt; C</w:t>
            </w:r>
          </w:p>
        </w:tc>
        <w:tc>
          <w:tcPr>
            <w:tcW w:type="dxa" w:w="2160"/>
          </w:tcPr>
          <w:p>
            <w:r>
              <w:t>Worse costs</w:t>
            </w:r>
          </w:p>
        </w:tc>
        <w:tc>
          <w:tcPr>
            <w:tcW w:type="dxa" w:w="2160"/>
          </w:tcPr>
          <w:p>
            <w:r>
              <w:t>NO — escape / reposition</w:t>
            </w:r>
          </w:p>
        </w:tc>
      </w:tr>
      <w:tr>
        <w:tc>
          <w:tcPr>
            <w:tcW w:type="dxa" w:w="2160"/>
          </w:tcPr>
          <w:p>
            <w:r>
              <w:t>b.3</w:t>
            </w:r>
          </w:p>
        </w:tc>
        <w:tc>
          <w:tcPr>
            <w:tcW w:type="dxa" w:w="2160"/>
          </w:tcPr>
          <w:p>
            <w:r>
              <w:t>Popt &lt; C</w:t>
            </w:r>
          </w:p>
        </w:tc>
        <w:tc>
          <w:tcPr>
            <w:tcW w:type="dxa" w:w="2160"/>
          </w:tcPr>
          <w:p>
            <w:r>
              <w:t>Less differentiated</w:t>
            </w:r>
          </w:p>
        </w:tc>
        <w:tc>
          <w:tcPr>
            <w:tcW w:type="dxa" w:w="2160"/>
          </w:tcPr>
          <w:p>
            <w:r>
              <w:t>YES (+) Skimming</w:t>
            </w:r>
          </w:p>
        </w:tc>
      </w:tr>
      <w:tr>
        <w:tc>
          <w:tcPr>
            <w:tcW w:type="dxa" w:w="2160"/>
          </w:tcPr>
          <w:p>
            <w:r>
              <w:t>b.4</w:t>
            </w:r>
          </w:p>
        </w:tc>
        <w:tc>
          <w:tcPr>
            <w:tcW w:type="dxa" w:w="2160"/>
          </w:tcPr>
          <w:p>
            <w:r>
              <w:t>Popt &lt; C</w:t>
            </w:r>
          </w:p>
        </w:tc>
        <w:tc>
          <w:tcPr>
            <w:tcW w:type="dxa" w:w="2160"/>
          </w:tcPr>
          <w:p>
            <w:r>
              <w:t>Better costs</w:t>
            </w:r>
          </w:p>
        </w:tc>
        <w:tc>
          <w:tcPr>
            <w:tcW w:type="dxa" w:w="2160"/>
          </w:tcPr>
          <w:p>
            <w:r>
              <w:t>NO — already right</w:t>
            </w:r>
          </w:p>
        </w:tc>
      </w:tr>
    </w:tbl>
    <w:p/>
    <w:p>
      <w:r>
        <w:rPr>
          <w:b/>
          <w:i w:val="0"/>
          <w:sz w:val="22"/>
        </w:rPr>
        <w:t>Nomade's strategic position (v3 baseline):</w:t>
      </w:r>
    </w:p>
    <w:p>
      <w:pPr>
        <w:pStyle w:val="ListBullet"/>
      </w:pPr>
      <w:r>
        <w:t>Current status: Popt &lt; C (€80 / €100 vs €85–€105 Std and €95–€129 Prem).</w:t>
      </w:r>
    </w:p>
    <w:p>
      <w:pPr>
        <w:pStyle w:val="ListBullet"/>
      </w:pPr>
      <w:r>
        <w:t>Cost structure: similar or slightly better (sustainable-design efficiency).</w:t>
      </w:r>
    </w:p>
    <w:p>
      <w:pPr>
        <w:pStyle w:val="ListBullet"/>
      </w:pPr>
      <w:r>
        <w:t>Differentiation: OBJECTIVELY HIGHER (sustainability 10/10, customisation 10/10).</w:t>
      </w:r>
    </w:p>
    <w:p>
      <w:pPr>
        <w:pStyle w:val="ListBullet"/>
      </w:pPr>
      <w:r>
        <w:t>BUT low brand recognition (NEW entrant — 3/10 vs 8–9/10).</w:t>
      </w:r>
    </w:p>
    <w:p>
      <w:pPr>
        <w:pStyle w:val="ListBullet"/>
      </w:pPr>
      <w:r>
        <w:t>This is SCENARIO b.3: Popt &lt; C because customers perceive Nomade as less differentiated (the brand is unknown, not the product).</w:t>
      </w:r>
    </w:p>
    <w:p>
      <w:pPr>
        <w:pStyle w:val="ListBullet"/>
      </w:pPr>
      <w:r>
        <w:t>Recommendation: SKIMMING (+) — moderate price increase to build brand perception and leverage the anchor effect.</w:t>
      </w:r>
    </w:p>
    <w:p>
      <w:r>
        <w:br w:type="page"/>
      </w:r>
    </w:p>
    <w:p>
      <w:pPr>
        <w:pStyle w:val="Heading1"/>
      </w:pPr>
      <w:r>
        <w:rPr>
          <w:color w:val="0F172A"/>
        </w:rPr>
        <w:t>6. Case questions</w:t>
      </w:r>
    </w:p>
    <w:p>
      <w:r>
        <w:rPr>
          <w:b w:val="0"/>
          <w:i/>
          <w:sz w:val="22"/>
        </w:rPr>
        <w:t>Four formal questions from Nomade v3.0. Write your answer either (a) inside the simulator's Case answers tab — which is exported into the Excel — or (b) directly in the answer boxes below.</w:t>
      </w:r>
    </w:p>
    <w:p>
      <w:r>
        <w:rPr>
          <w:b/>
          <w:color w:val="F97316"/>
        </w:rPr>
        <w:t>P1 — Competitive analysis and positioning</w:t>
      </w:r>
    </w:p>
    <w:p>
      <w:r>
        <w:rPr>
          <w:b/>
          <w:i w:val="0"/>
          <w:sz w:val="22"/>
        </w:rPr>
        <w:t>With the data provided and the tool:</w:t>
      </w:r>
    </w:p>
    <w:p>
      <w:pPr>
        <w:pStyle w:val="ListBullet"/>
      </w:pPr>
      <w:r>
        <w:t>Give assumptions about the competitors' cost structures and their brand-value differentiation.</w:t>
      </w:r>
    </w:p>
    <w:p>
      <w:pPr>
        <w:pStyle w:val="ListBullet"/>
      </w:pPr>
      <w:r>
        <w:t>Remember NOMADE is NEW while the others are well-established.</w:t>
      </w:r>
    </w:p>
    <w:p>
      <w:pPr>
        <w:pStyle w:val="ListBullet"/>
      </w:pPr>
      <w:r>
        <w:t>For each competitor, evaluate whether higher prices are due to: (a) higher operating costs, or (b) higher differentiation (brand recognition, quality, features).</w:t>
      </w:r>
    </w:p>
    <w:p>
      <w:pPr>
        <w:pStyle w:val="ListBullet"/>
      </w:pPr>
      <w:r>
        <w:t>Build a positioning map of Nomade vs. competitors on the key attributes.</w:t>
      </w:r>
    </w:p>
    <w:p>
      <w:r>
        <w:rPr>
          <w:b/>
          <w:i w:val="0"/>
          <w:color w:val="64748B"/>
          <w:sz w:val="22"/>
        </w:rPr>
        <w:t>Simulator tasks:</w:t>
      </w:r>
    </w:p>
    <w:p>
      <w:pPr>
        <w:pStyle w:val="ListBullet"/>
      </w:pPr>
      <w:r>
        <w:t>Read profit at each competitor's dashed line on the Profit curve.</w:t>
      </w:r>
    </w:p>
    <w:p>
      <w:pPr>
        <w:pStyle w:val="ListBullet"/>
      </w:pPr>
      <w:r>
        <w:t>Tick the "Std+Prem × Day/Weekend/Week + competitors" chart on Competition-based to see the 2-tier vs 1-tier asymmetry at a glance.</w:t>
      </w:r>
    </w:p>
    <w:tbl>
      <w:tblPr>
        <w:tblW w:type="auto" w:w="0"/>
        <w:tblLook w:firstColumn="1" w:firstRow="1" w:lastColumn="0" w:lastRow="0" w:noHBand="0" w:noVBand="1" w:val="04A0"/>
      </w:tblPr>
      <w:tblGrid>
        <w:gridCol w:w="8640"/>
      </w:tblGrid>
      <w:tr>
        <w:tc>
          <w:tcPr>
            <w:tcW w:type="dxa" w:w="8640"/>
            <w:shd w:fill="ECFDF5"/>
          </w:tcPr>
          <w:p>
            <w:r>
              <w:rPr>
                <w:b/>
                <w:color w:val="065F46"/>
              </w:rPr>
              <w:t xml:space="preserve">Answer guide — P1  </w:t>
            </w:r>
            <w:r>
              <w:t>(a) COST STRUCTURE — Established players (Further VAN, People Camper, Ocean Vans) enjoy amortised fleets, procurement scale and branded channels ⇒ LOWER variable cost per rental but HIGHER fixed marketing / brand costs. Nomade is new ⇒ SIMILAR variable cost (sustainable-design efficiency compensates scale), HIGHER fixed cost per unit (thin fleet). (b) DIFFERENTIATION — their price premium is explained mostly by BRAND RECOGNITION, not by objectively superior product features. (c) POSITIONING MAP — Nomade (Establishment 2/10, Brand 3/10, Sustainability 10/10, Design 9/10) vs Further VAN (8/8/5/7), People Camper (9/9/4/6), Ocean Vans (9/9/6/7). Nomade is OBJECTIVELY MORE DIFFERENTIATED but PERCEIVED AS LESS so — brand is the gap to close.</w:t>
            </w:r>
          </w:p>
        </w:tc>
      </w:tr>
    </w:tbl>
    <w:p/>
    <w:p>
      <w:r>
        <w:rPr>
          <w:b/>
          <w:i w:val="0"/>
          <w:sz w:val="22"/>
        </w:rPr>
        <w:t>Your answer:</w:t>
      </w:r>
    </w:p>
    <w:tbl>
      <w:tblPr>
        <w:tblW w:type="auto" w:w="0"/>
        <w:tblLook w:firstColumn="1" w:firstRow="1" w:lastColumn="0" w:lastRow="0" w:noHBand="0" w:noVBand="1" w:val="04A0"/>
      </w:tblPr>
      <w:tblGrid>
        <w:gridCol w:w="8640"/>
      </w:tblGrid>
      <w:tr>
        <w:tc>
          <w:tcPr>
            <w:tcW w:type="dxa" w:w="8640"/>
            <w:shd w:fill="F8FAFC"/>
          </w:tcPr>
          <w:p>
            <w:r>
              <w:br/>
              <w:br/>
              <w:br/>
              <w:br/>
              <w:br/>
              <w:br/>
              <w:br/>
              <w:br/>
              <w:br/>
              <w:br/>
              <w:br/>
            </w:r>
          </w:p>
        </w:tc>
      </w:tr>
    </w:tbl>
    <w:p/>
    <w:p>
      <w:r>
        <w:rPr>
          <w:b/>
          <w:color w:val="F97316"/>
        </w:rPr>
        <w:t>P2 — Apply the 4-scenario strategic framework</w:t>
      </w:r>
    </w:p>
    <w:p>
      <w:r>
        <w:rPr>
          <w:b/>
          <w:i w:val="0"/>
          <w:sz w:val="22"/>
        </w:rPr>
        <w:t>Using the 4-scenario framework (section 4):</w:t>
      </w:r>
    </w:p>
    <w:p>
      <w:pPr>
        <w:pStyle w:val="ListBullet"/>
      </w:pPr>
      <w:r>
        <w:t>Identify which scenario applies to Nomade for each version (Standard / Premium).</w:t>
      </w:r>
    </w:p>
    <w:p>
      <w:pPr>
        <w:pStyle w:val="ListBullet"/>
      </w:pPr>
      <w:r>
        <w:t>Is Popt &gt; or &lt; competitors' prices? Is the reason cost structure or differentiation?</w:t>
      </w:r>
    </w:p>
    <w:p>
      <w:pPr>
        <w:pStyle w:val="ListBullet"/>
      </w:pPr>
      <w:r>
        <w:t>Given the scenario, should Nomade pursue: (a) penetration (−) / aggressive penetration (−−), (b) skimming (+) / fast-aggressive (++), or (c) nothing?</w:t>
      </w:r>
    </w:p>
    <w:p>
      <w:pPr>
        <w:pStyle w:val="ListBullet"/>
      </w:pPr>
      <w:r>
        <w:t>Justify with competition theory and the WTP profit analysis.</w:t>
      </w:r>
    </w:p>
    <w:tbl>
      <w:tblPr>
        <w:tblW w:type="auto" w:w="0"/>
        <w:tblLook w:firstColumn="1" w:firstRow="1" w:lastColumn="0" w:lastRow="0" w:noHBand="0" w:noVBand="1" w:val="04A0"/>
      </w:tblPr>
      <w:tblGrid>
        <w:gridCol w:w="8640"/>
      </w:tblGrid>
      <w:tr>
        <w:tc>
          <w:tcPr>
            <w:tcW w:type="dxa" w:w="8640"/>
            <w:shd w:fill="ECFDF5"/>
          </w:tcPr>
          <w:p>
            <w:r>
              <w:rPr>
                <w:b/>
                <w:color w:val="065F46"/>
              </w:rPr>
              <w:t xml:space="preserve">Answer guide — P2  </w:t>
            </w:r>
            <w:r>
              <w:t>WTP optima: Standard €80 · Premium €100. Competitor range (daily) €85–€105. Therefore Popt &lt; C. Cost structure similar or slightly better (sustainable-design efficiency); differentiation OBJECTIVELY HIGHER but BRAND RECOGNITION LOW. This matches SCENARIO b.3 (Popt &lt; C because perceived as less differentiated, despite real superiority). RECOMMENDATION → SKIMMING (+) on the Premium tier (raise gradually to build brand anchor) and a gentle PENETRATION (−) on Standard only for the first season (seed trials). Never (−−) aggressive penetration — it burns margin without fixing the brand gap. Confirm the decision on the Profit curve: check the profit at +€5 and +€10 before committing.</w:t>
            </w:r>
          </w:p>
        </w:tc>
      </w:tr>
    </w:tbl>
    <w:p/>
    <w:p>
      <w:r>
        <w:rPr>
          <w:b/>
          <w:i w:val="0"/>
          <w:sz w:val="22"/>
        </w:rPr>
        <w:t>Your answer:</w:t>
      </w:r>
    </w:p>
    <w:tbl>
      <w:tblPr>
        <w:tblW w:type="auto" w:w="0"/>
        <w:tblLook w:firstColumn="1" w:firstRow="1" w:lastColumn="0" w:lastRow="0" w:noHBand="0" w:noVBand="1" w:val="04A0"/>
      </w:tblPr>
      <w:tblGrid>
        <w:gridCol w:w="8640"/>
      </w:tblGrid>
      <w:tr>
        <w:tc>
          <w:tcPr>
            <w:tcW w:type="dxa" w:w="8640"/>
            <w:shd w:fill="F8FAFC"/>
          </w:tcPr>
          <w:p>
            <w:r>
              <w:br/>
              <w:br/>
              <w:br/>
              <w:br/>
              <w:br/>
              <w:br/>
              <w:br/>
              <w:br/>
              <w:br/>
              <w:br/>
              <w:br/>
              <w:br/>
              <w:br/>
            </w:r>
          </w:p>
        </w:tc>
      </w:tr>
    </w:tbl>
    <w:p/>
    <w:p>
      <w:r>
        <w:rPr>
          <w:b/>
          <w:color w:val="F97316"/>
        </w:rPr>
        <w:t>P3 — Weekend / week pricing strategy</w:t>
      </w:r>
    </w:p>
    <w:p>
      <w:r>
        <w:rPr>
          <w:b/>
          <w:i w:val="0"/>
          <w:sz w:val="22"/>
        </w:rPr>
        <w:t>Competitor data is DAILY only:</w:t>
      </w:r>
    </w:p>
    <w:p>
      <w:pPr>
        <w:pStyle w:val="ListBullet"/>
      </w:pPr>
      <w:r>
        <w:t>Start from your daily pricing decisions (WTP optimum + competitive positioning).</w:t>
      </w:r>
    </w:p>
    <w:p>
      <w:pPr>
        <w:pStyle w:val="ListBullet"/>
      </w:pPr>
      <w:r>
        <w:t>Assume industry conventions: weekend ≈ 5–10 % per-day discount, week ≈ 20–30 % total discount.</w:t>
      </w:r>
    </w:p>
    <w:p>
      <w:pPr>
        <w:pStyle w:val="ListBullet"/>
      </w:pPr>
      <w:r>
        <w:t>Propose Nomade's weekend / week prices.</w:t>
      </w:r>
    </w:p>
    <w:p>
      <w:pPr>
        <w:pStyle w:val="ListBullet"/>
      </w:pPr>
      <w:r>
        <w:t>Use anchoring (daily × 7 vs weekly) and the "sandwich" between Standard and Premium.</w:t>
      </w:r>
    </w:p>
    <w:tbl>
      <w:tblPr>
        <w:tblW w:type="auto" w:w="0"/>
        <w:tblLook w:firstColumn="1" w:firstRow="1" w:lastColumn="0" w:lastRow="0" w:noHBand="0" w:noVBand="1" w:val="04A0"/>
      </w:tblPr>
      <w:tblGrid>
        <w:gridCol w:w="8640"/>
      </w:tblGrid>
      <w:tr>
        <w:tc>
          <w:tcPr>
            <w:tcW w:type="dxa" w:w="8640"/>
            <w:shd w:fill="ECFDF5"/>
          </w:tcPr>
          <w:p>
            <w:r>
              <w:rPr>
                <w:b/>
                <w:color w:val="065F46"/>
              </w:rPr>
              <w:t xml:space="preserve">Answer guide — P3  </w:t>
            </w:r>
            <w:r>
              <w:t>Use weekend ≈ −5 % per day (2-night packages) and week ≈ −30 % per day (long-stay discount). Proposed Nomade table: Std (Day €80 / Weekend €75 per day / Week €60 per day) · Prem (Day €100 / Weekend €95 per day / Week €77 per day). Anchor the week price by displaying the per-day saving vs the "daily × 7" reference. On Psychological factors → Anchoring, keep Basic = cheapest competitor, Middle = Nomade Std, Premium = Nomade Prem — click Apply-to-position. Use the "Std+Prem × Day/Weekend/Week + competitors" chart to verify the 2×3 sandwich visually.</w:t>
            </w:r>
          </w:p>
        </w:tc>
      </w:tr>
    </w:tbl>
    <w:p/>
    <w:p>
      <w:r>
        <w:rPr>
          <w:b/>
          <w:i w:val="0"/>
          <w:sz w:val="22"/>
        </w:rPr>
        <w:t>Your answer:</w:t>
      </w:r>
    </w:p>
    <w:tbl>
      <w:tblPr>
        <w:tblW w:type="auto" w:w="0"/>
        <w:tblLook w:firstColumn="1" w:firstRow="1" w:lastColumn="0" w:lastRow="0" w:noHBand="0" w:noVBand="1" w:val="04A0"/>
      </w:tblPr>
      <w:tblGrid>
        <w:gridCol w:w="8640"/>
      </w:tblGrid>
      <w:tr>
        <w:tc>
          <w:tcPr>
            <w:tcW w:type="dxa" w:w="8640"/>
            <w:shd w:fill="F8FAFC"/>
          </w:tcPr>
          <w:p>
            <w:r>
              <w:br/>
              <w:br/>
              <w:br/>
              <w:br/>
              <w:br/>
              <w:br/>
              <w:br/>
              <w:br/>
              <w:br/>
              <w:br/>
              <w:br/>
              <w:br/>
              <w:br/>
            </w:r>
          </w:p>
        </w:tc>
      </w:tr>
    </w:tbl>
    <w:p/>
    <w:p>
      <w:r>
        <w:rPr>
          <w:b/>
          <w:color w:val="F97316"/>
        </w:rPr>
        <w:t>P4 — Complete pricing proposal</w:t>
      </w:r>
    </w:p>
    <w:p>
      <w:r>
        <w:rPr>
          <w:b/>
          <w:i w:val="0"/>
          <w:sz w:val="22"/>
        </w:rPr>
        <w:t>Deliver the full pricing strategy with justification:</w:t>
      </w:r>
    </w:p>
    <w:p>
      <w:pPr>
        <w:pStyle w:val="ListBullet"/>
      </w:pPr>
      <w:r>
        <w:t>Complete price table (Standard / Premium × Day / Weekend / Week).</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p>
        </w:tc>
        <w:tc>
          <w:tcPr>
            <w:tcW w:type="dxa" w:w="2160"/>
          </w:tcPr>
          <w:p>
            <w:r>
              <w:rPr>
                <w:b/>
              </w:rPr>
              <w:t>Day</w:t>
            </w:r>
          </w:p>
        </w:tc>
        <w:tc>
          <w:tcPr>
            <w:tcW w:type="dxa" w:w="2160"/>
          </w:tcPr>
          <w:p>
            <w:r>
              <w:rPr>
                <w:b/>
              </w:rPr>
              <w:t>Weekend (per day)</w:t>
            </w:r>
          </w:p>
        </w:tc>
        <w:tc>
          <w:tcPr>
            <w:tcW w:type="dxa" w:w="2160"/>
          </w:tcPr>
          <w:p>
            <w:r>
              <w:rPr>
                <w:b/>
              </w:rPr>
              <w:t>Week (per day)</w:t>
            </w:r>
          </w:p>
        </w:tc>
      </w:tr>
      <w:tr>
        <w:tc>
          <w:tcPr>
            <w:tcW w:type="dxa" w:w="2160"/>
          </w:tcPr>
          <w:p>
            <w:r>
              <w:t>Standard</w:t>
            </w:r>
          </w:p>
        </w:tc>
        <w:tc>
          <w:tcPr>
            <w:tcW w:type="dxa" w:w="2160"/>
          </w:tcPr>
          <w:p/>
        </w:tc>
        <w:tc>
          <w:tcPr>
            <w:tcW w:type="dxa" w:w="2160"/>
          </w:tcPr>
          <w:p/>
        </w:tc>
        <w:tc>
          <w:tcPr>
            <w:tcW w:type="dxa" w:w="2160"/>
          </w:tcPr>
          <w:p/>
        </w:tc>
      </w:tr>
      <w:tr>
        <w:tc>
          <w:tcPr>
            <w:tcW w:type="dxa" w:w="2160"/>
          </w:tcPr>
          <w:p>
            <w:r>
              <w:t>Premium</w:t>
            </w:r>
          </w:p>
        </w:tc>
        <w:tc>
          <w:tcPr>
            <w:tcW w:type="dxa" w:w="2160"/>
          </w:tcPr>
          <w:p/>
        </w:tc>
        <w:tc>
          <w:tcPr>
            <w:tcW w:type="dxa" w:w="2160"/>
          </w:tcPr>
          <w:p/>
        </w:tc>
        <w:tc>
          <w:tcPr>
            <w:tcW w:type="dxa" w:w="2160"/>
          </w:tcPr>
          <w:p/>
        </w:tc>
      </w:tr>
    </w:tbl>
    <w:p/>
    <w:p>
      <w:pPr>
        <w:pStyle w:val="ListBullet"/>
      </w:pPr>
      <w:r>
        <w:t>Comparison vs competitors (with your weekend/week assumptions).</w:t>
      </w:r>
    </w:p>
    <w:p>
      <w:pPr>
        <w:pStyle w:val="ListBullet"/>
      </w:pPr>
      <w:r>
        <w:t>Justify with: (a) WTP analysis (profit curves), (b) competitive positioning (differentiation vs costs), (c) psychological tactics (anchoring, sandwich, charm).</w:t>
      </w:r>
    </w:p>
    <w:p>
      <w:pPr>
        <w:pStyle w:val="ListBullet"/>
      </w:pPr>
      <w:r>
        <w:t>Expected business outcomes (profit, market positioning).</w:t>
      </w:r>
    </w:p>
    <w:p>
      <w:pPr>
        <w:pStyle w:val="ListBullet"/>
      </w:pPr>
      <w:r>
        <w:t>Consider alternative structures (e.g., 3-tier with "enhanced" version).</w:t>
      </w:r>
    </w:p>
    <w:p>
      <w:pPr>
        <w:pStyle w:val="ListBullet"/>
      </w:pPr>
      <w:r>
        <w:t>Risk mitigation (competitor reactions).</w:t>
      </w:r>
    </w:p>
    <w:tbl>
      <w:tblPr>
        <w:tblW w:type="auto" w:w="0"/>
        <w:tblLook w:firstColumn="1" w:firstRow="1" w:lastColumn="0" w:lastRow="0" w:noHBand="0" w:noVBand="1" w:val="04A0"/>
      </w:tblPr>
      <w:tblGrid>
        <w:gridCol w:w="8640"/>
      </w:tblGrid>
      <w:tr>
        <w:tc>
          <w:tcPr>
            <w:tcW w:type="dxa" w:w="8640"/>
            <w:shd w:fill="ECFDF5"/>
          </w:tcPr>
          <w:p>
            <w:r>
              <w:rPr>
                <w:b/>
                <w:color w:val="065F46"/>
              </w:rPr>
              <w:t xml:space="preserve">Answer guide — P4  </w:t>
            </w:r>
            <w:r>
              <w:t>Baseline proposal (with charm endings): Standard Day €79 / Weekend €75/day / Week €60/day · Premium Day €99 / Weekend €95/day / Week €77/day. Charm €79 / €99 captures the digit-9 uplift without eroding margin. Expected outcome: ≈ 65 % acceptance on Std, 40–50 % on Prem, −€5 to −€10 gap vs competitor average, total profit &gt; €80 k/yr combined. Alternative 3-tier (Base / Std / Premium) would deepen the anchoring effect but adds fleet complexity — defer to year 2. Risk mitigation: (i) competitors undercut daily Std → 6-month price lock + loyalty week-at-day-price; (ii) brand-recognition handicap → push sustainability narrative on every touchpoint; (iii) cannibalisation → keep the Std–Prem gap ≥ €20. Fill every price on Position &amp; prices, add the analyst note, download the Excel — that file is the proposal.</w:t>
            </w:r>
          </w:p>
        </w:tc>
      </w:tr>
    </w:tbl>
    <w:p/>
    <w:p>
      <w:r>
        <w:rPr>
          <w:b/>
          <w:i w:val="0"/>
          <w:sz w:val="22"/>
        </w:rPr>
        <w:t>Your answer:</w:t>
      </w:r>
    </w:p>
    <w:tbl>
      <w:tblPr>
        <w:tblW w:type="auto" w:w="0"/>
        <w:tblLook w:firstColumn="1" w:firstRow="1" w:lastColumn="0" w:lastRow="0" w:noHBand="0" w:noVBand="1" w:val="04A0"/>
      </w:tblPr>
      <w:tblGrid>
        <w:gridCol w:w="8640"/>
      </w:tblGrid>
      <w:tr>
        <w:tc>
          <w:tcPr>
            <w:tcW w:type="dxa" w:w="8640"/>
            <w:shd w:fill="F8FAFC"/>
          </w:tcPr>
          <w:p>
            <w:r>
              <w:br/>
              <w:br/>
              <w:br/>
              <w:br/>
              <w:br/>
              <w:br/>
              <w:br/>
              <w:br/>
              <w:br/>
              <w:br/>
              <w:br/>
              <w:br/>
              <w:br/>
              <w:br/>
              <w:br/>
            </w:r>
          </w:p>
        </w:tc>
      </w:tr>
    </w:tbl>
    <w:p/>
    <w:p>
      <w:r>
        <w:br w:type="page"/>
      </w:r>
    </w:p>
    <w:p>
      <w:pPr>
        <w:pStyle w:val="Heading1"/>
      </w:pPr>
      <w:r>
        <w:rPr>
          <w:color w:val="0F172A"/>
        </w:rPr>
        <w:t>7. Evaluation criteria</w:t>
      </w:r>
    </w:p>
    <w:p>
      <w:pPr>
        <w:pStyle w:val="ListBullet"/>
      </w:pPr>
      <w:r>
        <w:t>Rigour — evidence inside the simulator (drag results, screenshots, numbers).</w:t>
      </w:r>
    </w:p>
    <w:p>
      <w:pPr>
        <w:pStyle w:val="ListBullet"/>
      </w:pPr>
      <w:r>
        <w:t>Integration of competition + WTP + psychological factors into a single recommendation.</w:t>
      </w:r>
    </w:p>
    <w:p>
      <w:pPr>
        <w:pStyle w:val="ListBullet"/>
      </w:pPr>
      <w:r>
        <w:t>Correct use of the 4-scenario strategic framework.</w:t>
      </w:r>
    </w:p>
    <w:p>
      <w:pPr>
        <w:pStyle w:val="ListBullet"/>
      </w:pPr>
      <w:r>
        <w:t>Clarity and brevity — numbers justified, trade-offs explicit.</w:t>
      </w:r>
    </w:p>
    <w:p>
      <w:pPr>
        <w:pStyle w:val="Heading2"/>
      </w:pPr>
      <w:r>
        <w:rPr>
          <w:color w:val="0F172A"/>
        </w:rPr>
        <w:t>Deliverable</w:t>
      </w:r>
    </w:p>
    <w:p>
      <w:r>
        <w:rPr>
          <w:b w:val="0"/>
          <w:i w:val="0"/>
          <w:sz w:val="22"/>
        </w:rPr>
        <w:t>The Excel (.xlsx) downloaded from the simulator is enough. Submit that file alone — it already contains every piece of evidence required:</w:t>
      </w:r>
    </w:p>
    <w:p>
      <w:pPr>
        <w:pStyle w:val="ListBullet"/>
      </w:pPr>
      <w:r>
        <w:t>Guide — case background, data note and active view.</w:t>
      </w:r>
    </w:p>
    <w:p>
      <w:pPr>
        <w:pStyle w:val="ListBullet"/>
      </w:pPr>
      <w:r>
        <w:t>Questions — the 13 survey items (reference only).</w:t>
      </w:r>
    </w:p>
    <w:p>
      <w:pPr>
        <w:pStyle w:val="ListBullet"/>
      </w:pPr>
      <w:r>
        <w:t>Answers — Day / Weekend / Week — aggregated WTP distributions.</w:t>
      </w:r>
    </w:p>
    <w:p>
      <w:pPr>
        <w:pStyle w:val="ListBullet"/>
      </w:pPr>
      <w:r>
        <w:t>Position — your final prices, competitor prices, peak / gap / acceptance KPIs and the analyst note.</w:t>
      </w:r>
    </w:p>
    <w:p>
      <w:pPr>
        <w:pStyle w:val="ListBullet"/>
      </w:pPr>
      <w:r>
        <w:t>Case answers — your written answers to the four formal questions.</w:t>
      </w:r>
    </w:p>
    <w:p>
      <w:pPr>
        <w:pStyle w:val="ListBullet"/>
      </w:pPr>
      <w:r>
        <w:t>Charts — the nine simulator charts embedded as images.</w:t>
      </w:r>
    </w:p>
    <w:p>
      <w:r>
        <w:rPr>
          <w:b w:val="0"/>
          <w:i/>
          <w:color w:val="64748B"/>
          <w:sz w:val="22"/>
        </w:rPr>
        <w:t>Before downloading, make sure you have filled the four Case answers and set the final prices in Position &amp; prices. No additional Word or PowerPoint file is required.</w:t>
      </w:r>
    </w:p>
    <w:p>
      <w:r>
        <w:br w:type="page"/>
      </w:r>
    </w:p>
    <w:p>
      <w:pPr>
        <w:pStyle w:val="Heading1"/>
      </w:pPr>
      <w:r>
        <w:rPr>
          <w:color w:val="0F172A"/>
        </w:rPr>
        <w:t>Appendix — The 13 survey questions (reference only)</w:t>
      </w:r>
    </w:p>
    <w:p>
      <w:r>
        <w:rPr>
          <w:b w:val="0"/>
          <w:i/>
          <w:color w:val="64748B"/>
          <w:sz w:val="22"/>
        </w:rPr>
        <w:t>These are the 13 items asked to the 95 survey respondents. They appear here only as reference so that you can interpret the aggregated WTP distribution displayed by the simulator. You are NOT asked to answer them yourself. Original Spanish wording in italics.</w:t>
      </w:r>
    </w:p>
    <w:p>
      <w:r>
        <w:rPr>
          <w:b/>
        </w:rPr>
        <w:t xml:space="preserve">Q1. </w:t>
      </w:r>
      <w:r>
        <w:t>Please indicate your gender.</w:t>
      </w:r>
    </w:p>
    <w:p>
      <w:r>
        <w:rPr>
          <w:i/>
          <w:color w:val="64748B"/>
          <w:sz w:val="20"/>
        </w:rPr>
        <w:t>Por favor, indique su género.</w:t>
      </w:r>
    </w:p>
    <w:p>
      <w:r>
        <w:rPr>
          <w:b/>
        </w:rPr>
        <w:t xml:space="preserve">Q2. </w:t>
      </w:r>
      <w:r>
        <w:t>What age range are you in?  &lt;20 / 20-30 / 30-40 / 40-50 / 50-60 / &gt;60</w:t>
      </w:r>
    </w:p>
    <w:p>
      <w:r>
        <w:rPr>
          <w:i/>
          <w:color w:val="64748B"/>
          <w:sz w:val="20"/>
        </w:rPr>
        <w:t>¿En qué rango de edad se encuentra?</w:t>
      </w:r>
    </w:p>
    <w:p>
      <w:r>
        <w:rPr>
          <w:b/>
        </w:rPr>
        <w:t xml:space="preserve">Q3. </w:t>
      </w:r>
      <w:r>
        <w:t>What is your civil status?  Single / Married / Divorced / Widowed</w:t>
      </w:r>
    </w:p>
    <w:p>
      <w:r>
        <w:rPr>
          <w:i/>
          <w:color w:val="64748B"/>
          <w:sz w:val="20"/>
        </w:rPr>
        <w:t>¿Cuál es su estado civil?</w:t>
      </w:r>
    </w:p>
    <w:p>
      <w:r>
        <w:rPr>
          <w:b/>
        </w:rPr>
        <w:t xml:space="preserve">Q4. </w:t>
      </w:r>
      <w:r>
        <w:t>What is your level of education?  Primary / Secondary / University / Master or PhD</w:t>
      </w:r>
    </w:p>
    <w:p>
      <w:r>
        <w:rPr>
          <w:i/>
          <w:color w:val="64748B"/>
          <w:sz w:val="20"/>
        </w:rPr>
        <w:t>¿Cuál es su nivel de educación?</w:t>
      </w:r>
    </w:p>
    <w:p>
      <w:r>
        <w:rPr>
          <w:b/>
        </w:rPr>
        <w:t xml:space="preserve">Q5. </w:t>
      </w:r>
      <w:r>
        <w:t>Select your employment status.  Employed / Self-employed / Unemployed / Retired / Student</w:t>
      </w:r>
    </w:p>
    <w:p>
      <w:r>
        <w:rPr>
          <w:i/>
          <w:color w:val="64748B"/>
          <w:sz w:val="20"/>
        </w:rPr>
        <w:t>Seleccione su situación laboral.</w:t>
      </w:r>
    </w:p>
    <w:p>
      <w:r>
        <w:rPr>
          <w:b/>
        </w:rPr>
        <w:t xml:space="preserve">Q6. </w:t>
      </w:r>
      <w:r>
        <w:t>What do you like to do in your free time? (multiple choice)  Travel · Reading · Sports · Adventure · Family time · Other</w:t>
      </w:r>
    </w:p>
    <w:p>
      <w:r>
        <w:rPr>
          <w:i/>
          <w:color w:val="64748B"/>
          <w:sz w:val="20"/>
        </w:rPr>
        <w:t>¿Qué le gusta hacer en su tiempo libre?</w:t>
      </w:r>
    </w:p>
    <w:p>
      <w:r>
        <w:rPr>
          <w:b/>
        </w:rPr>
        <w:t xml:space="preserve">Q7. </w:t>
      </w:r>
      <w:r>
        <w:t>How many days do you usually go on vacation?  &lt;3 / 3-5 / 5-7 / &gt;7</w:t>
      </w:r>
    </w:p>
    <w:p>
      <w:r>
        <w:rPr>
          <w:i/>
          <w:color w:val="64748B"/>
          <w:sz w:val="20"/>
        </w:rPr>
        <w:t>¿Cuántos días sueles irte de vacaciones?</w:t>
      </w:r>
    </w:p>
    <w:p>
      <w:r>
        <w:rPr>
          <w:b/>
        </w:rPr>
        <w:t xml:space="preserve">Q8. </w:t>
      </w:r>
      <w:r>
        <w:t>Maximum price you are willing to pay — STANDARD camper, per day.</w:t>
      </w:r>
    </w:p>
    <w:p>
      <w:r>
        <w:rPr>
          <w:i/>
          <w:color w:val="64748B"/>
          <w:sz w:val="20"/>
        </w:rPr>
        <w:t>Precio máximo por el alquiler de una camper ESTÁNDAR al día.</w:t>
      </w:r>
    </w:p>
    <w:p>
      <w:r>
        <w:rPr>
          <w:b/>
        </w:rPr>
        <w:t xml:space="preserve">Q9. </w:t>
      </w:r>
      <w:r>
        <w:t>Maximum price you are willing to pay — STANDARD camper, weekend (2 nights).</w:t>
      </w:r>
    </w:p>
    <w:p>
      <w:r>
        <w:rPr>
          <w:i/>
          <w:color w:val="64748B"/>
          <w:sz w:val="20"/>
        </w:rPr>
        <w:t>Precio máximo — camper ESTÁNDAR fin de semana (2 noches).</w:t>
      </w:r>
    </w:p>
    <w:p>
      <w:r>
        <w:rPr>
          <w:b/>
        </w:rPr>
        <w:t xml:space="preserve">Q10. </w:t>
      </w:r>
      <w:r>
        <w:t>Maximum price you are willing to pay — STANDARD camper, week (6 nights).</w:t>
      </w:r>
    </w:p>
    <w:p>
      <w:r>
        <w:rPr>
          <w:i/>
          <w:color w:val="64748B"/>
          <w:sz w:val="20"/>
        </w:rPr>
        <w:t>Precio máximo — camper ESTÁNDAR semana (6 noches).</w:t>
      </w:r>
    </w:p>
    <w:p>
      <w:r>
        <w:rPr>
          <w:b/>
        </w:rPr>
        <w:t xml:space="preserve">Q11. </w:t>
      </w:r>
      <w:r>
        <w:t>Maximum price you are willing to pay — PREMIUM camper, per day.</w:t>
      </w:r>
    </w:p>
    <w:p>
      <w:r>
        <w:rPr>
          <w:i/>
          <w:color w:val="64748B"/>
          <w:sz w:val="20"/>
        </w:rPr>
        <w:t>Precio máximo — camper PREMIUM al día.</w:t>
      </w:r>
    </w:p>
    <w:p>
      <w:r>
        <w:rPr>
          <w:b/>
        </w:rPr>
        <w:t xml:space="preserve">Q12. </w:t>
      </w:r>
      <w:r>
        <w:t>Maximum price you are willing to pay — PREMIUM camper, weekend (2 nights).</w:t>
      </w:r>
    </w:p>
    <w:p>
      <w:r>
        <w:rPr>
          <w:i/>
          <w:color w:val="64748B"/>
          <w:sz w:val="20"/>
        </w:rPr>
        <w:t>Precio máximo — camper PREMIUM fin de semana (2 noches).</w:t>
      </w:r>
    </w:p>
    <w:p>
      <w:r>
        <w:rPr>
          <w:b/>
        </w:rPr>
        <w:t xml:space="preserve">Q13. </w:t>
      </w:r>
      <w:r>
        <w:t>Maximum price you are willing to pay — PREMIUM camper, week (6 nights).</w:t>
      </w:r>
    </w:p>
    <w:p>
      <w:r>
        <w:rPr>
          <w:i/>
          <w:color w:val="64748B"/>
          <w:sz w:val="20"/>
        </w:rPr>
        <w:t>Precio máximo — camper PREMIUM semana (6 noches).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