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Preregistration — Orthopedic 510(k) Predicate-Graph Study (154-code confirmatory extension)</w:t>
      </w:r>
    </w:p>
    <w:p>
      <w:r/>
      <w:r>
        <w:rPr>
          <w:b/>
        </w:rPr>
        <w:t>Registration template:</w:t>
      </w:r>
      <w:r>
        <w:t xml:space="preserve"> OSF </w:t>
      </w:r>
      <w:r>
        <w:rPr>
          <w:i/>
        </w:rPr>
        <w:t>Preregistration for Existing Data</w:t>
      </w:r>
      <w:r>
        <w:t xml:space="preserve"> (chosen because the raw data are</w:t>
      </w:r>
    </w:p>
    <w:p>
      <w:r>
        <w:t>already collected and frozen; see §2).</w:t>
      </w:r>
    </w:p>
    <w:p>
      <w:r/>
      <w:r>
        <w:rPr>
          <w:b/>
        </w:rPr>
        <w:t>Study type:</w:t>
      </w:r>
      <w:r>
        <w:t xml:space="preserve"> Retrospective, observational, secondary analysis of public U.S. FDA regulatory data.</w:t>
      </w:r>
    </w:p>
    <w:p>
      <w:r/>
      <w:r>
        <w:rPr>
          <w:b/>
        </w:rPr>
        <w:t>This is not a clinical trial</w:t>
      </w:r>
      <w:r>
        <w:t xml:space="preserve"> (no intervention, no randomization, no human participants) and **not a</w:t>
      </w:r>
    </w:p>
    <w:p>
      <w:r>
        <w:t>systematic review** — so ClinicalTrials.gov and PROSPERO do not apply. See §1.</w:t>
      </w:r>
    </w:p>
    <w:p>
      <w:r/>
      <w:r>
        <w:rPr>
          <w:b/>
        </w:rPr>
        <w:t>Snapshot date (data frozen):</w:t>
      </w:r>
      <w:r>
        <w:t xml:space="preserve"> 2026-07-21. </w:t>
      </w:r>
      <w:r>
        <w:rPr>
          <w:b/>
        </w:rPr>
        <w:t>openFDA data release:</w:t>
      </w:r>
      <w:r>
        <w:t xml:space="preserve"> 2026-07-06.</w:t>
      </w:r>
    </w:p>
    <w:p>
      <w:r/>
      <w:r>
        <w:rPr>
          <w:b/>
        </w:rPr>
        <w:t>Status at registration:</w:t>
      </w:r>
      <w:r>
        <w:t xml:space="preserve"> analysis plan locked </w:t>
      </w:r>
      <w:r>
        <w:rPr>
          <w:i/>
        </w:rPr>
        <w:t>before</w:t>
      </w:r>
      <w:r>
        <w:t xml:space="preserve"> the confirmatory quantities (§6) are</w:t>
      </w:r>
    </w:p>
    <w:p>
      <w:r>
        <w:t>computed. See the prior-knowledge declaration in §3 — this is the anti-HARKing / anti-p-hacking core</w:t>
      </w:r>
    </w:p>
    <w:p>
      <w:r>
        <w:t>of this document.</w:t>
      </w:r>
    </w:p>
    <w:p>
      <w:r>
        <w:t>Authors: _[to be completed]_  ·  Contact: _[to be completed]_  ·  Version: 1.0 (draft for review)</w:t>
      </w:r>
    </w:p>
    <w:p>
      <w:pPr>
        <w:pStyle w:val="Heading1"/>
      </w:pPr>
      <w:r>
        <w:t>1. Purpose and why this registry</w:t>
      </w:r>
    </w:p>
    <w:p>
      <w:r>
        <w:t xml:space="preserve">The goal of preregistration here is narrow and explicit: to </w:t>
      </w:r>
      <w:r>
        <w:rPr>
          <w:b/>
        </w:rPr>
        <w:t>fix every analytical decision in advance</w:t>
      </w:r>
      <w:r/>
    </w:p>
    <w:p>
      <w:r>
        <w:t>so that the results of the 154-code analysis cannot be shaped — consciously or not — by seeing the</w:t>
      </w:r>
    </w:p>
    <w:p>
      <w:r>
        <w:t>numbers first. Concretely, it protects against:</w:t>
      </w:r>
    </w:p>
    <w:p>
      <w:pPr>
        <w:pStyle w:val="ListBullet"/>
      </w:pPr>
      <w:r/>
      <w:r>
        <w:rPr>
          <w:b/>
        </w:rPr>
        <w:t>p-hacking</w:t>
      </w:r>
      <w:r>
        <w:t xml:space="preserve"> — trying multiple thresholds, subsets, or tests and reporting whichever gives the</w:t>
      </w:r>
    </w:p>
    <w:p>
      <w:r>
        <w:t xml:space="preserve">  cleanest result. Prevented by pre-specifying the </w:t>
      </w:r>
      <w:r>
        <w:rPr>
          <w:i/>
        </w:rPr>
        <w:t>exact</w:t>
      </w:r>
      <w:r>
        <w:t xml:space="preserve"> edge rule, confidence tiers, recall</w:t>
      </w:r>
    </w:p>
    <w:p>
      <w:r>
        <w:t xml:space="preserve">  linkage, statistical tests, and the full (closed) list of sensitivity analyses in §5–§8.</w:t>
      </w:r>
    </w:p>
    <w:p>
      <w:pPr>
        <w:pStyle w:val="ListBullet"/>
      </w:pPr>
      <w:r/>
      <w:r>
        <w:rPr>
          <w:b/>
        </w:rPr>
        <w:t>HARKing</w:t>
      </w:r>
      <w:r>
        <w:t xml:space="preserve"> (Hypothesizing After Results are Known) — presenting a finding discovered in the data as</w:t>
      </w:r>
    </w:p>
    <w:p>
      <w:r>
        <w:t xml:space="preserve">  though it had been predicted. Prevented by stating the hypotheses (§4) before the confirmatory</w:t>
      </w:r>
    </w:p>
    <w:p>
      <w:r>
        <w:t xml:space="preserve">  numbers exist, and by openly disclosing what we </w:t>
      </w:r>
      <w:r>
        <w:rPr>
          <w:i/>
        </w:rPr>
        <w:t>already</w:t>
      </w:r>
      <w:r>
        <w:t xml:space="preserve"> know (§3).</w:t>
      </w:r>
    </w:p>
    <w:p>
      <w:r>
        <w:t>Because this is observational secondary-data research, the appropriate home is an **OSF</w:t>
      </w:r>
    </w:p>
    <w:p>
      <w:r>
        <w:t>Preregistration**, not a trial registry (no intervention) and not PROSPERO (not a systematic review of</w:t>
      </w:r>
    </w:p>
    <w:p>
      <w:r>
        <w:t xml:space="preserve">health outcomes). OSF's </w:t>
      </w:r>
      <w:r>
        <w:rPr>
          <w:i/>
        </w:rPr>
        <w:t>Existing Data</w:t>
      </w:r>
      <w:r>
        <w:t xml:space="preserve"> template is used specifically because the raw snapshot is</w:t>
      </w:r>
    </w:p>
    <w:p>
      <w:r>
        <w:t>already in hand; that template requires the honesty declaration in §3.</w:t>
      </w:r>
    </w:p>
    <w:p>
      <w:pPr>
        <w:pStyle w:val="Heading1"/>
      </w:pPr>
      <w:r>
        <w:t>2. Data source (already collected and frozen)</w:t>
      </w:r>
    </w:p>
    <w:p>
      <w:r>
        <w:t xml:space="preserve">All raw data are drawn from openFDA device endpoints and were </w:t>
      </w:r>
      <w:r>
        <w:rPr>
          <w:b/>
        </w:rPr>
        <w:t>frozen to disk on 2026-07-21</w:t>
      </w:r>
      <w:r>
        <w:t>. No</w:t>
      </w:r>
    </w:p>
    <w:p>
      <w:r>
        <w:t>number in the confirmatory analysis will be derived from the live API; every number derives from the</w:t>
      </w:r>
    </w:p>
    <w:p>
      <w:r>
        <w:t>frozen files. The frozen snapshot comprises: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510k_raw.json.gz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/device/510k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15,556 unique devices (13,288 with a public Summary)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recall_raw.json.gz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/device/recall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6,285 recall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enforcement_raw.json.gz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/device/enforcement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4,089 records carrying a severity classification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SNAPSHOT.json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manifest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date, counts, inclusion rule, full product-code list</w:t>
            </w:r>
          </w:p>
        </w:tc>
      </w:tr>
    </w:tbl>
    <w:p/>
    <w:p>
      <w:r>
        <w:t>Summary PDFs (the only place predicate relationships are written) are downloaded separately from</w:t>
      </w:r>
    </w:p>
    <w:p>
      <w:r/>
      <w:r>
        <w:rPr>
          <w:rFonts w:ascii="Consolas" w:hAnsi="Consolas"/>
          <w:color w:val="A03030"/>
          <w:sz w:val="19"/>
        </w:rPr>
        <w:t>accessdata.fda.gov</w:t>
      </w:r>
      <w:r>
        <w:t>; they are static documents and are treated as part of the frozen snapshot by</w:t>
      </w:r>
    </w:p>
    <w:p>
      <w:r>
        <w:t>retrieval date.</w:t>
      </w:r>
    </w:p>
    <w:p>
      <w:pPr>
        <w:pStyle w:val="Heading1"/>
      </w:pPr>
      <w:r>
        <w:t>3. Prior-knowledge declaration (required; the honesty core)</w:t>
      </w:r>
    </w:p>
    <w:p>
      <w:r>
        <w:t>This section states exactly what is already known, so that no later claim can be mistaken for a naive</w:t>
      </w:r>
    </w:p>
    <w:p>
      <w:r>
        <w:t>prediction.</w:t>
      </w:r>
    </w:p>
    <w:p>
      <w:r/>
      <w:r>
        <w:rPr>
          <w:b/>
        </w:rPr>
        <w:t>3.1 A pilot study has been run.</w:t>
      </w:r>
      <w:r>
        <w:t xml:space="preserve"> An exploratory analysis on </w:t>
      </w:r>
      <w:r>
        <w:rPr>
          <w:b/>
        </w:rPr>
        <w:t>9 orthopedic product codes</w:t>
      </w:r>
      <w:r>
        <w:t xml:space="preserve"> (5,426</w:t>
      </w:r>
    </w:p>
    <w:p>
      <w:r>
        <w:t>devices) was completed before this registration. It found, descriptively: ~10% of devices linked to a</w:t>
      </w:r>
    </w:p>
    <w:p>
      <w:r>
        <w:t>recall; recalled devices are cited as predicates by later non-recalled devices; some are first cited</w:t>
      </w:r>
    </w:p>
    <w:p>
      <w:r>
        <w:t xml:space="preserve">only </w:t>
      </w:r>
      <w:r>
        <w:rPr>
          <w:i/>
        </w:rPr>
        <w:t>after</w:t>
      </w:r>
      <w:r>
        <w:t xml:space="preserve"> their own recall; persistence gaps of up to ~23 years; and higher adverse-event counts</w:t>
      </w:r>
    </w:p>
    <w:p>
      <w:r>
        <w:t>for recalled predicates than matched non-recalled predicates. **These pilot results are known to the</w:t>
      </w:r>
    </w:p>
    <w:p>
      <w:r>
        <w:t>authors and motivate the hypotheses in §4.</w:t>
      </w:r>
      <w:r>
        <w:rPr>
          <w:b/>
        </w:rPr>
        <w:t xml:space="preserve"> This work is therefore a </w:t>
      </w:r>
      <w:r>
        <w:t>pre-registered confirmatory</w:t>
      </w:r>
    </w:p>
    <w:p>
      <w:r>
        <w:t>extension of an exploratory pilot**, not a naive first look.</w:t>
      </w:r>
    </w:p>
    <w:p>
      <w:r/>
      <w:r>
        <w:rPr>
          <w:b/>
        </w:rPr>
        <w:t>3.2 The 154-code corpus is a superset of the pilot.</w:t>
      </w:r>
      <w:r>
        <w:t xml:space="preserve"> The inclusion rule (§4.1) captures all 9 pilot</w:t>
      </w:r>
    </w:p>
    <w:p>
      <w:r>
        <w:t xml:space="preserve">codes plus 145 more. The pilot devices are thus a subset (~35%) of the 15,556. This is an </w:t>
      </w:r>
      <w:r>
        <w:rPr>
          <w:b/>
        </w:rPr>
        <w:t>extension</w:t>
      </w:r>
      <w:r>
        <w:t>,</w:t>
      </w:r>
    </w:p>
    <w:p>
      <w:r>
        <w:t>not an independent replication; §9 specifies an optional held-out analysis on the 145 non-pilot codes</w:t>
      </w:r>
    </w:p>
    <w:p>
      <w:r>
        <w:t>for cleaner independence.</w:t>
      </w:r>
    </w:p>
    <w:p>
      <w:r/>
      <w:r>
        <w:rPr>
          <w:b/>
        </w:rPr>
        <w:t>3.3 What is already computed on the 154-code corpus (descriptive, treated as known):</w:t>
      </w:r>
      <w:r/>
    </w:p>
    <w:p>
      <w:pPr>
        <w:pStyle w:val="ListBullet"/>
      </w:pPr>
      <w:r>
        <w:t xml:space="preserve">corpus size: </w:t>
      </w:r>
      <w:r>
        <w:rPr>
          <w:b/>
        </w:rPr>
        <w:t>15,556 unique devices</w:t>
      </w:r>
      <w:r>
        <w:t xml:space="preserve">, </w:t>
      </w:r>
      <w:r>
        <w:rPr>
          <w:b/>
        </w:rPr>
        <w:t>13,288 with a Summary</w:t>
      </w:r>
      <w:r>
        <w:t>;</w:t>
      </w:r>
    </w:p>
    <w:p>
      <w:pPr>
        <w:pStyle w:val="ListBullet"/>
      </w:pPr>
      <w:r>
        <w:t xml:space="preserve">recall linkage: </w:t>
      </w:r>
      <w:r>
        <w:rPr>
          <w:b/>
        </w:rPr>
        <w:t>1,687 recalled devices</w:t>
      </w:r>
      <w:r>
        <w:t xml:space="preserve"> (worst-class: 1,305 Class II, 18 Class III, 11 Class I,</w:t>
      </w:r>
    </w:p>
    <w:p>
      <w:r>
        <w:t xml:space="preserve">  353 unclassified/pre-enforcement).</w:t>
      </w:r>
    </w:p>
    <w:p>
      <w:r>
        <w:t xml:space="preserve">These are reported as descriptive facts, </w:t>
      </w:r>
      <w:r>
        <w:rPr>
          <w:b/>
        </w:rPr>
        <w:t>not</w:t>
      </w:r>
      <w:r>
        <w:t xml:space="preserve"> as confirmatory tests.</w:t>
      </w:r>
    </w:p>
    <w:p>
      <w:r/>
      <w:r>
        <w:rPr>
          <w:b/>
        </w:rPr>
        <w:t>3.4 What is NOT yet computed (the confirmatory quantities this registration locks):</w:t>
      </w:r>
      <w:r>
        <w:t xml:space="preserve"> the predicate</w:t>
      </w:r>
    </w:p>
    <w:p>
      <w:r>
        <w:t>edge set and its validated precision; all graph-structure metrics; the persistent-recalled-predicate</w:t>
      </w:r>
    </w:p>
    <w:p>
      <w:r>
        <w:t>counts (predicates / citations / downstream devices); first-cited-after-recall count; persistence-gap</w:t>
      </w:r>
    </w:p>
    <w:p>
      <w:r>
        <w:t>distribution; the MAUDE recalled-vs-matched comparison; and every sensitivity subset. **None of these</w:t>
      </w:r>
    </w:p>
    <w:p>
      <w:r>
        <w:t>154-code values existed at the time this plan was registered.**</w:t>
      </w:r>
    </w:p>
    <w:p>
      <w:pPr>
        <w:pStyle w:val="Heading1"/>
      </w:pPr>
      <w:r>
        <w:t>4. Hypotheses (pre-specified)</w:t>
      </w:r>
    </w:p>
    <w:p>
      <w:r>
        <w:t>Each hypothesis restates a pilot observation as a directional prediction to be tested on the frozen</w:t>
      </w:r>
    </w:p>
    <w:p>
      <w:r>
        <w:t>154-code data. Confirmation/disconfirmation criteria are in §7.</w:t>
      </w:r>
    </w:p>
    <w:p>
      <w:pPr>
        <w:pStyle w:val="ListBullet"/>
      </w:pPr>
      <w:r/>
      <w:r>
        <w:rPr>
          <w:b/>
        </w:rPr>
        <w:t>H1 (persistence exists).</w:t>
      </w:r>
      <w:r>
        <w:t xml:space="preserve"> A non-trivial number of recalled devices are cited as predicates by</w:t>
      </w:r>
    </w:p>
    <w:p>
      <w:r>
        <w:t xml:space="preserve">  later devices cleared </w:t>
      </w:r>
      <w:r>
        <w:rPr>
          <w:i/>
        </w:rPr>
        <w:t>after</w:t>
      </w:r>
      <w:r>
        <w:t xml:space="preserve"> the recall date, where the citing device is itself not recalled</w:t>
      </w:r>
    </w:p>
    <w:p>
      <w:r>
        <w:t xml:space="preserve">  ("persistent recalled predicates").</w:t>
      </w:r>
    </w:p>
    <w:p>
      <w:pPr>
        <w:pStyle w:val="ListBullet"/>
      </w:pPr>
      <w:r/>
      <w:r>
        <w:rPr>
          <w:b/>
        </w:rPr>
        <w:t>H2 (post-recall entry).</w:t>
      </w:r>
      <w:r>
        <w:t xml:space="preserve"> A subset of recalled devices are first cited as a predicate </w:t>
      </w:r>
      <w:r>
        <w:rPr>
          <w:i/>
        </w:rPr>
        <w:t>only after</w:t>
      </w:r>
      <w:r/>
    </w:p>
    <w:p>
      <w:r>
        <w:t xml:space="preserve">  their own recall date.</w:t>
      </w:r>
    </w:p>
    <w:p>
      <w:pPr>
        <w:pStyle w:val="ListBullet"/>
      </w:pPr>
      <w:r/>
      <w:r>
        <w:rPr>
          <w:b/>
        </w:rPr>
        <w:t>H3 (long persistence).</w:t>
      </w:r>
      <w:r>
        <w:t xml:space="preserve"> The maximum interval between a device's recall and its latest post-recall</w:t>
      </w:r>
    </w:p>
    <w:p>
      <w:r>
        <w:t xml:space="preserve">  predicate citation exceeds 10 years.</w:t>
      </w:r>
    </w:p>
    <w:p>
      <w:pPr>
        <w:pStyle w:val="ListBullet"/>
      </w:pPr>
      <w:r/>
      <w:r>
        <w:rPr>
          <w:b/>
        </w:rPr>
        <w:t>H4 (adverse-event association).</w:t>
      </w:r>
      <w:r>
        <w:t xml:space="preserve"> Recalled predicates have a higher adverse-event burden (MAUDE</w:t>
      </w:r>
    </w:p>
    <w:p>
      <w:r>
        <w:t xml:space="preserve">  events per year on market) than a matched random sample of non-recalled cited predicates. *This is</w:t>
      </w:r>
    </w:p>
    <w:p>
      <w:r>
        <w:t xml:space="preserve">  explicitly an </w:t>
      </w:r>
      <w:r>
        <w:rPr>
          <w:b/>
        </w:rPr>
        <w:t>associational</w:t>
      </w:r>
      <w:r>
        <w:t xml:space="preserve"> hypothesis — see §8 and §10; no causal claim is made.*</w:t>
      </w:r>
    </w:p>
    <w:p>
      <w:pPr>
        <w:pStyle w:val="ListBullet"/>
      </w:pPr>
      <w:r/>
      <w:r>
        <w:rPr>
          <w:b/>
        </w:rPr>
        <w:t>H5 (robustness).</w:t>
      </w:r>
      <w:r>
        <w:t xml:space="preserve"> The direction of H1–H4 persists under the pre-specified sensitivity subsets</w:t>
      </w:r>
    </w:p>
    <w:p>
      <w:r>
        <w:t xml:space="preserve">  (§5), i.e. the findings are not an artifact of low-confidence edges or low-severity recalls.</w:t>
      </w:r>
    </w:p>
    <w:p>
      <w:pPr>
        <w:pStyle w:val="Heading1"/>
      </w:pPr>
      <w:r>
        <w:t>5. Operational definitions (locked)</w:t>
      </w:r>
    </w:p>
    <w:p>
      <w:pPr>
        <w:pStyle w:val="ListBullet"/>
      </w:pPr>
      <w:r/>
      <w:r>
        <w:rPr>
          <w:b/>
        </w:rPr>
        <w:t>Corpus / inclusion rule (D2):</w:t>
      </w:r>
      <w:r>
        <w:t xml:space="preserve"> every product code in the FDA device classification database with</w:t>
      </w:r>
    </w:p>
    <w:p>
      <w:r>
        <w:t xml:space="preserve">  </w:t>
      </w:r>
      <w:r>
        <w:rPr>
          <w:i/>
        </w:rPr>
        <w:t>medical_specialty = Orthopedic</w:t>
      </w:r>
      <w:r>
        <w:t xml:space="preserve"> AND </w:t>
      </w:r>
      <w:r>
        <w:rPr>
          <w:i/>
        </w:rPr>
        <w:t>device_class = 2</w:t>
      </w:r>
      <w:r>
        <w:t xml:space="preserve"> AND </w:t>
      </w:r>
      <w:r>
        <w:rPr>
          <w:i/>
        </w:rPr>
        <w:t>implant_flag = Y</w:t>
      </w:r>
      <w:r>
        <w:t xml:space="preserve"> AND *regulation number</w:t>
      </w:r>
    </w:p>
    <w:p>
      <w:r>
        <w:t xml:space="preserve">  beginning 888.3*. This yields the 154 codes listed in </w:t>
      </w:r>
      <w:r>
        <w:rPr>
          <w:rFonts w:ascii="Consolas" w:hAnsi="Consolas"/>
          <w:color w:val="A03030"/>
          <w:sz w:val="19"/>
        </w:rPr>
        <w:t>SNAPSHOT.json</w:t>
      </w:r>
      <w:r>
        <w:t>. The rule is applied</w:t>
      </w:r>
    </w:p>
    <w:p>
      <w:r>
        <w:t xml:space="preserve">  mechanically; no code is added or removed by hand.</w:t>
      </w:r>
    </w:p>
    <w:p>
      <w:pPr>
        <w:pStyle w:val="ListBullet"/>
      </w:pPr>
      <w:r/>
      <w:r>
        <w:rPr>
          <w:b/>
        </w:rPr>
        <w:t>Predicate cue:</w:t>
      </w:r>
      <w:r>
        <w:t xml:space="preserve"> a case-insensitive match of </w:t>
      </w:r>
      <w:r>
        <w:rPr>
          <w:rFonts w:ascii="Consolas" w:hAnsi="Consolas"/>
          <w:color w:val="A03030"/>
          <w:sz w:val="19"/>
        </w:rPr>
        <w:t>predicate</w:t>
      </w:r>
      <w:r>
        <w:t xml:space="preserve">, </w:t>
      </w:r>
      <w:r>
        <w:rPr>
          <w:rFonts w:ascii="Consolas" w:hAnsi="Consolas"/>
          <w:color w:val="A03030"/>
          <w:sz w:val="19"/>
        </w:rPr>
        <w:t>substantially equivalent</w:t>
      </w:r>
      <w:r>
        <w:t>, or</w:t>
      </w:r>
    </w:p>
    <w:p>
      <w:r>
        <w:t xml:space="preserve">  </w:t>
      </w:r>
      <w:r>
        <w:rPr>
          <w:rFonts w:ascii="Consolas" w:hAnsi="Consolas"/>
          <w:color w:val="A03030"/>
          <w:sz w:val="19"/>
        </w:rPr>
        <w:t>reference device</w:t>
      </w:r>
      <w:r>
        <w:t xml:space="preserve"> in the summary text.</w:t>
      </w:r>
    </w:p>
    <w:p>
      <w:pPr>
        <w:pStyle w:val="ListBullet"/>
      </w:pPr>
      <w:r/>
      <w:r>
        <w:rPr>
          <w:b/>
        </w:rPr>
        <w:t>Predicate edge (deterministic rule):</w:t>
      </w:r>
      <w:r>
        <w:t xml:space="preserve"> in any summary containing a predicate cue, every </w:t>
      </w:r>
      <w:r>
        <w:rPr>
          <w:i/>
        </w:rPr>
        <w:t>other</w:t>
      </w:r>
      <w:r/>
    </w:p>
    <w:p>
      <w:r>
        <w:t xml:space="preserve">  in-corpus K-number present in the text is recorded as an incoming predicate edge for that device.</w:t>
      </w:r>
    </w:p>
    <w:p>
      <w:r>
        <w:t xml:space="preserve">  Direction: predicate → citing device.</w:t>
      </w:r>
    </w:p>
    <w:p>
      <w:pPr>
        <w:pStyle w:val="ListBullet"/>
      </w:pPr>
      <w:r/>
      <w:r>
        <w:rPr>
          <w:b/>
        </w:rPr>
        <w:t>Confidence tier:</w:t>
      </w:r>
      <w:r>
        <w:t xml:space="preserve"> </w:t>
      </w:r>
      <w:r>
        <w:rPr>
          <w:rFonts w:ascii="Consolas" w:hAnsi="Consolas"/>
          <w:color w:val="A03030"/>
          <w:sz w:val="19"/>
        </w:rPr>
        <w:t>SECTION_HEADED</w:t>
      </w:r>
      <w:r>
        <w:t xml:space="preserve"> if a cue occurs within 300 characters of the K-number's first</w:t>
      </w:r>
    </w:p>
    <w:p>
      <w:r>
        <w:t xml:space="preserve">  mention; otherwise </w:t>
      </w:r>
      <w:r>
        <w:rPr>
          <w:rFonts w:ascii="Consolas" w:hAnsi="Consolas"/>
          <w:color w:val="A03030"/>
          <w:sz w:val="19"/>
        </w:rPr>
        <w:t>PROXIMITY_ONLY</w:t>
      </w:r>
      <w:r>
        <w:t>.</w:t>
      </w:r>
    </w:p>
    <w:p>
      <w:pPr>
        <w:pStyle w:val="ListBullet"/>
      </w:pPr>
      <w:r/>
      <w:r>
        <w:rPr>
          <w:b/>
        </w:rPr>
        <w:t>Recalled node:</w:t>
      </w:r>
      <w:r>
        <w:t xml:space="preserve"> a corpus device whose K-number appears in the structured </w:t>
      </w:r>
      <w:r>
        <w:rPr>
          <w:rFonts w:ascii="Consolas" w:hAnsi="Consolas"/>
          <w:color w:val="A03030"/>
          <w:sz w:val="19"/>
        </w:rPr>
        <w:t>k_numbers</w:t>
      </w:r>
      <w:r>
        <w:t xml:space="preserve"> field of a</w:t>
      </w:r>
    </w:p>
    <w:p>
      <w:r>
        <w:t xml:space="preserve">  recall record. Linkage is by identity only — </w:t>
      </w:r>
      <w:r>
        <w:rPr>
          <w:b/>
        </w:rPr>
        <w:t>no fuzzy name matching</w:t>
      </w:r>
      <w:r>
        <w:t>.</w:t>
      </w:r>
    </w:p>
    <w:p>
      <w:pPr>
        <w:pStyle w:val="ListBullet"/>
      </w:pPr>
      <w:r/>
      <w:r>
        <w:rPr>
          <w:b/>
        </w:rPr>
        <w:t>Recall severity class:</w:t>
      </w:r>
      <w:r>
        <w:t xml:space="preserve"> taken from the enforcement record joined on</w:t>
      </w:r>
    </w:p>
    <w:p>
      <w:r>
        <w:t xml:space="preserve">  </w:t>
      </w:r>
      <w:r>
        <w:rPr>
          <w:rFonts w:ascii="Consolas" w:hAnsi="Consolas"/>
          <w:color w:val="A03030"/>
          <w:sz w:val="19"/>
        </w:rPr>
        <w:t>recall.product_res_number = enforcement.recall_number</w:t>
      </w:r>
      <w:r>
        <w:t>; recalls predating the enforcement dataset</w:t>
      </w:r>
    </w:p>
    <w:p>
      <w:r>
        <w:t xml:space="preserve">  are labeled </w:t>
      </w:r>
      <w:r>
        <w:rPr>
          <w:rFonts w:ascii="Consolas" w:hAnsi="Consolas"/>
          <w:color w:val="A03030"/>
          <w:sz w:val="19"/>
        </w:rPr>
        <w:t>n/a</w:t>
      </w:r>
      <w:r>
        <w:t xml:space="preserve"> and retained, not dropped.</w:t>
      </w:r>
    </w:p>
    <w:p>
      <w:pPr>
        <w:pStyle w:val="ListBullet"/>
      </w:pPr>
      <w:r/>
      <w:r>
        <w:rPr>
          <w:b/>
        </w:rPr>
        <w:t>Persistent recalled predicate:</w:t>
      </w:r>
      <w:r>
        <w:t xml:space="preserve"> a recalled device A such that some device B is cleared in a year</w:t>
      </w:r>
    </w:p>
    <w:p>
      <w:r>
        <w:t xml:space="preserve">  later than A's recall year, B is a direct successor of A in the graph, and B is not itself recalled.</w:t>
      </w:r>
    </w:p>
    <w:p>
      <w:pPr>
        <w:pStyle w:val="ListBullet"/>
      </w:pPr>
      <w:r/>
      <w:r>
        <w:rPr>
          <w:b/>
        </w:rPr>
        <w:t>Downstream device:</w:t>
      </w:r>
      <w:r>
        <w:t xml:space="preserve"> any B meeting the persistent-predicate condition (counted once).</w:t>
      </w:r>
    </w:p>
    <w:p>
      <w:pPr>
        <w:pStyle w:val="Heading1"/>
      </w:pPr>
      <w:r>
        <w:t>6. Analysis plan (primary outcomes)</w:t>
      </w:r>
    </w:p>
    <w:p>
      <w:r>
        <w:t xml:space="preserve">Computed once, on the frozen data, by </w:t>
      </w:r>
      <w:r>
        <w:rPr>
          <w:rFonts w:ascii="Consolas" w:hAnsi="Consolas"/>
          <w:color w:val="A03030"/>
          <w:sz w:val="19"/>
        </w:rPr>
        <w:t>06_graph_and_analysis.ipynb</w:t>
      </w:r>
      <w:r>
        <w:t>, and written to</w:t>
      </w:r>
    </w:p>
    <w:p>
      <w:r/>
      <w:r>
        <w:rPr>
          <w:rFonts w:ascii="Consolas" w:hAnsi="Consolas"/>
          <w:color w:val="A03030"/>
          <w:sz w:val="19"/>
        </w:rPr>
        <w:t>expected_values.json</w:t>
      </w:r>
      <w:r>
        <w:t>:</w:t>
      </w:r>
    </w:p>
    <w:p>
      <w:pPr>
        <w:pStyle w:val="ListNumber"/>
      </w:pPr>
      <w:r>
        <w:t>Directed predicate graph over all 15,556 nodes; confirm acyclicity; report node/edge counts,</w:t>
      </w:r>
    </w:p>
    <w:p>
      <w:r>
        <w:t xml:space="preserve">   connected-node count, largest weakly-connected component, and maximum chain depth.</w:t>
      </w:r>
    </w:p>
    <w:p>
      <w:pPr>
        <w:pStyle w:val="ListNumber"/>
      </w:pPr>
      <w:r/>
      <w:r>
        <w:rPr>
          <w:b/>
        </w:rPr>
        <w:t>Primary outcome:</w:t>
      </w:r>
      <w:r>
        <w:t xml:space="preserve"> count of persistent recalled predicates; number of post-recall citations;</w:t>
      </w:r>
    </w:p>
    <w:p>
      <w:r>
        <w:t xml:space="preserve">   number of distinct downstream non-recalled devices.</w:t>
      </w:r>
    </w:p>
    <w:p>
      <w:pPr>
        <w:pStyle w:val="ListNumber"/>
      </w:pPr>
      <w:r>
        <w:t>Count of devices first cited as a predicate only after their own recall (H2).</w:t>
      </w:r>
    </w:p>
    <w:p>
      <w:pPr>
        <w:pStyle w:val="ListNumber"/>
      </w:pPr>
      <w:r>
        <w:t>Distribution and maximum of the recall-to-latest-citation gap in years (H3).</w:t>
      </w:r>
    </w:p>
    <w:p>
      <w:pPr>
        <w:pStyle w:val="ListNumber"/>
      </w:pPr>
      <w:r>
        <w:t>Edge-set precision (§8) from a fresh 60-device hand-adjudicated sample.</w:t>
      </w:r>
    </w:p>
    <w:p>
      <w:pPr>
        <w:pStyle w:val="ListNumber"/>
      </w:pPr>
      <w:r>
        <w:t>Coverage diagnostic: % of summaries with a cue, % edge-resolvable, % name-only, % out-of-scope.</w:t>
      </w:r>
    </w:p>
    <w:p>
      <w:pPr>
        <w:pStyle w:val="Heading1"/>
      </w:pPr>
      <w:r>
        <w:t>7. Confirmation / disconfirmation criteria (pre-specified)</w:t>
      </w:r>
    </w:p>
    <w:p>
      <w:pPr>
        <w:pStyle w:val="ListBullet"/>
      </w:pPr>
      <w:r/>
      <w:r>
        <w:rPr>
          <w:b/>
        </w:rPr>
        <w:t>H1 confirmed</w:t>
      </w:r>
      <w:r>
        <w:t xml:space="preserve"> if persistent recalled predicates &gt; 0 and post-recall citations ≥ 50 (a threshold</w:t>
      </w:r>
    </w:p>
    <w:p>
      <w:r>
        <w:t xml:space="preserve">  set now, not after seeing the count).</w:t>
      </w:r>
    </w:p>
    <w:p>
      <w:pPr>
        <w:pStyle w:val="ListBullet"/>
      </w:pPr>
      <w:r/>
      <w:r>
        <w:rPr>
          <w:b/>
        </w:rPr>
        <w:t>H2 confirmed</w:t>
      </w:r>
      <w:r>
        <w:t xml:space="preserve"> if first-cited-after-recall count &gt; 0.</w:t>
      </w:r>
    </w:p>
    <w:p>
      <w:pPr>
        <w:pStyle w:val="ListBullet"/>
      </w:pPr>
      <w:r/>
      <w:r>
        <w:rPr>
          <w:b/>
        </w:rPr>
        <w:t>H3 confirmed</w:t>
      </w:r>
      <w:r>
        <w:t xml:space="preserve"> if the maximum recall-to-latest gap &gt; 10 years.</w:t>
      </w:r>
    </w:p>
    <w:p>
      <w:pPr>
        <w:pStyle w:val="ListBullet"/>
      </w:pPr>
      <w:r/>
      <w:r>
        <w:rPr>
          <w:b/>
        </w:rPr>
        <w:t>H4 confirmed</w:t>
      </w:r>
      <w:r>
        <w:t xml:space="preserve"> if the recalled group's median MAUDE events-per-year exceeds the matched group's</w:t>
      </w:r>
    </w:p>
    <w:p>
      <w:r>
        <w:t xml:space="preserve">  and the pre-specified test (§8) is significant at α = 0.05, one-sided.</w:t>
      </w:r>
    </w:p>
    <w:p>
      <w:pPr>
        <w:pStyle w:val="ListBullet"/>
      </w:pPr>
      <w:r/>
      <w:r>
        <w:rPr>
          <w:b/>
        </w:rPr>
        <w:t>H5 confirmed</w:t>
      </w:r>
      <w:r>
        <w:t xml:space="preserve"> if H1's direction (persistent predicates &gt; 0, citations ≥ 50) holds in </w:t>
      </w:r>
      <w:r>
        <w:rPr>
          <w:i/>
        </w:rPr>
        <w:t>all three</w:t>
      </w:r>
      <w:r/>
    </w:p>
    <w:p>
      <w:r>
        <w:t xml:space="preserve">  sensitivity subsets (§5.sensitivity below).</w:t>
      </w:r>
    </w:p>
    <w:p>
      <w:pPr>
        <w:pStyle w:val="ListBullet"/>
      </w:pPr>
      <w:r>
        <w:t xml:space="preserve">Any hypothesis not meeting its criterion is reported as </w:t>
      </w:r>
      <w:r>
        <w:rPr>
          <w:b/>
        </w:rPr>
        <w:t>not confirmed</w:t>
      </w:r>
      <w:r>
        <w:t xml:space="preserve"> — including if that is the</w:t>
      </w:r>
    </w:p>
    <w:p>
      <w:r>
        <w:t xml:space="preserve">  case. Non-confirmation will be reported with equal prominence.</w:t>
      </w:r>
    </w:p>
    <w:p>
      <w:pPr>
        <w:pStyle w:val="Heading1"/>
      </w:pPr>
      <w:r>
        <w:t>8. Statistical tests (locked, with multiplicity handling)</w:t>
      </w:r>
    </w:p>
    <w:p>
      <w:pPr>
        <w:pStyle w:val="ListBullet"/>
      </w:pPr>
      <w:r/>
      <w:r>
        <w:rPr>
          <w:b/>
        </w:rPr>
        <w:t>Edge precision:</w:t>
      </w:r>
      <w:r>
        <w:t xml:space="preserve"> proportion of hand-adjudicated candidate edges that are genuine predicate/</w:t>
      </w:r>
    </w:p>
    <w:p>
      <w:r>
        <w:t xml:space="preserve">  reference citations, with a </w:t>
      </w:r>
      <w:r>
        <w:rPr>
          <w:b/>
        </w:rPr>
        <w:t>Wilson 95% confidence interval</w:t>
      </w:r>
      <w:r>
        <w:t>. Sample: 60 devices drawn with a</w:t>
      </w:r>
    </w:p>
    <w:p>
      <w:r>
        <w:t xml:space="preserve">  fixed seed (42) from devices with downloaded text. Reported as a </w:t>
      </w:r>
      <w:r>
        <w:rPr>
          <w:b/>
        </w:rPr>
        <w:t>precision</w:t>
      </w:r>
      <w:r>
        <w:t xml:space="preserve"> estimate (adjudication</w:t>
      </w:r>
    </w:p>
    <w:p>
      <w:r>
        <w:t xml:space="preserve">  of rule-emitted candidates), explicitly </w:t>
      </w:r>
      <w:r>
        <w:rPr>
          <w:b/>
        </w:rPr>
        <w:t>not</w:t>
      </w:r>
      <w:r>
        <w:t xml:space="preserve"> an independent-gold recall estimate.</w:t>
      </w:r>
    </w:p>
    <w:p>
      <w:pPr>
        <w:pStyle w:val="ListBullet"/>
      </w:pPr>
      <w:r/>
      <w:r>
        <w:rPr>
          <w:b/>
        </w:rPr>
        <w:t>MAUDE comparison (H4):</w:t>
      </w:r>
      <w:r>
        <w:t xml:space="preserve"> recalled cited predicates vs. an equal-size random sample (seed 42) of</w:t>
      </w:r>
    </w:p>
    <w:p>
      <w:r>
        <w:t xml:space="preserve">  non-recalled cited predicates. Primary test: </w:t>
      </w:r>
      <w:r>
        <w:rPr>
          <w:b/>
        </w:rPr>
        <w:t>one-sided Mann-Whitney U</w:t>
      </w:r>
      <w:r>
        <w:t xml:space="preserve"> on events-per-year-on-</w:t>
      </w:r>
    </w:p>
    <w:p>
      <w:r>
        <w:t xml:space="preserve">  market (time-normalized to remove the age confound). Secondary: two-proportion z-test on the</w:t>
      </w:r>
    </w:p>
    <w:p>
      <w:r>
        <w:t xml:space="preserve">  match-rate (share with ≥1 event). α = 0.05.</w:t>
      </w:r>
    </w:p>
    <w:p>
      <w:pPr>
        <w:pStyle w:val="ListBullet"/>
      </w:pPr>
      <w:r/>
      <w:r>
        <w:rPr>
          <w:b/>
        </w:rPr>
        <w:t>Multiplicity:</w:t>
      </w:r>
      <w:r>
        <w:t xml:space="preserve"> five hypotheses; H4 is the only inferential test with a p-value, so no correction</w:t>
      </w:r>
    </w:p>
    <w:p>
      <w:r>
        <w:t xml:space="preserve">  is required for the primary. Where the two MAUDE tests are both reported, both are pre-specified and</w:t>
      </w:r>
    </w:p>
    <w:p>
      <w:r>
        <w:t xml:space="preserve">  will be reported regardless of outcome.</w:t>
      </w:r>
    </w:p>
    <w:p>
      <w:r/>
      <w:r>
        <w:rPr>
          <w:b/>
        </w:rPr>
        <w:t>Sensitivity analyses (closed list — no others will be added post hoc):</w:t>
      </w:r>
      <w:r/>
    </w:p>
    <w:p>
      <w:pPr>
        <w:pStyle w:val="ListNumber"/>
      </w:pPr>
      <w:r/>
      <w:r>
        <w:rPr>
          <w:b/>
        </w:rPr>
        <w:t>Class I/II recalls only</w:t>
      </w:r>
      <w:r>
        <w:t xml:space="preserve"> (drop Class III and unclassified).</w:t>
      </w:r>
    </w:p>
    <w:p>
      <w:pPr>
        <w:pStyle w:val="ListNumber"/>
      </w:pPr>
      <w:r/>
      <w:r>
        <w:rPr>
          <w:b/>
        </w:rPr>
        <w:t>High-confidence edges only</w:t>
      </w:r>
      <w:r>
        <w:t xml:space="preserve"> (</w:t>
      </w:r>
      <w:r>
        <w:rPr>
          <w:rFonts w:ascii="Consolas" w:hAnsi="Consolas"/>
          <w:color w:val="A03030"/>
          <w:sz w:val="19"/>
        </w:rPr>
        <w:t>SECTION_HEADED</w:t>
      </w:r>
      <w:r>
        <w:t>).</w:t>
      </w:r>
    </w:p>
    <w:p>
      <w:pPr>
        <w:pStyle w:val="ListNumber"/>
      </w:pPr>
      <w:r/>
      <w:r>
        <w:rPr>
          <w:b/>
        </w:rPr>
        <w:t>Combined</w:t>
      </w:r>
      <w:r>
        <w:t xml:space="preserve"> (Class I/II recalls AND high-confidence edges).</w:t>
      </w:r>
    </w:p>
    <w:p>
      <w:pPr>
        <w:pStyle w:val="Heading1"/>
      </w:pPr>
      <w:r>
        <w:t>9. Independence option (extension vs. replication)</w:t>
      </w:r>
    </w:p>
    <w:p>
      <w:r>
        <w:t>Because the 154-code corpus contains the 9-code pilot, the primary analysis is an extension. To offer a</w:t>
      </w:r>
    </w:p>
    <w:p>
      <w:r>
        <w:t xml:space="preserve">cleaner test, results </w:t>
      </w:r>
      <w:r>
        <w:rPr>
          <w:b/>
        </w:rPr>
        <w:t>may additionally</w:t>
      </w:r>
      <w:r>
        <w:t xml:space="preserve"> be reported on the </w:t>
      </w:r>
      <w:r>
        <w:rPr>
          <w:b/>
        </w:rPr>
        <w:t>145 non-pilot codes only</w:t>
      </w:r>
      <w:r>
        <w:t xml:space="preserve"> (the devices</w:t>
      </w:r>
    </w:p>
    <w:p>
      <w:r>
        <w:t>not seen in the pilot). This split is pre-specified here so it cannot later be presented as a post-hoc</w:t>
      </w:r>
    </w:p>
    <w:p>
      <w:r>
        <w:t>discovery. It is optional and, if run, will be reported alongside the full-corpus result, not instead</w:t>
      </w:r>
    </w:p>
    <w:p>
      <w:r>
        <w:t>of it.</w:t>
      </w:r>
    </w:p>
    <w:p>
      <w:pPr>
        <w:pStyle w:val="Heading1"/>
      </w:pPr>
      <w:r>
        <w:t>10. Limitations declared in advance</w:t>
      </w:r>
    </w:p>
    <w:p>
      <w:pPr>
        <w:pStyle w:val="ListBullet"/>
      </w:pPr>
      <w:r/>
      <w:r>
        <w:rPr>
          <w:b/>
        </w:rPr>
        <w:t>Name-only gap (D4):</w:t>
      </w:r>
      <w:r>
        <w:t xml:space="preserve"> ~16% of summaries name a predicate in words but give no K-number. These</w:t>
      </w:r>
    </w:p>
    <w:p>
      <w:r>
        <w:t xml:space="preserve">  edges cannot be resolved and are </w:t>
      </w:r>
      <w:r>
        <w:rPr>
          <w:b/>
        </w:rPr>
        <w:t>not</w:t>
      </w:r>
      <w:r>
        <w:t xml:space="preserve"> guessed at; the graph is therefore a </w:t>
      </w:r>
      <w:r>
        <w:rPr>
          <w:b/>
        </w:rPr>
        <w:t>lower bound</w:t>
      </w:r>
      <w:r>
        <w:t xml:space="preserve"> on the</w:t>
      </w:r>
    </w:p>
    <w:p>
      <w:r>
        <w:t xml:space="preserve">  true citation network. This is a known, accepted limitation, reported as such.</w:t>
      </w:r>
    </w:p>
    <w:p>
      <w:pPr>
        <w:pStyle w:val="ListBullet"/>
      </w:pPr>
      <w:r/>
      <w:r>
        <w:rPr>
          <w:b/>
        </w:rPr>
        <w:t>MAUDE is passive/voluntary reporting</w:t>
      </w:r>
      <w:r>
        <w:t xml:space="preserve"> with incomplete device linkage; event counts are a floor,</w:t>
      </w:r>
    </w:p>
    <w:p>
      <w:r>
        <w:t xml:space="preserve">  and the H4 association may be confounded by device complexity or market volume. No event is</w:t>
      </w:r>
    </w:p>
    <w:p>
      <w:r>
        <w:t xml:space="preserve">  attributed to the predicate relationship.</w:t>
      </w:r>
    </w:p>
    <w:p>
      <w:pPr>
        <w:pStyle w:val="ListBullet"/>
      </w:pPr>
      <w:r/>
      <w:r>
        <w:rPr>
          <w:b/>
        </w:rPr>
        <w:t>No causal claim.</w:t>
      </w:r>
      <w:r>
        <w:t xml:space="preserve"> The study describes citation structure and its association with recalls and</w:t>
      </w:r>
    </w:p>
    <w:p>
      <w:r>
        <w:t xml:space="preserve">  adverse events. It does not claim any device is unsafe, nor that predicate lineage causes harm.</w:t>
      </w:r>
    </w:p>
    <w:p>
      <w:pPr>
        <w:pStyle w:val="ListBullet"/>
      </w:pPr>
      <w:r/>
      <w:r>
        <w:rPr>
          <w:b/>
        </w:rPr>
        <w:t>Descriptive scope.</w:t>
      </w:r>
      <w:r>
        <w:t xml:space="preserve"> No manufacturer is named; no device is ranked; no "harm score" is computed.</w:t>
      </w:r>
    </w:p>
    <w:p>
      <w:pPr>
        <w:pStyle w:val="Heading1"/>
      </w:pPr>
      <w:r>
        <w:t>11. Deviation policy</w:t>
      </w:r>
    </w:p>
    <w:p>
      <w:r>
        <w:t>Any departure from this plan (a definition that has to change, a test that cannot run as written, a</w:t>
      </w:r>
    </w:p>
    <w:p>
      <w:r>
        <w:t xml:space="preserve">data issue) will be recorded in a </w:t>
      </w:r>
      <w:r>
        <w:rPr>
          <w:rFonts w:ascii="Consolas" w:hAnsi="Consolas"/>
          <w:color w:val="A03030"/>
          <w:sz w:val="19"/>
        </w:rPr>
        <w:t>DEVIATIONS.md</w:t>
      </w:r>
      <w:r>
        <w:t xml:space="preserve"> log with the reason and the date, and disclosed in</w:t>
      </w:r>
    </w:p>
    <w:p>
      <w:r>
        <w:t xml:space="preserve">the manuscript. The frozen </w:t>
      </w:r>
      <w:r>
        <w:rPr>
          <w:rFonts w:ascii="Consolas" w:hAnsi="Consolas"/>
          <w:color w:val="A03030"/>
          <w:sz w:val="19"/>
        </w:rPr>
        <w:t>expected_values.json</w:t>
      </w:r>
      <w:r>
        <w:t xml:space="preserve"> (Stage 6 output) and the two-tier verification</w:t>
      </w:r>
    </w:p>
    <w:p>
      <w:r>
        <w:t>(Stage 8) are the immutable record against which the final manuscript numbers are checked.</w:t>
      </w:r>
    </w:p>
    <w:p>
      <w:pPr>
        <w:pStyle w:val="Heading1"/>
      </w:pPr>
      <w:r>
        <w:t>12. Registration mechanics (sequence)</w:t>
      </w:r>
    </w:p>
    <w:p>
      <w:pPr>
        <w:pStyle w:val="ListNumber"/>
      </w:pPr>
      <w:r/>
      <w:r>
        <w:rPr>
          <w:b/>
        </w:rPr>
        <w:t>Register this plan on OSF</w:t>
      </w:r>
      <w:r>
        <w:t xml:space="preserve"> (Existing-Data preregistration) with the frozen </w:t>
      </w:r>
      <w:r>
        <w:rPr>
          <w:rFonts w:ascii="Consolas" w:hAnsi="Consolas"/>
          <w:color w:val="A03030"/>
          <w:sz w:val="19"/>
        </w:rPr>
        <w:t>SNAPSHOT.json</w:t>
      </w:r>
      <w:r/>
    </w:p>
    <w:p>
      <w:r>
        <w:t xml:space="preserve">   attached, </w:t>
      </w:r>
      <w:r>
        <w:rPr>
          <w:i/>
        </w:rPr>
        <w:t>before</w:t>
      </w:r>
      <w:r>
        <w:t xml:space="preserve"> running Stages 3, 6, 7, 8. This timestamps the analysis plan ahead of the</w:t>
      </w:r>
    </w:p>
    <w:p>
      <w:r>
        <w:t xml:space="preserve">   confirmatory numbers.</w:t>
      </w:r>
    </w:p>
    <w:p>
      <w:pPr>
        <w:pStyle w:val="ListNumber"/>
      </w:pPr>
      <w:r>
        <w:t xml:space="preserve">Run Stages 3 → 6 → 7 → 8; Stage 6 writes </w:t>
      </w:r>
      <w:r>
        <w:rPr>
          <w:rFonts w:ascii="Consolas" w:hAnsi="Consolas"/>
          <w:color w:val="A03030"/>
          <w:sz w:val="19"/>
        </w:rPr>
        <w:t>expected_values.json</w:t>
      </w:r>
      <w:r>
        <w:t>.</w:t>
      </w:r>
    </w:p>
    <w:p>
      <w:pPr>
        <w:pStyle w:val="ListNumber"/>
      </w:pPr>
      <w:r>
        <w:t>Push code (9 notebooks, verify script, RUN_MANUAL) to a public GitHub repo; the independent</w:t>
      </w:r>
    </w:p>
    <w:p>
      <w:r>
        <w:t xml:space="preserve">   verifier re-runs and signs off via pull request.</w:t>
      </w:r>
    </w:p>
    <w:p>
      <w:pPr>
        <w:pStyle w:val="ListNumber"/>
      </w:pPr>
      <w:r>
        <w:t>Deposit the full bundle (frozen snapshot + code + results + manuscript) on OSF and mint a DOI; the</w:t>
      </w:r>
    </w:p>
    <w:p>
      <w:r>
        <w:t xml:space="preserve">   manuscript cites the preregistration and reports any §11 deviations.</w:t>
      </w:r>
    </w:p>
    <w:p>
      <w:r>
        <w:t>*This document is a draft for the authors' review. Placeholders (</w:t>
      </w:r>
      <w:r>
        <w:rPr>
          <w:rFonts w:ascii="Consolas" w:hAnsi="Consolas"/>
          <w:color w:val="A03030"/>
          <w:sz w:val="19"/>
        </w:rPr>
        <w:t>[to be completed]</w:t>
      </w:r>
      <w:r>
        <w:t>) must be filled</w:t>
      </w:r>
    </w:p>
    <w:p>
      <w:r>
        <w:t>before public registration. Nothing here should be publicly registered until the author team has</w:t>
      </w:r>
    </w:p>
    <w:p>
      <w:r>
        <w:t>confirmed the hypotheses and criteria reflect their intent.*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