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8"/>
          <w:sz w:val="44"/>
          <w:szCs w:val="44"/>
        </w:rPr>
        <w:t xml:space="preserve">Independent Verification Manual</w:t>
      </w:r>
    </w:p>
    <w:p>
      <w:pPr>
        <w:spacing w:after="240"/>
      </w:pPr>
      <w:r>
        <w:rPr>
          <w:rFonts w:ascii="Calibri" w:cs="Calibri" w:eastAsia="Calibri" w:hAnsi="Calibri"/>
          <w:color w:val="595959"/>
          <w:sz w:val="26"/>
          <w:szCs w:val="26"/>
        </w:rPr>
        <w:t xml:space="preserve">Orthopedic 510(k) Predicate-Graph Study: 154-code confirmatory analysis</w:t>
      </w:r>
    </w:p>
    <w:p>
      <w:pPr>
        <w:spacing w:after="120" w:line="264"/>
      </w:pPr>
      <w:r>
        <w:rPr>
          <w:rFonts w:ascii="Calibri" w:cs="Calibri" w:eastAsia="Calibri" w:hAnsi="Calibri"/>
          <w:sz w:val="22"/>
          <w:szCs w:val="22"/>
        </w:rPr>
        <w:t xml:space="preserve">This manual is written so that a second analyst who did </w:t>
      </w:r>
      <w:r>
        <w:rPr>
          <w:rFonts w:ascii="Calibri" w:cs="Calibri" w:eastAsia="Calibri" w:hAnsi="Calibri"/>
          <w:i/>
          <w:iCs/>
          <w:sz w:val="22"/>
          <w:szCs w:val="22"/>
        </w:rPr>
        <w:t xml:space="preserve">not</w:t>
      </w:r>
      <w:r>
        <w:rPr>
          <w:rFonts w:ascii="Calibri" w:cs="Calibri" w:eastAsia="Calibri" w:hAnsi="Calibri"/>
          <w:sz w:val="22"/>
          <w:szCs w:val="22"/>
        </w:rPr>
        <w:t xml:space="preserve"> build the study can reproduce every number in it, from scratch, and sign off. It is self-contained: follow it top to bottom. Budget about two to three hours, most of which is an unattended download you can leave running.</w:t>
      </w:r>
    </w:p>
    <w:p>
      <w:pPr>
        <w:pStyle w:val="Heading1"/>
        <w:spacing w:after="140" w:before="320"/>
      </w:pPr>
      <w:r>
        <w:rPr>
          <w:rFonts w:ascii="Calibri" w:cs="Calibri" w:eastAsia="Calibri" w:hAnsi="Calibri"/>
          <w:b/>
          <w:bCs/>
          <w:color w:val="1F4E78"/>
          <w:sz w:val="30"/>
          <w:szCs w:val="30"/>
        </w:rPr>
        <w:t xml:space="preserve">1. Your role, and what “verification” means here</w:t>
      </w:r>
    </w:p>
    <w:p>
      <w:pPr>
        <w:spacing w:after="120" w:line="264"/>
      </w:pPr>
      <w:r>
        <w:rPr>
          <w:rFonts w:ascii="Calibri" w:cs="Calibri" w:eastAsia="Calibri" w:hAnsi="Calibri"/>
          <w:sz w:val="22"/>
          <w:szCs w:val="22"/>
        </w:rPr>
        <w:t xml:space="preserve">The study was built by one analyst and is designed to be independently checked by a second person (you). Your job is to rebuild the results on your own computer, from the same frozen data, and confirm you get the same numbers. You then record the outcome in a pull request that becomes the permanent, public evidence that the study reproduces.</w:t>
      </w:r>
    </w:p>
    <w:p>
      <w:pPr>
        <w:spacing w:after="120" w:line="264"/>
      </w:pPr>
      <w:r>
        <w:rPr>
          <w:rFonts w:ascii="Calibri" w:cs="Calibri" w:eastAsia="Calibri" w:hAnsi="Calibri"/>
          <w:b/>
          <w:bCs/>
          <w:sz w:val="22"/>
          <w:szCs w:val="22"/>
        </w:rPr>
        <w:t xml:space="preserve">You must not be the person who ran the original analysis. </w:t>
      </w:r>
      <w:r>
        <w:rPr>
          <w:rFonts w:ascii="Calibri" w:cs="Calibri" w:eastAsia="Calibri" w:hAnsi="Calibri"/>
          <w:sz w:val="22"/>
          <w:szCs w:val="22"/>
        </w:rPr>
        <w:t xml:space="preserve">Everything you need is either in the GitHub repository you were given access to, or in the snapshot file you were sent. You supply only your own free FDA API key.</w:t>
      </w:r>
    </w:p>
    <w:p>
      <w:pPr>
        <w:pStyle w:val="Heading1"/>
        <w:spacing w:after="140" w:before="320"/>
      </w:pPr>
      <w:r>
        <w:rPr>
          <w:rFonts w:ascii="Calibri" w:cs="Calibri" w:eastAsia="Calibri" w:hAnsi="Calibri"/>
          <w:b/>
          <w:bCs/>
          <w:color w:val="1F4E78"/>
          <w:sz w:val="30"/>
          <w:szCs w:val="30"/>
        </w:rPr>
        <w:t xml:space="preserve">2. Before you start: what you need</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5"/>
      </w:tblGrid>
      <w:tr>
        <w:trPr>
          <w:tblHeader/>
        </w:trPr>
        <w:tc>
          <w:tcPr>
            <w:tcW w:type="dxa" w:w="2246"/>
            <w:shd w:fill="1F4E78" w:val="clear"/>
            <w:tcMar>
              <w:top w:type="dxa" w:w="40"/>
              <w:left w:type="dxa" w:w="80"/>
              <w:bottom w:type="dxa" w:w="40"/>
              <w:right w:type="dxa" w:w="80"/>
            </w:tcMar>
          </w:tcPr>
          <w:p>
            <w:r>
              <w:rPr>
                <w:rFonts w:ascii="Calibri" w:cs="Calibri" w:eastAsia="Calibri" w:hAnsi="Calibri"/>
                <w:b/>
                <w:bCs/>
                <w:color w:val="FFFFFF"/>
                <w:sz w:val="20"/>
                <w:szCs w:val="20"/>
              </w:rPr>
              <w:t xml:space="preserve">Item</w:t>
            </w:r>
          </w:p>
        </w:tc>
        <w:tc>
          <w:tcPr>
            <w:tcW w:type="dxa" w:w="4118"/>
            <w:shd w:fill="1F4E78" w:val="clear"/>
            <w:tcMar>
              <w:top w:type="dxa" w:w="40"/>
              <w:left w:type="dxa" w:w="80"/>
              <w:bottom w:type="dxa" w:w="40"/>
              <w:right w:type="dxa" w:w="80"/>
            </w:tcMar>
          </w:tcPr>
          <w:p>
            <w:r>
              <w:rPr>
                <w:rFonts w:ascii="Calibri" w:cs="Calibri" w:eastAsia="Calibri" w:hAnsi="Calibri"/>
                <w:b/>
                <w:bCs/>
                <w:color w:val="FFFFFF"/>
                <w:sz w:val="20"/>
                <w:szCs w:val="20"/>
              </w:rPr>
              <w:t xml:space="preserve">How to get it</w:t>
            </w:r>
          </w:p>
        </w:tc>
        <w:tc>
          <w:tcPr>
            <w:tcW w:type="dxa" w:w="2995"/>
            <w:shd w:fill="1F4E78" w:val="clear"/>
            <w:tcMar>
              <w:top w:type="dxa" w:w="40"/>
              <w:left w:type="dxa" w:w="80"/>
              <w:bottom w:type="dxa" w:w="40"/>
              <w:right w:type="dxa" w:w="80"/>
            </w:tcMar>
          </w:tcPr>
          <w:p>
            <w:r>
              <w:rPr>
                <w:rFonts w:ascii="Calibri" w:cs="Calibri" w:eastAsia="Calibri" w:hAnsi="Calibri"/>
                <w:b/>
                <w:bCs/>
                <w:color w:val="FFFFFF"/>
                <w:sz w:val="20"/>
                <w:szCs w:val="20"/>
              </w:rPr>
              <w:t xml:space="preserve">Why</w:t>
            </w:r>
          </w:p>
        </w:tc>
      </w:tr>
      <w:tr>
        <w:tc>
          <w:tcPr>
            <w:tcW w:type="dxa" w:w="2246"/>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Python 3.11</w:t>
            </w:r>
          </w:p>
        </w:tc>
        <w:tc>
          <w:tcPr>
            <w:tcW w:type="dxa" w:w="411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python.org or Anaconda</w:t>
            </w:r>
          </w:p>
        </w:tc>
        <w:tc>
          <w:tcPr>
            <w:tcW w:type="dxa" w:w="2995"/>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Pinned version; matching it avoids spurious differences</w:t>
            </w:r>
          </w:p>
        </w:tc>
      </w:tr>
      <w:tr>
        <w:tc>
          <w:tcPr>
            <w:tcW w:type="dxa" w:w="2246"/>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code</w:t>
            </w:r>
          </w:p>
        </w:tc>
        <w:tc>
          <w:tcPr>
            <w:tcW w:type="dxa" w:w="411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private GitHub repo you were invited to, clone it</w:t>
            </w:r>
          </w:p>
        </w:tc>
        <w:tc>
          <w:tcPr>
            <w:tcW w:type="dxa" w:w="2995"/>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9 notebooks + this manual + the reference numbers</w:t>
            </w:r>
          </w:p>
        </w:tc>
      </w:tr>
      <w:tr>
        <w:tc>
          <w:tcPr>
            <w:tcW w:type="dxa" w:w="2246"/>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Frozen data</w:t>
            </w:r>
          </w:p>
        </w:tc>
        <w:tc>
          <w:tcPr>
            <w:tcW w:type="dxa" w:w="411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snapshot_for_verifier.zip (sent to you, ~16 MB)</w:t>
            </w:r>
          </w:p>
        </w:tc>
        <w:tc>
          <w:tcPr>
            <w:tcW w:type="dxa" w:w="2995"/>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exact FDA data the results are built on</w:t>
            </w:r>
          </w:p>
        </w:tc>
      </w:tr>
      <w:tr>
        <w:tc>
          <w:tcPr>
            <w:tcW w:type="dxa" w:w="2246"/>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An openFDA API key</w:t>
            </w:r>
          </w:p>
        </w:tc>
        <w:tc>
          <w:tcPr>
            <w:tcW w:type="dxa" w:w="411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Free, 30 seconds, open.fda.gov/apis/authentication</w:t>
            </w:r>
          </w:p>
        </w:tc>
        <w:tc>
          <w:tcPr>
            <w:tcW w:type="dxa" w:w="2995"/>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FDA rate-limits without one; needed for stages 2 and 7</w:t>
            </w:r>
          </w:p>
        </w:tc>
      </w:tr>
    </w:tbl>
    <w:p>
      <w:pPr>
        <w:spacing w:after="60"/>
      </w:pPr>
      <w:r>
        <w:rPr>
          <w:sz w:val="10"/>
          <w:szCs w:val="10"/>
        </w:rPr>
        <w:t xml:space="preserve"/>
      </w:r>
    </w:p>
    <w:p>
      <w:pPr>
        <w:spacing w:after="120" w:line="264"/>
      </w:pPr>
      <w:r>
        <w:rPr>
          <w:rFonts w:ascii="Calibri" w:cs="Calibri" w:eastAsia="Calibri" w:hAnsi="Calibri"/>
          <w:sz w:val="22"/>
          <w:szCs w:val="22"/>
        </w:rPr>
        <w:t xml:space="preserve">Confirm your tools work:</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python --version        # must be 3.11.x</w:t>
      </w:r>
      <w:r>
        <w:br/>
      </w:r>
      <w:r>
        <w:rPr>
          <w:rFonts w:ascii="Consolas" w:cs="Consolas" w:eastAsia="Consolas" w:hAnsi="Consolas"/>
          <w:sz w:val="20"/>
          <w:szCs w:val="20"/>
        </w:rPr>
        <w:t xml:space="preserve">jupyter lab --version    # prints a version</w:t>
      </w:r>
      <w:r>
        <w:br/>
      </w:r>
      <w:r>
        <w:rPr>
          <w:rFonts w:ascii="Consolas" w:cs="Consolas" w:eastAsia="Consolas" w:hAnsi="Consolas"/>
          <w:sz w:val="20"/>
          <w:szCs w:val="20"/>
        </w:rPr>
        <w:t xml:space="preserve">git --version</w:t>
      </w:r>
    </w:p>
    <w:p>
      <w:pPr>
        <w:pStyle w:val="Heading1"/>
        <w:spacing w:after="140" w:before="320"/>
      </w:pPr>
      <w:r>
        <w:rPr>
          <w:rFonts w:ascii="Calibri" w:cs="Calibri" w:eastAsia="Calibri" w:hAnsi="Calibri"/>
          <w:b/>
          <w:bCs/>
          <w:color w:val="1F4E78"/>
          <w:sz w:val="30"/>
          <w:szCs w:val="30"/>
        </w:rPr>
        <w:t xml:space="preserve">3. The one rule that matters most</w:t>
      </w:r>
    </w:p>
    <w:p>
      <w:pPr>
        <w:spacing w:after="120" w:line="264"/>
      </w:pPr>
      <w:r>
        <w:rPr>
          <w:rFonts w:ascii="Calibri" w:cs="Calibri" w:eastAsia="Calibri" w:hAnsi="Calibri"/>
          <w:b/>
          <w:bCs/>
          <w:sz w:val="22"/>
          <w:szCs w:val="22"/>
        </w:rPr>
        <w:t xml:space="preserve">Do NOT run notebook </w:t>
      </w:r>
      <w:r>
        <w:rPr>
          <w:rFonts w:ascii="Consolas" w:cs="Consolas" w:eastAsia="Consolas" w:hAnsi="Consolas"/>
          <w:b/>
          <w:bCs/>
          <w:sz w:val="20"/>
          <w:szCs w:val="20"/>
        </w:rPr>
        <w:t xml:space="preserve">00_freeze_snapshot</w:t>
      </w:r>
      <w:r>
        <w:rPr>
          <w:rFonts w:ascii="Calibri" w:cs="Calibri" w:eastAsia="Calibri" w:hAnsi="Calibri"/>
          <w:b/>
          <w:bCs/>
          <w:sz w:val="22"/>
          <w:szCs w:val="22"/>
        </w:rPr>
        <w:t xml:space="preserve">. </w:t>
      </w:r>
      <w:r>
        <w:rPr>
          <w:rFonts w:ascii="Calibri" w:cs="Calibri" w:eastAsia="Calibri" w:hAnsi="Calibri"/>
          <w:sz w:val="22"/>
          <w:szCs w:val="22"/>
        </w:rPr>
        <w:t xml:space="preserve">That notebook pulls a </w:t>
      </w:r>
      <w:r>
        <w:rPr>
          <w:rFonts w:ascii="Calibri" w:cs="Calibri" w:eastAsia="Calibri" w:hAnsi="Calibri"/>
          <w:i/>
          <w:iCs/>
          <w:sz w:val="22"/>
          <w:szCs w:val="22"/>
        </w:rPr>
        <w:t xml:space="preserve">fresh, live</w:t>
      </w:r>
      <w:r>
        <w:rPr>
          <w:rFonts w:ascii="Calibri" w:cs="Calibri" w:eastAsia="Calibri" w:hAnsi="Calibri"/>
          <w:sz w:val="22"/>
          <w:szCs w:val="22"/>
        </w:rPr>
        <w:t xml:space="preserve"> snapshot dated to the day you run it, which will differ from the analyst’s frozen data, and then nothing will match. The study is deliberately built on a single frozen snapshot so it reproduces forever. You will use the analyst’s frozen snapshot (the zip you were sent) and start at notebook 01.</w:t>
      </w:r>
    </w:p>
    <w:p>
      <w:pPr>
        <w:pStyle w:val="Heading1"/>
        <w:spacing w:after="140" w:before="320"/>
      </w:pPr>
      <w:r>
        <w:rPr>
          <w:rFonts w:ascii="Calibri" w:cs="Calibri" w:eastAsia="Calibri" w:hAnsi="Calibri"/>
          <w:b/>
          <w:bCs/>
          <w:color w:val="1F4E78"/>
          <w:sz w:val="30"/>
          <w:szCs w:val="30"/>
        </w:rPr>
        <w:t xml:space="preserve">4. Set up your environment</w:t>
      </w:r>
    </w:p>
    <w:p>
      <w:pPr>
        <w:pStyle w:val="ListParagraph"/>
        <w:numPr>
          <w:ilvl w:val="0"/>
          <w:numId w:val="2"/>
        </w:numPr>
        <w:spacing w:after="80" w:line="260"/>
      </w:pPr>
      <w:r>
        <w:rPr>
          <w:rFonts w:ascii="Calibri" w:cs="Calibri" w:eastAsia="Calibri" w:hAnsi="Calibri"/>
          <w:sz w:val="22"/>
          <w:szCs w:val="22"/>
        </w:rPr>
        <w:t xml:space="preserve">Clone the repository and enter its folder.</w:t>
      </w:r>
    </w:p>
    <w:p>
      <w:pPr>
        <w:pStyle w:val="ListParagraph"/>
        <w:numPr>
          <w:ilvl w:val="0"/>
          <w:numId w:val="2"/>
        </w:numPr>
        <w:spacing w:after="80" w:line="260"/>
      </w:pPr>
      <w:r>
        <w:rPr>
          <w:rFonts w:ascii="Calibri" w:cs="Calibri" w:eastAsia="Calibri" w:hAnsi="Calibri"/>
          <w:sz w:val="22"/>
          <w:szCs w:val="22"/>
        </w:rPr>
        <w:t xml:space="preserve">Install the exact dependencies:</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pip install -r requirements.txt</w:t>
      </w:r>
    </w:p>
    <w:p>
      <w:pPr>
        <w:pStyle w:val="ListParagraph"/>
        <w:numPr>
          <w:ilvl w:val="0"/>
          <w:numId w:val="2"/>
        </w:numPr>
        <w:spacing w:after="80" w:line="260"/>
      </w:pPr>
      <w:r>
        <w:rPr>
          <w:rFonts w:ascii="Calibri" w:cs="Calibri" w:eastAsia="Calibri" w:hAnsi="Calibri"/>
          <w:sz w:val="22"/>
          <w:szCs w:val="22"/>
        </w:rPr>
        <w:t xml:space="preserve">Get your own free openFDA API key, then make it available to the notebooks:</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export OPENFDA_KEY=your_key_here</w:t>
      </w:r>
    </w:p>
    <w:p>
      <w:pPr>
        <w:spacing w:after="120" w:line="264"/>
      </w:pPr>
      <w:r>
        <w:rPr>
          <w:rFonts w:ascii="Calibri" w:cs="Calibri" w:eastAsia="Calibri" w:hAnsi="Calibri"/>
          <w:sz w:val="22"/>
          <w:szCs w:val="22"/>
        </w:rPr>
        <w:t xml:space="preserve">Set it in the same terminal session you launch JupyterLab from. Use </w:t>
      </w:r>
      <w:r>
        <w:rPr>
          <w:rFonts w:ascii="Calibri" w:cs="Calibri" w:eastAsia="Calibri" w:hAnsi="Calibri"/>
          <w:i/>
          <w:iCs/>
          <w:sz w:val="22"/>
          <w:szCs w:val="22"/>
        </w:rPr>
        <w:t xml:space="preserve">your own</w:t>
      </w:r>
      <w:r>
        <w:rPr>
          <w:rFonts w:ascii="Calibri" w:cs="Calibri" w:eastAsia="Calibri" w:hAnsi="Calibri"/>
          <w:sz w:val="22"/>
          <w:szCs w:val="22"/>
        </w:rPr>
        <w:t xml:space="preserve"> key, the analyst’s is private and is not shared.</w:t>
      </w:r>
    </w:p>
    <w:p>
      <w:pPr>
        <w:pStyle w:val="Heading1"/>
        <w:spacing w:after="140" w:before="320"/>
      </w:pPr>
      <w:r>
        <w:rPr>
          <w:rFonts w:ascii="Calibri" w:cs="Calibri" w:eastAsia="Calibri" w:hAnsi="Calibri"/>
          <w:b/>
          <w:bCs/>
          <w:color w:val="1F4E78"/>
          <w:sz w:val="30"/>
          <w:szCs w:val="30"/>
        </w:rPr>
        <w:t xml:space="preserve">5. Load the frozen data</w:t>
      </w:r>
    </w:p>
    <w:p>
      <w:pPr>
        <w:spacing w:after="120" w:line="264"/>
      </w:pPr>
      <w:r>
        <w:rPr>
          <w:rFonts w:ascii="Calibri" w:cs="Calibri" w:eastAsia="Calibri" w:hAnsi="Calibri"/>
          <w:sz w:val="22"/>
          <w:szCs w:val="22"/>
        </w:rPr>
        <w:t xml:space="preserve">Unzip the snapshot you were sent </w:t>
      </w:r>
      <w:r>
        <w:rPr>
          <w:rFonts w:ascii="Calibri" w:cs="Calibri" w:eastAsia="Calibri" w:hAnsi="Calibri"/>
          <w:b/>
          <w:bCs/>
          <w:sz w:val="22"/>
          <w:szCs w:val="22"/>
        </w:rPr>
        <w:t xml:space="preserve">inside the repository folder</w:t>
      </w:r>
      <w:r>
        <w:rPr>
          <w:rFonts w:ascii="Calibri" w:cs="Calibri" w:eastAsia="Calibri" w:hAnsi="Calibri"/>
          <w:sz w:val="22"/>
          <w:szCs w:val="22"/>
        </w:rPr>
        <w:t xml:space="preserve">, so that a folder named </w:t>
      </w:r>
      <w:r>
        <w:rPr>
          <w:rFonts w:ascii="Consolas" w:cs="Consolas" w:eastAsia="Consolas" w:hAnsi="Consolas"/>
          <w:sz w:val="20"/>
          <w:szCs w:val="20"/>
        </w:rPr>
        <w:t xml:space="preserve">snapshot/</w:t>
      </w:r>
      <w:r>
        <w:rPr>
          <w:rFonts w:ascii="Calibri" w:cs="Calibri" w:eastAsia="Calibri" w:hAnsi="Calibri"/>
          <w:sz w:val="22"/>
          <w:szCs w:val="22"/>
        </w:rPr>
        <w:t xml:space="preserve"> sits next to the notebooks:</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unzip snapshot_for_verifier.zip     # creates ./snapshot/</w:t>
      </w:r>
    </w:p>
    <w:p>
      <w:pPr>
        <w:spacing w:after="120" w:line="264"/>
      </w:pPr>
      <w:r>
        <w:rPr>
          <w:rFonts w:ascii="Calibri" w:cs="Calibri" w:eastAsia="Calibri" w:hAnsi="Calibri"/>
          <w:sz w:val="22"/>
          <w:szCs w:val="22"/>
        </w:rPr>
        <w:t xml:space="preserve">You should now have </w:t>
      </w:r>
      <w:r>
        <w:rPr>
          <w:rFonts w:ascii="Consolas" w:cs="Consolas" w:eastAsia="Consolas" w:hAnsi="Consolas"/>
          <w:sz w:val="20"/>
          <w:szCs w:val="20"/>
        </w:rPr>
        <w:t xml:space="preserve">snapshot/SNAPSHOT.json</w:t>
      </w:r>
      <w:r>
        <w:rPr>
          <w:rFonts w:ascii="Calibri" w:cs="Calibri" w:eastAsia="Calibri" w:hAnsi="Calibri"/>
          <w:sz w:val="22"/>
          <w:szCs w:val="22"/>
        </w:rPr>
        <w:t xml:space="preserve"> plus three </w:t>
      </w:r>
      <w:r>
        <w:rPr>
          <w:rFonts w:ascii="Consolas" w:cs="Consolas" w:eastAsia="Consolas" w:hAnsi="Consolas"/>
          <w:sz w:val="20"/>
          <w:szCs w:val="20"/>
        </w:rPr>
        <w:t xml:space="preserve">.json.gz</w:t>
      </w:r>
      <w:r>
        <w:rPr>
          <w:rFonts w:ascii="Calibri" w:cs="Calibri" w:eastAsia="Calibri" w:hAnsi="Calibri"/>
          <w:sz w:val="22"/>
          <w:szCs w:val="22"/>
        </w:rPr>
        <w:t xml:space="preserve"> files.</w:t>
      </w:r>
    </w:p>
    <w:p>
      <w:pPr>
        <w:pStyle w:val="Heading1"/>
        <w:spacing w:after="140" w:before="320"/>
      </w:pPr>
      <w:r>
        <w:rPr>
          <w:rFonts w:ascii="Calibri" w:cs="Calibri" w:eastAsia="Calibri" w:hAnsi="Calibri"/>
          <w:b/>
          <w:bCs/>
          <w:color w:val="1F4E78"/>
          <w:sz w:val="30"/>
          <w:szCs w:val="30"/>
        </w:rPr>
        <w:t xml:space="preserve">6. Run the pipeline</w:t>
      </w:r>
    </w:p>
    <w:p>
      <w:pPr>
        <w:spacing w:after="120" w:line="264"/>
      </w:pPr>
      <w:r>
        <w:rPr>
          <w:rFonts w:ascii="Calibri" w:cs="Calibri" w:eastAsia="Calibri" w:hAnsi="Calibri"/>
          <w:sz w:val="22"/>
          <w:szCs w:val="22"/>
        </w:rPr>
        <w:t xml:space="preserve">Launch JupyterLab </w:t>
      </w:r>
      <w:r>
        <w:rPr>
          <w:rFonts w:ascii="Calibri" w:cs="Calibri" w:eastAsia="Calibri" w:hAnsi="Calibri"/>
          <w:b/>
          <w:bCs/>
          <w:sz w:val="22"/>
          <w:szCs w:val="22"/>
        </w:rPr>
        <w:t xml:space="preserve">from the repository root</w:t>
      </w:r>
      <w:r>
        <w:rPr>
          <w:rFonts w:ascii="Calibri" w:cs="Calibri" w:eastAsia="Calibri" w:hAnsi="Calibri"/>
          <w:sz w:val="22"/>
          <w:szCs w:val="22"/>
        </w:rPr>
        <w:t xml:space="preserve"> (not from a subfolder, the notebooks use paths relative to that root):</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jupyter lab</w:t>
      </w:r>
    </w:p>
    <w:p>
      <w:pPr>
        <w:spacing w:after="120" w:line="264"/>
      </w:pPr>
      <w:r>
        <w:rPr>
          <w:rFonts w:ascii="Calibri" w:cs="Calibri" w:eastAsia="Calibri" w:hAnsi="Calibri"/>
          <w:sz w:val="22"/>
          <w:szCs w:val="22"/>
        </w:rPr>
        <w:t xml:space="preserve">Open each notebook and choose </w:t>
      </w:r>
      <w:r>
        <w:rPr>
          <w:rFonts w:ascii="Calibri" w:cs="Calibri" w:eastAsia="Calibri" w:hAnsi="Calibri"/>
          <w:b/>
          <w:bCs/>
          <w:sz w:val="22"/>
          <w:szCs w:val="22"/>
        </w:rPr>
        <w:t xml:space="preserve">Run → Run All Cells</w:t>
      </w:r>
      <w:r>
        <w:rPr>
          <w:rFonts w:ascii="Calibri" w:cs="Calibri" w:eastAsia="Calibri" w:hAnsi="Calibri"/>
          <w:sz w:val="22"/>
          <w:szCs w:val="22"/>
        </w:rPr>
        <w:t xml:space="preserve">, in order. Read the </w:t>
      </w:r>
      <w:r>
        <w:rPr>
          <w:rFonts w:ascii="Consolas" w:cs="Consolas" w:eastAsia="Consolas" w:hAnsi="Consolas"/>
          <w:sz w:val="20"/>
          <w:szCs w:val="20"/>
        </w:rPr>
        <w:t xml:space="preserve">CHECKPOINT</w:t>
      </w:r>
      <w:r>
        <w:rPr>
          <w:rFonts w:ascii="Calibri" w:cs="Calibri" w:eastAsia="Calibri" w:hAnsi="Calibri"/>
          <w:sz w:val="22"/>
          <w:szCs w:val="22"/>
        </w:rPr>
        <w:t xml:space="preserve"> line printed at the bottom of each before moving on. Skip 00.</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1310"/>
        <w:gridCol w:w="4493"/>
      </w:tblGrid>
      <w:tr>
        <w:trPr>
          <w:tblHeader/>
        </w:trPr>
        <w:tc>
          <w:tcPr>
            <w:tcW w:type="dxa" w:w="749"/>
            <w:shd w:fill="1F4E78" w:val="clear"/>
            <w:tcMar>
              <w:top w:type="dxa" w:w="40"/>
              <w:left w:type="dxa" w:w="80"/>
              <w:bottom w:type="dxa" w:w="40"/>
              <w:right w:type="dxa" w:w="80"/>
            </w:tcMar>
          </w:tcPr>
          <w:p>
            <w:r>
              <w:rPr>
                <w:rFonts w:ascii="Calibri" w:cs="Calibri" w:eastAsia="Calibri" w:hAnsi="Calibri"/>
                <w:b/>
                <w:bCs/>
                <w:color w:val="FFFFFF"/>
                <w:sz w:val="20"/>
                <w:szCs w:val="20"/>
              </w:rPr>
              <w:t xml:space="preserve">Run</w:t>
            </w:r>
          </w:p>
        </w:tc>
        <w:tc>
          <w:tcPr>
            <w:tcW w:type="dxa" w:w="2808"/>
            <w:shd w:fill="1F4E78" w:val="clear"/>
            <w:tcMar>
              <w:top w:type="dxa" w:w="40"/>
              <w:left w:type="dxa" w:w="80"/>
              <w:bottom w:type="dxa" w:w="40"/>
              <w:right w:type="dxa" w:w="80"/>
            </w:tcMar>
          </w:tcPr>
          <w:p>
            <w:r>
              <w:rPr>
                <w:rFonts w:ascii="Calibri" w:cs="Calibri" w:eastAsia="Calibri" w:hAnsi="Calibri"/>
                <w:b/>
                <w:bCs/>
                <w:color w:val="FFFFFF"/>
                <w:sz w:val="20"/>
                <w:szCs w:val="20"/>
              </w:rPr>
              <w:t xml:space="preserve">Notebook</w:t>
            </w:r>
          </w:p>
        </w:tc>
        <w:tc>
          <w:tcPr>
            <w:tcW w:type="dxa" w:w="1310"/>
            <w:shd w:fill="1F4E78" w:val="clear"/>
            <w:tcMar>
              <w:top w:type="dxa" w:w="40"/>
              <w:left w:type="dxa" w:w="80"/>
              <w:bottom w:type="dxa" w:w="40"/>
              <w:right w:type="dxa" w:w="80"/>
            </w:tcMar>
          </w:tcPr>
          <w:p>
            <w:r>
              <w:rPr>
                <w:rFonts w:ascii="Calibri" w:cs="Calibri" w:eastAsia="Calibri" w:hAnsi="Calibri"/>
                <w:b/>
                <w:bCs/>
                <w:color w:val="FFFFFF"/>
                <w:sz w:val="20"/>
                <w:szCs w:val="20"/>
              </w:rPr>
              <w:t xml:space="preserve">~Time</w:t>
            </w:r>
          </w:p>
        </w:tc>
        <w:tc>
          <w:tcPr>
            <w:tcW w:type="dxa" w:w="4493"/>
            <w:shd w:fill="1F4E78" w:val="clear"/>
            <w:tcMar>
              <w:top w:type="dxa" w:w="40"/>
              <w:left w:type="dxa" w:w="80"/>
              <w:bottom w:type="dxa" w:w="40"/>
              <w:right w:type="dxa" w:w="80"/>
            </w:tcMar>
          </w:tcPr>
          <w:p>
            <w:r>
              <w:rPr>
                <w:rFonts w:ascii="Calibri" w:cs="Calibri" w:eastAsia="Calibri" w:hAnsi="Calibri"/>
                <w:b/>
                <w:bCs/>
                <w:color w:val="FFFFFF"/>
                <w:sz w:val="20"/>
                <w:szCs w:val="20"/>
              </w:rPr>
              <w:t xml:space="preserve">What it does</w:t>
            </w:r>
          </w:p>
        </w:tc>
      </w:tr>
      <w:tr>
        <w:tc>
          <w:tcPr>
            <w:tcW w:type="dxa" w:w="749"/>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1</w:t>
            </w:r>
          </w:p>
        </w:tc>
        <w:tc>
          <w:tcPr>
            <w:tcW w:type="dxa" w:w="280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01_corpus</w:t>
            </w:r>
          </w:p>
        </w:tc>
        <w:tc>
          <w:tcPr>
            <w:tcW w:type="dxa" w:w="1310"/>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seconds</w:t>
            </w:r>
          </w:p>
        </w:tc>
        <w:tc>
          <w:tcPr>
            <w:tcW w:type="dxa" w:w="4493"/>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Builds the device table from the frozen data</w:t>
            </w:r>
          </w:p>
        </w:tc>
      </w:tr>
      <w:tr>
        <w:tc>
          <w:tcPr>
            <w:tcW w:type="dxa" w:w="749"/>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2</w:t>
            </w:r>
          </w:p>
        </w:tc>
        <w:tc>
          <w:tcPr>
            <w:tcW w:type="dxa" w:w="280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02_download_pdfs</w:t>
            </w:r>
          </w:p>
        </w:tc>
        <w:tc>
          <w:tcPr>
            <w:tcW w:type="dxa" w:w="1310"/>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1-3 hours</w:t>
            </w:r>
          </w:p>
        </w:tc>
        <w:tc>
          <w:tcPr>
            <w:tcW w:type="dxa" w:w="4493"/>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Downloads ~12,400 summary PDFs. The long step. Resumable: if it stops, Run All again.</w:t>
            </w:r>
          </w:p>
        </w:tc>
      </w:tr>
      <w:tr>
        <w:tc>
          <w:tcPr>
            <w:tcW w:type="dxa" w:w="749"/>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3</w:t>
            </w:r>
          </w:p>
        </w:tc>
        <w:tc>
          <w:tcPr>
            <w:tcW w:type="dxa" w:w="280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03_extract_edges</w:t>
            </w:r>
          </w:p>
        </w:tc>
        <w:tc>
          <w:tcPr>
            <w:tcW w:type="dxa" w:w="1310"/>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~10 min</w:t>
            </w:r>
          </w:p>
        </w:tc>
        <w:tc>
          <w:tcPr>
            <w:tcW w:type="dxa" w:w="4493"/>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Applies the predicate-edge rule; draws the validation sample</w:t>
            </w:r>
          </w:p>
        </w:tc>
      </w:tr>
      <w:tr>
        <w:tc>
          <w:tcPr>
            <w:tcW w:type="dxa" w:w="749"/>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4</w:t>
            </w:r>
          </w:p>
        </w:tc>
        <w:tc>
          <w:tcPr>
            <w:tcW w:type="dxa" w:w="280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04_recalls</w:t>
            </w:r>
          </w:p>
        </w:tc>
        <w:tc>
          <w:tcPr>
            <w:tcW w:type="dxa" w:w="1310"/>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seconds</w:t>
            </w:r>
          </w:p>
        </w:tc>
        <w:tc>
          <w:tcPr>
            <w:tcW w:type="dxa" w:w="4493"/>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Links recalls to devices</w:t>
            </w:r>
          </w:p>
        </w:tc>
      </w:tr>
      <w:tr>
        <w:tc>
          <w:tcPr>
            <w:tcW w:type="dxa" w:w="749"/>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5</w:t>
            </w:r>
          </w:p>
        </w:tc>
        <w:tc>
          <w:tcPr>
            <w:tcW w:type="dxa" w:w="280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05_classify</w:t>
            </w:r>
          </w:p>
        </w:tc>
        <w:tc>
          <w:tcPr>
            <w:tcW w:type="dxa" w:w="1310"/>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seconds</w:t>
            </w:r>
          </w:p>
        </w:tc>
        <w:tc>
          <w:tcPr>
            <w:tcW w:type="dxa" w:w="4493"/>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Attaches recall severity (Class I/II/III)</w:t>
            </w:r>
          </w:p>
        </w:tc>
      </w:tr>
      <w:tr>
        <w:tc>
          <w:tcPr>
            <w:tcW w:type="dxa" w:w="749"/>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6</w:t>
            </w:r>
          </w:p>
        </w:tc>
        <w:tc>
          <w:tcPr>
            <w:tcW w:type="dxa" w:w="280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06_graph_and_analysis</w:t>
            </w:r>
          </w:p>
        </w:tc>
        <w:tc>
          <w:tcPr>
            <w:tcW w:type="dxa" w:w="1310"/>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~1 min</w:t>
            </w:r>
          </w:p>
        </w:tc>
        <w:tc>
          <w:tcPr>
            <w:tcW w:type="dxa" w:w="4493"/>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Builds the graph; writes YOUR data/expected_values.json</w:t>
            </w:r>
          </w:p>
        </w:tc>
      </w:tr>
      <w:tr>
        <w:tc>
          <w:tcPr>
            <w:tcW w:type="dxa" w:w="749"/>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7</w:t>
            </w:r>
          </w:p>
        </w:tc>
        <w:tc>
          <w:tcPr>
            <w:tcW w:type="dxa" w:w="280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07_maude</w:t>
            </w:r>
          </w:p>
        </w:tc>
        <w:tc>
          <w:tcPr>
            <w:tcW w:type="dxa" w:w="1310"/>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~15 min</w:t>
            </w:r>
          </w:p>
        </w:tc>
        <w:tc>
          <w:tcPr>
            <w:tcW w:type="dxa" w:w="4493"/>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Live adverse-event comparison (see section 8)</w:t>
            </w:r>
          </w:p>
        </w:tc>
      </w:tr>
      <w:tr>
        <w:tc>
          <w:tcPr>
            <w:tcW w:type="dxa" w:w="749"/>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8</w:t>
            </w:r>
          </w:p>
        </w:tc>
        <w:tc>
          <w:tcPr>
            <w:tcW w:type="dxa" w:w="280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08_verify</w:t>
            </w:r>
          </w:p>
        </w:tc>
        <w:tc>
          <w:tcPr>
            <w:tcW w:type="dxa" w:w="1310"/>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seconds</w:t>
            </w:r>
          </w:p>
        </w:tc>
        <w:tc>
          <w:tcPr>
            <w:tcW w:type="dxa" w:w="4493"/>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Self-consistency check of your rebuild (expect 15/15)</w:t>
            </w:r>
          </w:p>
        </w:tc>
      </w:tr>
    </w:tbl>
    <w:p>
      <w:pPr>
        <w:pStyle w:val="Heading1"/>
        <w:spacing w:after="140" w:before="320"/>
      </w:pPr>
      <w:r>
        <w:rPr>
          <w:rFonts w:ascii="Calibri" w:cs="Calibri" w:eastAsia="Calibri" w:hAnsi="Calibri"/>
          <w:b/>
          <w:bCs/>
          <w:color w:val="1F4E78"/>
          <w:sz w:val="30"/>
          <w:szCs w:val="30"/>
        </w:rPr>
        <w:t xml:space="preserve">7. Confirm you reproduced the analyst’s numbers</w:t>
      </w:r>
    </w:p>
    <w:p>
      <w:pPr>
        <w:spacing w:after="120" w:line="264"/>
      </w:pPr>
      <w:r>
        <w:rPr>
          <w:rFonts w:ascii="Calibri" w:cs="Calibri" w:eastAsia="Calibri" w:hAnsi="Calibri"/>
          <w:sz w:val="22"/>
          <w:szCs w:val="22"/>
        </w:rPr>
        <w:t xml:space="preserve">From the repository root, run the bundled checker:</w:t>
      </w:r>
    </w:p>
    <w:p>
      <w:pPr>
        <w:pBdr>
          <w:top w:val="single" w:color="DDDDDD" w:sz="2"/>
          <w:bottom w:val="single" w:color="DDDDDD" w:sz="2"/>
          <w:left w:val="single" w:color="DDDDDD" w:sz="2"/>
          <w:right w:val="single" w:color="DDDDDD" w:sz="2"/>
        </w:pBdr>
        <w:shd w:fill="F4F4F4" w:val="clear"/>
        <w:spacing w:after="120" w:before="60"/>
      </w:pPr>
      <w:r>
        <w:rPr>
          <w:rFonts w:ascii="Consolas" w:cs="Consolas" w:eastAsia="Consolas" w:hAnsi="Consolas"/>
          <w:sz w:val="20"/>
          <w:szCs w:val="20"/>
        </w:rPr>
        <w:t xml:space="preserve">python compare_to_reference.py</w:t>
      </w:r>
    </w:p>
    <w:p>
      <w:pPr>
        <w:spacing w:after="120" w:line="264"/>
      </w:pPr>
      <w:r>
        <w:rPr>
          <w:rFonts w:ascii="Calibri" w:cs="Calibri" w:eastAsia="Calibri" w:hAnsi="Calibri"/>
          <w:sz w:val="22"/>
          <w:szCs w:val="22"/>
        </w:rPr>
        <w:t xml:space="preserve">It compares </w:t>
      </w:r>
      <w:r>
        <w:rPr>
          <w:rFonts w:ascii="Calibri" w:cs="Calibri" w:eastAsia="Calibri" w:hAnsi="Calibri"/>
          <w:i/>
          <w:iCs/>
          <w:sz w:val="22"/>
          <w:szCs w:val="22"/>
        </w:rPr>
        <w:t xml:space="preserve">your</w:t>
      </w:r>
      <w:r>
        <w:rPr>
          <w:rFonts w:ascii="Calibri" w:cs="Calibri" w:eastAsia="Calibri" w:hAnsi="Calibri"/>
          <w:sz w:val="22"/>
          <w:szCs w:val="22"/>
        </w:rPr>
        <w:t xml:space="preserve"> rebuilt </w:t>
      </w:r>
      <w:r>
        <w:rPr>
          <w:rFonts w:ascii="Consolas" w:cs="Consolas" w:eastAsia="Consolas" w:hAnsi="Consolas"/>
          <w:sz w:val="20"/>
          <w:szCs w:val="20"/>
        </w:rPr>
        <w:t xml:space="preserve">data/expected_values.json</w:t>
      </w:r>
      <w:r>
        <w:rPr>
          <w:rFonts w:ascii="Calibri" w:cs="Calibri" w:eastAsia="Calibri" w:hAnsi="Calibri"/>
          <w:sz w:val="22"/>
          <w:szCs w:val="22"/>
        </w:rPr>
        <w:t xml:space="preserve"> against the analyst’s </w:t>
      </w:r>
      <w:r>
        <w:rPr>
          <w:rFonts w:ascii="Consolas" w:cs="Consolas" w:eastAsia="Consolas" w:hAnsi="Consolas"/>
          <w:sz w:val="20"/>
          <w:szCs w:val="20"/>
        </w:rPr>
        <w:t xml:space="preserve">expected_values_REFERENCE.json</w:t>
      </w:r>
      <w:r>
        <w:rPr>
          <w:rFonts w:ascii="Calibri" w:cs="Calibri" w:eastAsia="Calibri" w:hAnsi="Calibri"/>
          <w:sz w:val="22"/>
          <w:szCs w:val="22"/>
        </w:rPr>
        <w:t xml:space="preserve"> (shipped in the repo). Every value in that file is deterministic, computed only from the frozen snapshot, so they must match </w:t>
      </w:r>
      <w:r>
        <w:rPr>
          <w:rFonts w:ascii="Calibri" w:cs="Calibri" w:eastAsia="Calibri" w:hAnsi="Calibri"/>
          <w:b/>
          <w:bCs/>
          <w:sz w:val="22"/>
          <w:szCs w:val="22"/>
        </w:rPr>
        <w:t xml:space="preserve">exactly</w:t>
      </w:r>
      <w:r>
        <w:rPr>
          <w:rFonts w:ascii="Calibri" w:cs="Calibri" w:eastAsia="Calibri" w:hAnsi="Calibri"/>
          <w:sz w:val="22"/>
          <w:szCs w:val="22"/>
        </w:rPr>
        <w:t xml:space="preserve">. A </w:t>
      </w:r>
      <w:r>
        <w:rPr>
          <w:rFonts w:ascii="Consolas" w:cs="Consolas" w:eastAsia="Consolas" w:hAnsi="Consolas"/>
          <w:b/>
          <w:bCs/>
          <w:sz w:val="20"/>
          <w:szCs w:val="20"/>
        </w:rPr>
        <w:t xml:space="preserve">PASS</w:t>
      </w:r>
      <w:r>
        <w:rPr>
          <w:rFonts w:ascii="Calibri" w:cs="Calibri" w:eastAsia="Calibri" w:hAnsi="Calibri"/>
          <w:sz w:val="22"/>
          <w:szCs w:val="22"/>
        </w:rPr>
        <w:t xml:space="preserve"> means you have reproduced the study.</w:t>
      </w:r>
    </w:p>
    <w:p>
      <w:pPr>
        <w:pStyle w:val="Heading1"/>
        <w:spacing w:after="140" w:before="320"/>
      </w:pPr>
      <w:r>
        <w:rPr>
          <w:rFonts w:ascii="Calibri" w:cs="Calibri" w:eastAsia="Calibri" w:hAnsi="Calibri"/>
          <w:b/>
          <w:bCs/>
          <w:color w:val="1F4E78"/>
          <w:sz w:val="30"/>
          <w:szCs w:val="30"/>
        </w:rPr>
        <w:t xml:space="preserve">8. The one number that will NOT match exactly, and why that’s fine</w:t>
      </w:r>
    </w:p>
    <w:p>
      <w:pPr>
        <w:spacing w:after="120" w:line="264"/>
      </w:pPr>
      <w:r>
        <w:rPr>
          <w:rFonts w:ascii="Calibri" w:cs="Calibri" w:eastAsia="Calibri" w:hAnsi="Calibri"/>
          <w:sz w:val="22"/>
          <w:szCs w:val="22"/>
        </w:rPr>
        <w:t xml:space="preserve">Notebook 07 (MAUDE) reads the </w:t>
      </w:r>
      <w:r>
        <w:rPr>
          <w:rFonts w:ascii="Calibri" w:cs="Calibri" w:eastAsia="Calibri" w:hAnsi="Calibri"/>
          <w:i/>
          <w:iCs/>
          <w:sz w:val="22"/>
          <w:szCs w:val="22"/>
        </w:rPr>
        <w:t xml:space="preserve">live</w:t>
      </w:r>
      <w:r>
        <w:rPr>
          <w:rFonts w:ascii="Calibri" w:cs="Calibri" w:eastAsia="Calibri" w:hAnsi="Calibri"/>
          <w:sz w:val="22"/>
          <w:szCs w:val="22"/>
        </w:rPr>
        <w:t xml:space="preserve"> FDA adverse-event database, whose event counts grow over time. So your </w:t>
      </w:r>
      <w:r>
        <w:rPr>
          <w:rFonts w:ascii="Consolas" w:cs="Consolas" w:eastAsia="Consolas" w:hAnsi="Consolas"/>
          <w:sz w:val="20"/>
          <w:szCs w:val="20"/>
        </w:rPr>
        <w:t xml:space="preserve">data/maude_comparison.json</w:t>
      </w:r>
      <w:r>
        <w:rPr>
          <w:rFonts w:ascii="Calibri" w:cs="Calibri" w:eastAsia="Calibri" w:hAnsi="Calibri"/>
          <w:sz w:val="22"/>
          <w:szCs w:val="22"/>
        </w:rPr>
        <w:t xml:space="preserve"> figures will be equal to or </w:t>
      </w:r>
      <w:r>
        <w:rPr>
          <w:rFonts w:ascii="Calibri" w:cs="Calibri" w:eastAsia="Calibri" w:hAnsi="Calibri"/>
          <w:b/>
          <w:bCs/>
          <w:sz w:val="22"/>
          <w:szCs w:val="22"/>
        </w:rPr>
        <w:t xml:space="preserve">larger</w:t>
      </w:r>
      <w:r>
        <w:rPr>
          <w:rFonts w:ascii="Calibri" w:cs="Calibri" w:eastAsia="Calibri" w:hAnsi="Calibri"/>
          <w:sz w:val="22"/>
          <w:szCs w:val="22"/>
        </w:rPr>
        <w:t xml:space="preserve"> than the analyst’s. That is expected, and the preregistration says so. What is being confirmed is the </w:t>
      </w:r>
      <w:r>
        <w:rPr>
          <w:rFonts w:ascii="Calibri" w:cs="Calibri" w:eastAsia="Calibri" w:hAnsi="Calibri"/>
          <w:b/>
          <w:bCs/>
          <w:sz w:val="22"/>
          <w:szCs w:val="22"/>
        </w:rPr>
        <w:t xml:space="preserve">direction</w:t>
      </w:r>
      <w:r>
        <w:rPr>
          <w:rFonts w:ascii="Calibri" w:cs="Calibri" w:eastAsia="Calibri" w:hAnsi="Calibri"/>
          <w:sz w:val="22"/>
          <w:szCs w:val="22"/>
        </w:rPr>
        <w:t xml:space="preserve">, not the magnitude: recalled predicates carry a higher adverse-event burden than matched controls, and the one-sided Mann-Whitney test is significant (p &lt; 0.05). Confirm the direction holds; do not expect the exact counts to match.</w:t>
      </w:r>
    </w:p>
    <w:p>
      <w:pPr>
        <w:pStyle w:val="Heading1"/>
        <w:spacing w:after="140" w:before="320"/>
      </w:pPr>
      <w:r>
        <w:rPr>
          <w:rFonts w:ascii="Calibri" w:cs="Calibri" w:eastAsia="Calibri" w:hAnsi="Calibri"/>
          <w:b/>
          <w:bCs/>
          <w:color w:val="1F4E78"/>
          <w:sz w:val="30"/>
          <w:szCs w:val="30"/>
        </w:rPr>
        <w:t xml:space="preserve">9. Hand spot-check a few edges</w:t>
      </w:r>
    </w:p>
    <w:p>
      <w:pPr>
        <w:spacing w:after="120" w:line="264"/>
      </w:pPr>
      <w:r>
        <w:rPr>
          <w:rFonts w:ascii="Calibri" w:cs="Calibri" w:eastAsia="Calibri" w:hAnsi="Calibri"/>
          <w:sz w:val="22"/>
          <w:szCs w:val="22"/>
        </w:rPr>
        <w:t xml:space="preserve">Pick two or three devices at random. Open their 510(k) summaries on accessdata.fda.gov and confirm that the predicate K-numbers recorded for them in data/predicate_edges.csv are genuinely cited as predicates in the documents. This is a quick human sanity check on top of the automated rebuild.</w:t>
      </w:r>
    </w:p>
    <w:p>
      <w:pPr>
        <w:pStyle w:val="Heading1"/>
        <w:spacing w:after="140" w:before="320"/>
      </w:pPr>
      <w:r>
        <w:rPr>
          <w:rFonts w:ascii="Calibri" w:cs="Calibri" w:eastAsia="Calibri" w:hAnsi="Calibri"/>
          <w:b/>
          <w:bCs/>
          <w:color w:val="1F4E78"/>
          <w:sz w:val="30"/>
          <w:szCs w:val="30"/>
        </w:rPr>
        <w:t xml:space="preserve">10. Report your verification (the pull request)</w:t>
      </w:r>
    </w:p>
    <w:p>
      <w:pPr>
        <w:spacing w:after="120" w:line="264"/>
      </w:pPr>
      <w:r>
        <w:rPr>
          <w:rFonts w:ascii="Calibri" w:cs="Calibri" w:eastAsia="Calibri" w:hAnsi="Calibri"/>
          <w:sz w:val="22"/>
          <w:szCs w:val="22"/>
        </w:rPr>
        <w:t xml:space="preserve">Open a pull request against the repository titled </w:t>
      </w:r>
      <w:r>
        <w:rPr>
          <w:rFonts w:ascii="Calibri" w:cs="Calibri" w:eastAsia="Calibri" w:hAnsi="Calibri"/>
          <w:i/>
          <w:iCs/>
          <w:sz w:val="22"/>
          <w:szCs w:val="22"/>
        </w:rPr>
        <w:t xml:space="preserve">Independent verification, &lt;your name&gt;, &lt;date&gt;</w:t>
      </w:r>
      <w:r>
        <w:rPr>
          <w:rFonts w:ascii="Calibri" w:cs="Calibri" w:eastAsia="Calibri" w:hAnsi="Calibri"/>
          <w:sz w:val="22"/>
          <w:szCs w:val="22"/>
        </w:rPr>
        <w:t xml:space="preserve">. In the description, include:</w:t>
      </w:r>
    </w:p>
    <w:p>
      <w:pPr>
        <w:pStyle w:val="ListParagraph"/>
        <w:numPr>
          <w:ilvl w:val="0"/>
          <w:numId w:val="3"/>
        </w:numPr>
        <w:spacing w:after="80" w:line="260"/>
      </w:pPr>
      <w:r>
        <w:rPr>
          <w:rFonts w:ascii="Calibri" w:cs="Calibri" w:eastAsia="Calibri" w:hAnsi="Calibri"/>
          <w:sz w:val="22"/>
          <w:szCs w:val="22"/>
        </w:rPr>
        <w:t xml:space="preserve">The result of compare_to_reference.py (PASS, or the specific fields that differed).</w:t>
      </w:r>
    </w:p>
    <w:p>
      <w:pPr>
        <w:pStyle w:val="ListParagraph"/>
        <w:numPr>
          <w:ilvl w:val="0"/>
          <w:numId w:val="3"/>
        </w:numPr>
        <w:spacing w:after="80" w:line="260"/>
      </w:pPr>
      <w:r>
        <w:rPr>
          <w:rFonts w:ascii="Calibri" w:cs="Calibri" w:eastAsia="Calibri" w:hAnsi="Calibri"/>
          <w:sz w:val="22"/>
          <w:szCs w:val="22"/>
        </w:rPr>
        <w:t xml:space="preserve">A short table: for each headline number, the analyst’s value vs. your recomputed value, PASS/FAIL.</w:t>
      </w:r>
    </w:p>
    <w:p>
      <w:pPr>
        <w:pStyle w:val="ListParagraph"/>
        <w:numPr>
          <w:ilvl w:val="0"/>
          <w:numId w:val="3"/>
        </w:numPr>
        <w:spacing w:after="80" w:line="260"/>
      </w:pPr>
      <w:r>
        <w:rPr>
          <w:rFonts w:ascii="Calibri" w:cs="Calibri" w:eastAsia="Calibri" w:hAnsi="Calibri"/>
          <w:sz w:val="22"/>
          <w:szCs w:val="22"/>
        </w:rPr>
        <w:t xml:space="preserve">Your MAUDE direction check (did recalled exceed matched, was the test significant?).</w:t>
      </w:r>
    </w:p>
    <w:p>
      <w:pPr>
        <w:pStyle w:val="ListParagraph"/>
        <w:numPr>
          <w:ilvl w:val="0"/>
          <w:numId w:val="3"/>
        </w:numPr>
        <w:spacing w:after="80" w:line="260"/>
      </w:pPr>
      <w:r>
        <w:rPr>
          <w:rFonts w:ascii="Calibri" w:cs="Calibri" w:eastAsia="Calibri" w:hAnsi="Calibri"/>
          <w:sz w:val="22"/>
          <w:szCs w:val="22"/>
        </w:rPr>
        <w:t xml:space="preserve">Your 2-3 hand spot-check results.</w:t>
      </w:r>
    </w:p>
    <w:p>
      <w:pPr>
        <w:spacing w:after="120" w:line="264"/>
      </w:pPr>
      <w:r>
        <w:rPr>
          <w:rFonts w:ascii="Calibri" w:cs="Calibri" w:eastAsia="Calibri" w:hAnsi="Calibri"/>
          <w:sz w:val="22"/>
          <w:szCs w:val="22"/>
        </w:rPr>
        <w:t xml:space="preserve">The analyst reviews and merges it. </w:t>
      </w:r>
      <w:r>
        <w:rPr>
          <w:rFonts w:ascii="Calibri" w:cs="Calibri" w:eastAsia="Calibri" w:hAnsi="Calibri"/>
          <w:b/>
          <w:bCs/>
          <w:sz w:val="22"/>
          <w:szCs w:val="22"/>
        </w:rPr>
        <w:t xml:space="preserve">That merged pull request is the permanent record that someone who did not build the study reproduced it.</w:t>
      </w:r>
    </w:p>
    <w:p>
      <w:pPr>
        <w:pStyle w:val="Heading1"/>
        <w:spacing w:after="140" w:before="320"/>
      </w:pPr>
      <w:r>
        <w:rPr>
          <w:rFonts w:ascii="Calibri" w:cs="Calibri" w:eastAsia="Calibri" w:hAnsi="Calibri"/>
          <w:b/>
          <w:bCs/>
          <w:color w:val="1F4E78"/>
          <w:sz w:val="30"/>
          <w:szCs w:val="30"/>
        </w:rPr>
        <w:t xml:space="preserve">11. Troubleshooting</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4E78" w:val="clear"/>
            <w:tcMar>
              <w:top w:type="dxa" w:w="40"/>
              <w:left w:type="dxa" w:w="80"/>
              <w:bottom w:type="dxa" w:w="40"/>
              <w:right w:type="dxa" w:w="80"/>
            </w:tcMar>
          </w:tcPr>
          <w:p>
            <w:r>
              <w:rPr>
                <w:rFonts w:ascii="Calibri" w:cs="Calibri" w:eastAsia="Calibri" w:hAnsi="Calibri"/>
                <w:b/>
                <w:bCs/>
                <w:color w:val="FFFFFF"/>
                <w:sz w:val="20"/>
                <w:szCs w:val="20"/>
              </w:rPr>
              <w:t xml:space="preserve">Symptom</w:t>
            </w:r>
          </w:p>
        </w:tc>
        <w:tc>
          <w:tcPr>
            <w:tcW w:type="dxa" w:w="6178"/>
            <w:shd w:fill="1F4E78" w:val="clear"/>
            <w:tcMar>
              <w:top w:type="dxa" w:w="40"/>
              <w:left w:type="dxa" w:w="80"/>
              <w:bottom w:type="dxa" w:w="40"/>
              <w:right w:type="dxa" w:w="80"/>
            </w:tcMar>
          </w:tcPr>
          <w:p>
            <w:r>
              <w:rPr>
                <w:rFonts w:ascii="Calibri" w:cs="Calibri" w:eastAsia="Calibri" w:hAnsi="Calibri"/>
                <w:b/>
                <w:bCs/>
                <w:color w:val="FFFFFF"/>
                <w:sz w:val="20"/>
                <w:szCs w:val="20"/>
              </w:rPr>
              <w:t xml:space="preserve">Cause → fix</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Many numbers differ from the reference</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You ran notebook 00, or didn’t unzip the analyst’s snapshot. Redo from the frozen snapshot with 00 skipped.</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 single graph metric is off</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Your library versions differ. Re-install with the pinned requirements.txt (networkx version matters).</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Notebook 02 downloads nothing / all 404s</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browser User-Agent fix is already in the notebook, make sure you’re on the repo’s version. Also confirm OPENFDA_KEY is set.</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Notebook 07 stalls or errors on the FDA API</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Rate limiting. The notebook already throttles and retries; just make sure OPENFDA_KEY is set. If it stops, re-run the cell.</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 notebook can’t find a file</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You launched JupyterLab from the wrong folder, or ran stages out of order. Launch from the repo root; run 01-08 in order.</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FDA API returns errors mid-run</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Wait a minute and re-run the cell; all fetch stages are safe to re-run.</w:t>
            </w:r>
          </w:p>
        </w:tc>
      </w:tr>
    </w:tbl>
    <w:p>
      <w:pPr>
        <w:pStyle w:val="Heading1"/>
        <w:spacing w:after="140" w:before="320"/>
      </w:pPr>
      <w:r>
        <w:rPr>
          <w:rFonts w:ascii="Calibri" w:cs="Calibri" w:eastAsia="Calibri" w:hAnsi="Calibri"/>
          <w:b/>
          <w:bCs/>
          <w:color w:val="1F4E78"/>
          <w:sz w:val="30"/>
          <w:szCs w:val="30"/>
        </w:rPr>
        <w:t xml:space="preserve">12. What each file in the repository is</w:t>
      </w:r>
    </w:p>
    <w:p>
      <w:pPr>
        <w:spacing w:after="6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1F4E78" w:val="clear"/>
            <w:tcMar>
              <w:top w:type="dxa" w:w="40"/>
              <w:left w:type="dxa" w:w="80"/>
              <w:bottom w:type="dxa" w:w="40"/>
              <w:right w:type="dxa" w:w="80"/>
            </w:tcMar>
          </w:tcPr>
          <w:p>
            <w:r>
              <w:rPr>
                <w:rFonts w:ascii="Calibri" w:cs="Calibri" w:eastAsia="Calibri" w:hAnsi="Calibri"/>
                <w:b/>
                <w:bCs/>
                <w:color w:val="FFFFFF"/>
                <w:sz w:val="20"/>
                <w:szCs w:val="20"/>
              </w:rPr>
              <w:t xml:space="preserve">File</w:t>
            </w:r>
          </w:p>
        </w:tc>
        <w:tc>
          <w:tcPr>
            <w:tcW w:type="dxa" w:w="6178"/>
            <w:shd w:fill="1F4E78" w:val="clear"/>
            <w:tcMar>
              <w:top w:type="dxa" w:w="40"/>
              <w:left w:type="dxa" w:w="80"/>
              <w:bottom w:type="dxa" w:w="40"/>
              <w:right w:type="dxa" w:w="80"/>
            </w:tcMar>
          </w:tcPr>
          <w:p>
            <w:r>
              <w:rPr>
                <w:rFonts w:ascii="Calibri" w:cs="Calibri" w:eastAsia="Calibri" w:hAnsi="Calibri"/>
                <w:b/>
                <w:bCs/>
                <w:color w:val="FFFFFF"/>
                <w:sz w:val="20"/>
                <w:szCs w:val="20"/>
              </w:rPr>
              <w:t xml:space="preserve">What it is</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00-08 *.ipynb</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pipeline notebooks (00 is provenance only, do not run it)</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FOR_THE_VERIFIER.md</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A short version of this manual, inside the repo</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expected_values_REFERENCE.json</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analyst’s target numbers you must reproduce</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compare_to_reference.py</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checker that compares your rebuild to the reference</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README.md</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Project overview and reproduction notes</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PREREGISTRATION.docx</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locked analysis plan (the study’s contract)</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PROJECT_RUN_MANUAL.docx</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analyst’s full run manual (for reference)</w:t>
            </w:r>
          </w:p>
        </w:tc>
      </w:tr>
      <w:tr>
        <w:tc>
          <w:tcPr>
            <w:tcW w:type="dxa" w:w="3182"/>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RUN_LOG.md / DEVIATIONS.md</w:t>
            </w:r>
          </w:p>
        </w:tc>
        <w:tc>
          <w:tcPr>
            <w:tcW w:type="dxa" w:w="6178"/>
            <w:shd w:fill="F2F2F2"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What was actually run, and any documented departures (D1, D2)</w:t>
            </w:r>
          </w:p>
        </w:tc>
      </w:tr>
      <w:tr>
        <w:tc>
          <w:tcPr>
            <w:tcW w:type="dxa" w:w="3182"/>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requirements.txt</w:t>
            </w:r>
          </w:p>
        </w:tc>
        <w:tc>
          <w:tcPr>
            <w:tcW w:type="dxa" w:w="6178"/>
            <w:shd w:fill="FFFFFF" w:val="clear"/>
            <w:tcMar>
              <w:top w:type="dxa" w:w="40"/>
              <w:left w:type="dxa" w:w="80"/>
              <w:bottom w:type="dxa" w:w="40"/>
              <w:right w:type="dxa" w:w="80"/>
            </w:tcMar>
          </w:tcPr>
          <w:p>
            <w:r>
              <w:rPr>
                <w:rFonts w:ascii="Calibri" w:cs="Calibri" w:eastAsia="Calibri" w:hAnsi="Calibri"/>
                <w:b w:val="false"/>
                <w:bCs w:val="false"/>
                <w:color w:val="000000"/>
                <w:sz w:val="20"/>
                <w:szCs w:val="20"/>
              </w:rPr>
              <w:t xml:space="preserve">The exact Python environment to install</w:t>
            </w:r>
          </w:p>
        </w:tc>
      </w:tr>
    </w:tbl>
    <w:p>
      <w:pPr>
        <w:spacing w:before="260"/>
      </w:pPr>
      <w:r>
        <w:rPr>
          <w:rFonts w:ascii="Calibri" w:cs="Calibri" w:eastAsia="Calibri" w:hAnsi="Calibri"/>
          <w:i/>
          <w:iCs/>
          <w:color w:val="595959"/>
          <w:sz w:val="22"/>
          <w:szCs w:val="22"/>
        </w:rPr>
        <w:t xml:space="preserve">Questions about a specific step should go to the analyst before you sign off. A clean, honest “it reproduces”, including reporting anything that did not, is the goal.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Independent Verification Manual  •  Orthopedic 510(k) Predicate-Graph Study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2026-08-09T16:42:32.493Z</dcterms:created>
  <dcterms:modified xsi:type="dcterms:W3CDTF">2026-08-09T16:42:32.502Z</dcterms:modified>
</cp:coreProperties>
</file>

<file path=docProps/custom.xml><?xml version="1.0" encoding="utf-8"?>
<Properties xmlns="http://schemas.openxmlformats.org/officeDocument/2006/custom-properties" xmlns:vt="http://schemas.openxmlformats.org/officeDocument/2006/docPropsVTypes"/>
</file>