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RESEARCH INTERESTS</w:t>
      </w:r>
    </w:p>
    <w:p>
      <w:pPr>
        <w:spacing w:before="0"/>
      </w:pPr>
      <w:r>
        <w:rPr>
          <w:b w:val="0"/>
          <w:i w:val="0"/>
        </w:rPr>
        <w:t>Biomaterials and tissue engineering; medical device design, testing, and manufacturing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 (Sophomore)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Completed: </w:t>
      </w:r>
      <w:r>
        <w:rPr>
          <w:b w:val="0"/>
          <w:i w:val="0"/>
        </w:rPr>
        <w:t>Calculus I-III, General Chemistry I-II, General Physics I-II, Engineering Design Communication (SolidWorks)</w:t>
      </w:r>
    </w:p>
    <w:p>
      <w:pPr>
        <w:spacing w:before="0"/>
      </w:pPr>
      <w:r>
        <w:rPr>
          <w:b/>
          <w:i w:val="0"/>
        </w:rPr>
        <w:t xml:space="preserve">In Progress: </w:t>
      </w:r>
      <w:r>
        <w:rPr>
          <w:b w:val="0"/>
          <w:i w:val="0"/>
        </w:rPr>
        <w:t>Introduction to Mechanical Design in Biomedical Engineering, Introduction to Mechanics (Statics), Life: Molecules and Cells (with lab)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RESEARCH AND ENGINEERING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Fall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Marketing and Fundraising Lead | NICU Temperature Probe Adhesive Research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Lead marketing and fundraising for a student research team developing a layered adhesive (silicone, hydrocolloid, foam, reflective film) that keeps temperature probes on premature infants.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the team's design goals and test results, including a five-hour simulated movement test, into funding pitches to continue prototyping and testing.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Fall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Translate user needs into documented design requirements for control, safety, durability, ergonomics, and swappable toppers.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Test and iterate 3D-printed, self-centering joystick prototypes with a student team; evaluate materials, manufacturability, and cost.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Prototyping:</w:t>
      </w:r>
      <w:r>
        <w:rPr>
          <w:b w:val="0"/>
          <w:i w:val="0"/>
        </w:rPr>
        <w:tab/>
      </w:r>
      <w:r>
        <w:rPr>
          <w:b w:val="0"/>
          <w:i w:val="0"/>
        </w:rPr>
        <w:t>Additive manufacturing (3D printing); rapid prototyping; prototype testing; Red Tag shop clearance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CAD:</w:t>
      </w:r>
      <w:r>
        <w:rPr>
          <w:b w:val="0"/>
          <w:i w:val="0"/>
        </w:rPr>
        <w:tab/>
      </w:r>
      <w:r>
        <w:rPr>
          <w:b w:val="0"/>
          <w:i w:val="0"/>
        </w:rPr>
        <w:t>SolidWorks through ME 228 (part modeling, assemblies, engineering drawings)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Documentation:</w:t>
      </w:r>
      <w:r>
        <w:rPr>
          <w:b w:val="0"/>
          <w:i w:val="0"/>
        </w:rPr>
        <w:tab/>
      </w:r>
      <w:r>
        <w:rPr>
          <w:b w:val="0"/>
          <w:i w:val="0"/>
        </w:rPr>
        <w:t>Standard operating procedures; nonconformance documentation; technical writing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Data and Software: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cleaning and validation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Certification:</w:t>
      </w:r>
      <w:r>
        <w:rPr>
          <w:b w:val="0"/>
          <w:i w:val="0"/>
        </w:rPr>
        <w:tab/>
      </w:r>
      <w:r>
        <w:rPr>
          <w:b w:val="0"/>
          <w:i w:val="0"/>
        </w:rPr>
        <w:t>Tactical Combat Casualty Care (TCCC)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validated a 3,050-record database covering 19 states and 348 cities using the Google Places API.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Cleaned and de-duplicated two source datasets, verified phone contacts for 98% of records, and scored each lead by segment and product fit.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advising on product quality and pricing.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Wrote standard operating procedures (SOPs) for job setup, cleaning, and final inspection; booked $14,280 across 40 jobs while enrolled full time.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Inspected 30+ residential and commercial properties per season; documented nonconformities and directed corrective rework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National winner;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