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8"/>
        </w:rPr>
        <w:t>Woodfibre LNG Project</w:t>
      </w:r>
    </w:p>
    <w:p>
      <w:pPr>
        <w:spacing w:after="240"/>
      </w:pPr>
      <w:r>
        <w:rPr>
          <w:rFonts w:ascii="Calibri" w:hAnsi="Calibri"/>
          <w:b/>
          <w:color w:val="008080"/>
          <w:sz w:val="36"/>
        </w:rPr>
        <w:t>Project HSSE Transition &amp; Operations Handover Plan</w:t>
      </w:r>
    </w:p>
    <w:p>
      <w:pPr>
        <w:spacing w:after="320"/>
      </w:pPr>
      <w:r>
        <w:rPr>
          <w:rFonts w:ascii="Calibri" w:hAnsi="Calibri"/>
          <w:i/>
          <w:color w:val="555555"/>
          <w:sz w:val="19"/>
        </w:rPr>
        <w:t>Document ID: PLN-HSSE-001  |  Version: 2.0 (Joint Governance Review Edition)  |  Owner: Joint HSSE Steering Committee</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left w:val="single" w:sz="36" w:space="0" w:color="008080"/>
              <w:top w:val="none"/>
              <w:right w:val="none"/>
              <w:bottom w:val="none"/>
            </w:tcBorders>
          </w:tcPr>
          <w:p>
            <w:pPr>
              <w:spacing w:before="40" w:after="40"/>
            </w:pPr>
            <w:r>
              <w:rPr>
                <w:rFonts w:ascii="Calibri" w:hAnsi="Calibri"/>
                <w:b/>
                <w:color w:val="008080"/>
                <w:sz w:val="20"/>
              </w:rPr>
              <w:t xml:space="preserve">[EXECUTIVE GOVERNANCE SUMMARY] </w:t>
            </w:r>
            <w:r>
              <w:rPr>
                <w:rFonts w:ascii="Calibri" w:hAnsi="Calibri"/>
                <w:color w:val="333333"/>
                <w:sz w:val="20"/>
              </w:rPr>
              <w:t>This revised Project HSSE Transition Plan incorporates critical review recommendations to establish formal joint governance, sign-off blocks, safety responsibility transfer milestones, a dedicated HSSE Bridging Strategy (HSSE-BRG-001), program-by-program bridging mechanics (PTW, LOTO, SIMOPS, ERP, MOC), and heightened process safety / PSSR requirements for operational ownership by Woodfibre LNG Operations.</w:t>
            </w:r>
          </w:p>
        </w:tc>
      </w:tr>
    </w:tbl>
    <w:p>
      <w:pPr>
        <w:spacing w:after="80"/>
      </w:pPr>
    </w:p>
    <w:p>
      <w:pPr>
        <w:keepNext/>
        <w:spacing w:before="280" w:after="120"/>
      </w:pPr>
      <w:r>
        <w:rPr>
          <w:rFonts w:ascii="Calibri" w:hAnsi="Calibri"/>
          <w:b/>
          <w:color w:val="1B365D"/>
          <w:sz w:val="32"/>
        </w:rPr>
        <w:t>1.0 DOCUMENT APPROVAL &amp; JOINT GOVERNANCE SIGN-OFF</w:t>
      </w:r>
    </w:p>
    <w:p>
      <w:r>
        <w:t>This Project HSSE Transition Plan represents a binding, joint governance document between the EPC Contractor (CB&amp;I), Commissioning &amp; Start-Up (CSU), and the Owner's Operations Organization (Woodfibre LNG Management Ltd.). Progression between project execution phases shall not occur without formal authorization from all designated approval authorities below:</w:t>
      </w:r>
    </w:p>
    <w:tbl>
      <w:tblPr>
        <w:tblW w:type="auto" w:w="0"/>
        <w:jc w:val="center"/>
        <w:tblLayout w:type="fixed"/>
        <w:tblLook w:firstColumn="1" w:firstRow="1" w:lastColumn="0" w:lastRow="0" w:noHBand="0" w:noVBand="1" w:val="04A0"/>
      </w:tblPr>
      <w:tblGrid>
        <w:gridCol w:w="9360"/>
      </w:tblGrid>
      <w:tr>
        <w:tc>
          <w:tcPr>
            <w:tcW w:type="dxa" w:w="9360"/>
            <w:shd w:fill="#FFF8E7"/>
            <w:tcMar>
              <w:top w:w="120" w:type="dxa"/>
              <w:bottom w:w="120" w:type="dxa"/>
              <w:left w:w="180" w:type="dxa"/>
              <w:right w:w="180" w:type="dxa"/>
            </w:tcMar>
            <w:tcBorders>
              <w:left w:val="single" w:sz="36" w:space="0" w:color="D4AF37"/>
              <w:top w:val="none"/>
              <w:right w:val="none"/>
              <w:bottom w:val="none"/>
            </w:tcBorders>
          </w:tcPr>
          <w:p>
            <w:pPr>
              <w:spacing w:before="40" w:after="40"/>
            </w:pPr>
            <w:r>
              <w:rPr>
                <w:rFonts w:ascii="Calibri" w:hAnsi="Calibri"/>
                <w:b/>
                <w:color w:val="856404"/>
                <w:sz w:val="20"/>
              </w:rPr>
              <w:t xml:space="preserve">[REVIEW COMMENT #1 - JOINT OWNERSHIP] </w:t>
            </w:r>
            <w:r>
              <w:rPr>
                <w:rFonts w:ascii="Calibri" w:hAnsi="Calibri"/>
                <w:color w:val="333333"/>
                <w:sz w:val="20"/>
              </w:rPr>
              <w:t>CRITICAL REVIEW RECOMMENDATION: The initial plan draft lacked formal sign-off from Woodfibre LNG Operations. Joint governance is mandatory. System handover, boundary control, and Permit to Work (PTW) transitions cannot proceed solely on construction endorsement; binding sign-off from the Operations Director and WLNG VP HSSE is required.</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jc w:val="left"/>
            </w:pPr>
            <w:r>
              <w:rPr>
                <w:rFonts w:ascii="Calibri" w:hAnsi="Calibri"/>
                <w:b/>
                <w:color w:val="FFFFFF"/>
                <w:sz w:val="19"/>
              </w:rPr>
              <w:t>Approval Role</w:t>
            </w:r>
          </w:p>
        </w:tc>
        <w:tc>
          <w:tcPr>
            <w:tcW w:type="dxa" w:w="2340"/>
            <w:shd w:fill="1B365D"/>
            <w:tcMar>
              <w:top w:w="100" w:type="dxa"/>
              <w:bottom w:w="100" w:type="dxa"/>
              <w:left w:w="120" w:type="dxa"/>
              <w:right w:w="120" w:type="dxa"/>
            </w:tcMar>
          </w:tcPr>
          <w:p>
            <w:pPr>
              <w:jc w:val="left"/>
            </w:pPr>
            <w:r>
              <w:rPr>
                <w:rFonts w:ascii="Calibri" w:hAnsi="Calibri"/>
                <w:b/>
                <w:color w:val="FFFFFF"/>
                <w:sz w:val="19"/>
              </w:rPr>
              <w:t>Name &amp; Title</w:t>
            </w:r>
          </w:p>
        </w:tc>
        <w:tc>
          <w:tcPr>
            <w:tcW w:type="dxa" w:w="2340"/>
            <w:shd w:fill="1B365D"/>
            <w:tcMar>
              <w:top w:w="100" w:type="dxa"/>
              <w:bottom w:w="100" w:type="dxa"/>
              <w:left w:w="120" w:type="dxa"/>
              <w:right w:w="120" w:type="dxa"/>
            </w:tcMar>
          </w:tcPr>
          <w:p>
            <w:pPr>
              <w:jc w:val="left"/>
            </w:pPr>
            <w:r>
              <w:rPr>
                <w:rFonts w:ascii="Calibri" w:hAnsi="Calibri"/>
                <w:b/>
                <w:color w:val="FFFFFF"/>
                <w:sz w:val="19"/>
              </w:rPr>
              <w:t>Organization</w:t>
            </w:r>
          </w:p>
        </w:tc>
        <w:tc>
          <w:tcPr>
            <w:tcW w:type="dxa" w:w="2340"/>
            <w:shd w:fill="1B365D"/>
            <w:tcMar>
              <w:top w:w="100" w:type="dxa"/>
              <w:bottom w:w="100" w:type="dxa"/>
              <w:left w:w="120" w:type="dxa"/>
              <w:right w:w="120" w:type="dxa"/>
            </w:tcMar>
          </w:tcPr>
          <w:p>
            <w:pPr>
              <w:jc w:val="left"/>
            </w:pPr>
            <w:r>
              <w:rPr>
                <w:rFonts w:ascii="Calibri" w:hAnsi="Calibri"/>
                <w:b/>
                <w:color w:val="FFFFFF"/>
                <w:sz w:val="19"/>
              </w:rPr>
              <w:t>Signature &amp; Date</w:t>
            </w:r>
          </w:p>
        </w:tc>
      </w:tr>
      <w:tr>
        <w:tc>
          <w:tcPr>
            <w:tcW w:type="dxa" w:w="2340"/>
            <w:shd w:fill="F9FAFC"/>
            <w:tcMar>
              <w:top w:w="80" w:type="dxa"/>
              <w:bottom w:w="80" w:type="dxa"/>
              <w:left w:w="120" w:type="dxa"/>
              <w:right w:w="120" w:type="dxa"/>
            </w:tcMar>
          </w:tcPr>
          <w:p>
            <w:r>
              <w:rPr>
                <w:rFonts w:ascii="Calibri" w:hAnsi="Calibri"/>
                <w:color w:val="333333"/>
                <w:sz w:val="18"/>
              </w:rPr>
              <w:t>EPC Construction Director</w:t>
            </w:r>
          </w:p>
        </w:tc>
        <w:tc>
          <w:tcPr>
            <w:tcW w:type="dxa" w:w="2340"/>
            <w:shd w:fill="F9FAFC"/>
            <w:tcMar>
              <w:top w:w="80" w:type="dxa"/>
              <w:bottom w:w="80" w:type="dxa"/>
              <w:left w:w="120" w:type="dxa"/>
              <w:right w:w="120" w:type="dxa"/>
            </w:tcMar>
          </w:tcPr>
          <w:p>
            <w:r>
              <w:rPr>
                <w:rFonts w:ascii="Calibri" w:hAnsi="Calibri"/>
                <w:color w:val="333333"/>
                <w:sz w:val="18"/>
              </w:rPr>
              <w:t>CB&amp;I Construction Director</w:t>
            </w:r>
          </w:p>
        </w:tc>
        <w:tc>
          <w:tcPr>
            <w:tcW w:type="dxa" w:w="2340"/>
            <w:shd w:fill="F9FAFC"/>
            <w:tcMar>
              <w:top w:w="80" w:type="dxa"/>
              <w:bottom w:w="80" w:type="dxa"/>
              <w:left w:w="120" w:type="dxa"/>
              <w:right w:w="120" w:type="dxa"/>
            </w:tcMar>
          </w:tcPr>
          <w:p>
            <w:r>
              <w:rPr>
                <w:rFonts w:ascii="Calibri" w:hAnsi="Calibri"/>
                <w:color w:val="333333"/>
                <w:sz w:val="18"/>
              </w:rPr>
              <w:t>EPC Contractor (CB&amp;I)</w:t>
            </w:r>
          </w:p>
        </w:tc>
        <w:tc>
          <w:tcPr>
            <w:tcW w:type="dxa" w:w="2340"/>
            <w:shd w:fill="F9FAFC"/>
            <w:tcMar>
              <w:top w:w="80" w:type="dxa"/>
              <w:bottom w:w="80" w:type="dxa"/>
              <w:left w:w="120" w:type="dxa"/>
              <w:right w:w="120" w:type="dxa"/>
            </w:tcMar>
          </w:tcPr>
          <w:p>
            <w:r>
              <w:rPr>
                <w:rFonts w:ascii="Calibri" w:hAnsi="Calibri"/>
                <w:color w:val="333333"/>
                <w:sz w:val="18"/>
              </w:rPr>
              <w:t>_____________________  ___/___/2026</w:t>
            </w:r>
          </w:p>
        </w:tc>
      </w:tr>
      <w:tr>
        <w:tc>
          <w:tcPr>
            <w:tcW w:type="dxa" w:w="2340"/>
            <w:shd w:fill="FFFFFF"/>
            <w:tcMar>
              <w:top w:w="80" w:type="dxa"/>
              <w:bottom w:w="80" w:type="dxa"/>
              <w:left w:w="120" w:type="dxa"/>
              <w:right w:w="120" w:type="dxa"/>
            </w:tcMar>
          </w:tcPr>
          <w:p>
            <w:r>
              <w:rPr>
                <w:rFonts w:ascii="Calibri" w:hAnsi="Calibri"/>
                <w:color w:val="333333"/>
                <w:sz w:val="18"/>
              </w:rPr>
              <w:t>Commissioning Manager</w:t>
            </w:r>
          </w:p>
        </w:tc>
        <w:tc>
          <w:tcPr>
            <w:tcW w:type="dxa" w:w="2340"/>
            <w:shd w:fill="FFFFFF"/>
            <w:tcMar>
              <w:top w:w="80" w:type="dxa"/>
              <w:bottom w:w="80" w:type="dxa"/>
              <w:left w:w="120" w:type="dxa"/>
              <w:right w:w="120" w:type="dxa"/>
            </w:tcMar>
          </w:tcPr>
          <w:p>
            <w:r>
              <w:rPr>
                <w:rFonts w:ascii="Calibri" w:hAnsi="Calibri"/>
                <w:color w:val="333333"/>
                <w:sz w:val="18"/>
              </w:rPr>
              <w:t>Project CSU Manager</w:t>
            </w:r>
          </w:p>
        </w:tc>
        <w:tc>
          <w:tcPr>
            <w:tcW w:type="dxa" w:w="2340"/>
            <w:shd w:fill="FFFFFF"/>
            <w:tcMar>
              <w:top w:w="80" w:type="dxa"/>
              <w:bottom w:w="80" w:type="dxa"/>
              <w:left w:w="120" w:type="dxa"/>
              <w:right w:w="120" w:type="dxa"/>
            </w:tcMar>
          </w:tcPr>
          <w:p>
            <w:r>
              <w:rPr>
                <w:rFonts w:ascii="Calibri" w:hAnsi="Calibri"/>
                <w:color w:val="333333"/>
                <w:sz w:val="18"/>
              </w:rPr>
              <w:t>Commissioning &amp; Start-Up</w:t>
            </w:r>
          </w:p>
        </w:tc>
        <w:tc>
          <w:tcPr>
            <w:tcW w:type="dxa" w:w="2340"/>
            <w:shd w:fill="FFFFFF"/>
            <w:tcMar>
              <w:top w:w="80" w:type="dxa"/>
              <w:bottom w:w="80" w:type="dxa"/>
              <w:left w:w="120" w:type="dxa"/>
              <w:right w:w="120" w:type="dxa"/>
            </w:tcMar>
          </w:tcPr>
          <w:p>
            <w:r>
              <w:rPr>
                <w:rFonts w:ascii="Calibri" w:hAnsi="Calibri"/>
                <w:color w:val="333333"/>
                <w:sz w:val="18"/>
              </w:rPr>
              <w:t>_____________________  ___/___/2026</w:t>
            </w:r>
          </w:p>
        </w:tc>
      </w:tr>
      <w:tr>
        <w:tc>
          <w:tcPr>
            <w:tcW w:type="dxa" w:w="2340"/>
            <w:shd w:fill="F9FAFC"/>
            <w:tcMar>
              <w:top w:w="80" w:type="dxa"/>
              <w:bottom w:w="80" w:type="dxa"/>
              <w:left w:w="120" w:type="dxa"/>
              <w:right w:w="120" w:type="dxa"/>
            </w:tcMar>
          </w:tcPr>
          <w:p>
            <w:r>
              <w:rPr>
                <w:rFonts w:ascii="Calibri" w:hAnsi="Calibri"/>
                <w:color w:val="333333"/>
                <w:sz w:val="18"/>
              </w:rPr>
              <w:t>WLNG Operations Director</w:t>
            </w:r>
          </w:p>
        </w:tc>
        <w:tc>
          <w:tcPr>
            <w:tcW w:type="dxa" w:w="2340"/>
            <w:shd w:fill="F9FAFC"/>
            <w:tcMar>
              <w:top w:w="80" w:type="dxa"/>
              <w:bottom w:w="80" w:type="dxa"/>
              <w:left w:w="120" w:type="dxa"/>
              <w:right w:w="120" w:type="dxa"/>
            </w:tcMar>
          </w:tcPr>
          <w:p>
            <w:r>
              <w:rPr>
                <w:rFonts w:ascii="Calibri" w:hAnsi="Calibri"/>
                <w:color w:val="333333"/>
                <w:sz w:val="18"/>
              </w:rPr>
              <w:t>Director of Operations</w:t>
            </w:r>
          </w:p>
        </w:tc>
        <w:tc>
          <w:tcPr>
            <w:tcW w:type="dxa" w:w="2340"/>
            <w:shd w:fill="F9FAFC"/>
            <w:tcMar>
              <w:top w:w="80" w:type="dxa"/>
              <w:bottom w:w="80" w:type="dxa"/>
              <w:left w:w="120" w:type="dxa"/>
              <w:right w:w="120" w:type="dxa"/>
            </w:tcMar>
          </w:tcPr>
          <w:p>
            <w:r>
              <w:rPr>
                <w:rFonts w:ascii="Calibri" w:hAnsi="Calibri"/>
                <w:color w:val="333333"/>
                <w:sz w:val="18"/>
              </w:rPr>
              <w:t>Woodfibre LNG Management</w:t>
            </w:r>
          </w:p>
        </w:tc>
        <w:tc>
          <w:tcPr>
            <w:tcW w:type="dxa" w:w="2340"/>
            <w:shd w:fill="F9FAFC"/>
            <w:tcMar>
              <w:top w:w="80" w:type="dxa"/>
              <w:bottom w:w="80" w:type="dxa"/>
              <w:left w:w="120" w:type="dxa"/>
              <w:right w:w="120" w:type="dxa"/>
            </w:tcMar>
          </w:tcPr>
          <w:p>
            <w:r>
              <w:rPr>
                <w:rFonts w:ascii="Calibri" w:hAnsi="Calibri"/>
                <w:color w:val="333333"/>
                <w:sz w:val="18"/>
              </w:rPr>
              <w:t>_____________________  ___/___/2026</w:t>
            </w:r>
          </w:p>
        </w:tc>
      </w:tr>
      <w:tr>
        <w:tc>
          <w:tcPr>
            <w:tcW w:type="dxa" w:w="2340"/>
            <w:shd w:fill="FFFFFF"/>
            <w:tcMar>
              <w:top w:w="80" w:type="dxa"/>
              <w:bottom w:w="80" w:type="dxa"/>
              <w:left w:w="120" w:type="dxa"/>
              <w:right w:w="120" w:type="dxa"/>
            </w:tcMar>
          </w:tcPr>
          <w:p>
            <w:r>
              <w:rPr>
                <w:rFonts w:ascii="Calibri" w:hAnsi="Calibri"/>
                <w:color w:val="333333"/>
                <w:sz w:val="18"/>
              </w:rPr>
              <w:t>WLNG Vice President HSSE</w:t>
            </w:r>
          </w:p>
        </w:tc>
        <w:tc>
          <w:tcPr>
            <w:tcW w:type="dxa" w:w="2340"/>
            <w:shd w:fill="FFFFFF"/>
            <w:tcMar>
              <w:top w:w="80" w:type="dxa"/>
              <w:bottom w:w="80" w:type="dxa"/>
              <w:left w:w="120" w:type="dxa"/>
              <w:right w:w="120" w:type="dxa"/>
            </w:tcMar>
          </w:tcPr>
          <w:p>
            <w:r>
              <w:rPr>
                <w:rFonts w:ascii="Calibri" w:hAnsi="Calibri"/>
                <w:color w:val="333333"/>
                <w:sz w:val="18"/>
              </w:rPr>
              <w:t>VP / Director HSSE</w:t>
            </w:r>
          </w:p>
        </w:tc>
        <w:tc>
          <w:tcPr>
            <w:tcW w:type="dxa" w:w="2340"/>
            <w:shd w:fill="FFFFFF"/>
            <w:tcMar>
              <w:top w:w="80" w:type="dxa"/>
              <w:bottom w:w="80" w:type="dxa"/>
              <w:left w:w="120" w:type="dxa"/>
              <w:right w:w="120" w:type="dxa"/>
            </w:tcMar>
          </w:tcPr>
          <w:p>
            <w:r>
              <w:rPr>
                <w:rFonts w:ascii="Calibri" w:hAnsi="Calibri"/>
                <w:color w:val="333333"/>
                <w:sz w:val="18"/>
              </w:rPr>
              <w:t>Woodfibre LNG Management</w:t>
            </w:r>
          </w:p>
        </w:tc>
        <w:tc>
          <w:tcPr>
            <w:tcW w:type="dxa" w:w="2340"/>
            <w:shd w:fill="FFFFFF"/>
            <w:tcMar>
              <w:top w:w="80" w:type="dxa"/>
              <w:bottom w:w="80" w:type="dxa"/>
              <w:left w:w="120" w:type="dxa"/>
              <w:right w:w="120" w:type="dxa"/>
            </w:tcMar>
          </w:tcPr>
          <w:p>
            <w:r>
              <w:rPr>
                <w:rFonts w:ascii="Calibri" w:hAnsi="Calibri"/>
                <w:color w:val="333333"/>
                <w:sz w:val="18"/>
              </w:rPr>
              <w:t>_____________________  ___/___/2026</w:t>
            </w:r>
          </w:p>
        </w:tc>
      </w:tr>
    </w:tbl>
    <w:p>
      <w:pPr>
        <w:spacing w:after="200"/>
      </w:pPr>
    </w:p>
    <w:p>
      <w:pPr>
        <w:keepNext/>
        <w:spacing w:before="280" w:after="120"/>
      </w:pPr>
      <w:r>
        <w:rPr>
          <w:rFonts w:ascii="Calibri" w:hAnsi="Calibri"/>
          <w:b/>
          <w:color w:val="1B365D"/>
          <w:sz w:val="32"/>
        </w:rPr>
        <w:t>2.0 INTRODUCTION &amp; CONTEXT</w:t>
      </w:r>
    </w:p>
    <w:p>
      <w:r>
        <w:t>The Woodfibre LNG Project will transition through multiple execution phases including Construction, Mechanical Completion (MC), Pre-Commissioning, Commissioning, Ready for Start-up (RFSU), Start-up, and Performance Testing. During these phases, the nature of work, hazards, interfaces, and operational risks progressively change from traditional civil/construction activities to activities involving energized electrical systems, high-pressure fluids, rotating machinery, utility introduction, and hydrocarbons.</w:t>
      </w:r>
    </w:p>
    <w:p>
      <w:r>
        <w:t>The purpose of this Project HSSE Transition Plan is to provide the governance framework for managing this transition while maintaining continuous Health, Safety, Security, and Environmental (HSSE) control throughout the Woodfibre LNG Project lifecycle.</w:t>
      </w:r>
    </w:p>
    <w:p>
      <w:pPr>
        <w:keepNext/>
        <w:spacing w:before="280" w:after="120"/>
      </w:pPr>
      <w:r>
        <w:rPr>
          <w:rFonts w:ascii="Calibri" w:hAnsi="Calibri"/>
          <w:b/>
          <w:color w:val="1B365D"/>
          <w:sz w:val="32"/>
        </w:rPr>
        <w:t>3.0 SCOPE &amp; APPLICABILITY</w:t>
      </w:r>
    </w:p>
    <w:p>
      <w:r>
        <w:t>This plan applies to all COMPANY (Woodfibre LNG), CONTRACTOR (CB&amp;I LLC - a McDermott COMPANY), SUBCONTRACTORS, Vendors, and Specialist Contractors engaged in activities at the Woodfibre LNG project site located 7 km southwest of Squamish, British Columbia.</w:t>
      </w:r>
    </w:p>
    <w:p>
      <w:r>
        <w:t>The plan applies across all construction-controlled areas, commissioning-controlled areas, operational boundaries, and shared simultaneous operations (SIMOPS) interface zones.</w:t>
      </w:r>
    </w:p>
    <w:p>
      <w:pPr>
        <w:keepNext/>
        <w:spacing w:before="280" w:after="120"/>
      </w:pPr>
      <w:r>
        <w:rPr>
          <w:rFonts w:ascii="Calibri" w:hAnsi="Calibri"/>
          <w:b/>
          <w:color w:val="1B365D"/>
          <w:sz w:val="32"/>
        </w:rPr>
        <w:t>4.0 SAFETY RESPONSIBILITY TRANSFER MILESTONES (EPC TO OWNER)</w:t>
      </w:r>
    </w:p>
    <w:p>
      <w:r>
        <w:t>A core requirement of this plan is establishing clear, legally binding phase gate milestones when safety governance, s.118 Prime Contractor site authority, and Permit to Work administration formally transition from the EPC Contractor to Woodfibre LNG Operations.</w:t>
      </w:r>
    </w:p>
    <w:tbl>
      <w:tblPr>
        <w:tblW w:type="auto" w:w="0"/>
        <w:jc w:val="center"/>
        <w:tblLayout w:type="fixed"/>
        <w:tblLook w:firstColumn="1" w:firstRow="1" w:lastColumn="0" w:lastRow="0" w:noHBand="0" w:noVBand="1" w:val="04A0"/>
      </w:tblPr>
      <w:tblGrid>
        <w:gridCol w:w="9360"/>
      </w:tblGrid>
      <w:tr>
        <w:tc>
          <w:tcPr>
            <w:tcW w:type="dxa" w:w="9360"/>
            <w:shd w:fill="#FFF8E7"/>
            <w:tcMar>
              <w:top w:w="120" w:type="dxa"/>
              <w:bottom w:w="120" w:type="dxa"/>
              <w:left w:w="180" w:type="dxa"/>
              <w:right w:w="180" w:type="dxa"/>
            </w:tcMar>
            <w:tcBorders>
              <w:left w:val="single" w:sz="36" w:space="0" w:color="D4AF37"/>
              <w:top w:val="none"/>
              <w:right w:val="none"/>
              <w:bottom w:val="none"/>
            </w:tcBorders>
          </w:tcPr>
          <w:p>
            <w:pPr>
              <w:spacing w:before="40" w:after="40"/>
            </w:pPr>
            <w:r>
              <w:rPr>
                <w:rFonts w:ascii="Calibri" w:hAnsi="Calibri"/>
                <w:b/>
                <w:color w:val="856404"/>
                <w:sz w:val="20"/>
              </w:rPr>
              <w:t xml:space="preserve">[REVIEW COMMENT #2 - TRANSITION MILESTONES] </w:t>
            </w:r>
            <w:r>
              <w:rPr>
                <w:rFonts w:ascii="Calibri" w:hAnsi="Calibri"/>
                <w:color w:val="333333"/>
                <w:sz w:val="20"/>
              </w:rPr>
              <w:t>REVIEW RECOMMENDATION: Define exact physical, functional, and legal milestone triggers for transfer of safety responsibility. Transfer of s.118 Prime Contractor duties must be formally documented with WorkSafeBC and BC Energy Regulator (BCER).</w:t>
            </w:r>
          </w:p>
        </w:tc>
      </w:tr>
    </w:tbl>
    <w:p>
      <w:pPr>
        <w:spacing w:after="80"/>
      </w:pPr>
    </w:p>
    <w:p>
      <w:pPr>
        <w:keepNext/>
        <w:spacing w:before="240" w:after="80"/>
      </w:pPr>
      <w:r>
        <w:rPr>
          <w:rFonts w:ascii="Calibri" w:hAnsi="Calibri"/>
          <w:b/>
          <w:color w:val="008080"/>
          <w:sz w:val="26"/>
        </w:rPr>
        <w:t>Figure 1: Woodfibre LNG Safety Responsibility Transfer Milestones</w:t>
      </w:r>
    </w:p>
    <w:p>
      <w:pPr>
        <w:jc w:val="center"/>
      </w:pPr>
      <w:r>
        <w:drawing>
          <wp:inline xmlns:a="http://schemas.openxmlformats.org/drawingml/2006/main" xmlns:pic="http://schemas.openxmlformats.org/drawingml/2006/picture">
            <wp:extent cx="5943600" cy="2514600"/>
            <wp:docPr id="1" name="Picture 1"/>
            <wp:cNvGraphicFramePr>
              <a:graphicFrameLocks noChangeAspect="1"/>
            </wp:cNvGraphicFramePr>
            <a:graphic>
              <a:graphicData uri="http://schemas.openxmlformats.org/drawingml/2006/picture">
                <pic:pic>
                  <pic:nvPicPr>
                    <pic:cNvPr id="0" name="transition_milestones_diagram.png"/>
                    <pic:cNvPicPr/>
                  </pic:nvPicPr>
                  <pic:blipFill>
                    <a:blip r:embed="rId10"/>
                    <a:stretch>
                      <a:fillRect/>
                    </a:stretch>
                  </pic:blipFill>
                  <pic:spPr>
                    <a:xfrm>
                      <a:off x="0" y="0"/>
                      <a:ext cx="5943600" cy="2514600"/>
                    </a:xfrm>
                    <a:prstGeom prst="rect"/>
                  </pic:spPr>
                </pic:pic>
              </a:graphicData>
            </a:graphic>
          </wp:inline>
        </w:drawing>
      </w:r>
    </w:p>
    <w:p>
      <w:pPr>
        <w:spacing w:after="200"/>
      </w:pP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jc w:val="left"/>
            </w:pPr>
            <w:r>
              <w:rPr>
                <w:rFonts w:ascii="Calibri" w:hAnsi="Calibri"/>
                <w:b/>
                <w:color w:val="FFFFFF"/>
                <w:sz w:val="19"/>
              </w:rPr>
              <w:t>Phase Milestone</w:t>
            </w:r>
          </w:p>
        </w:tc>
        <w:tc>
          <w:tcPr>
            <w:tcW w:type="dxa" w:w="2340"/>
            <w:shd w:fill="1B365D"/>
            <w:tcMar>
              <w:top w:w="100" w:type="dxa"/>
              <w:bottom w:w="100" w:type="dxa"/>
              <w:left w:w="120" w:type="dxa"/>
              <w:right w:w="120" w:type="dxa"/>
            </w:tcMar>
          </w:tcPr>
          <w:p>
            <w:pPr>
              <w:jc w:val="left"/>
            </w:pPr>
            <w:r>
              <w:rPr>
                <w:rFonts w:ascii="Calibri" w:hAnsi="Calibri"/>
                <w:b/>
                <w:color w:val="FFFFFF"/>
                <w:sz w:val="19"/>
              </w:rPr>
              <w:t>Transfer Trigger / Deliverable</w:t>
            </w:r>
          </w:p>
        </w:tc>
        <w:tc>
          <w:tcPr>
            <w:tcW w:type="dxa" w:w="2340"/>
            <w:shd w:fill="1B365D"/>
            <w:tcMar>
              <w:top w:w="100" w:type="dxa"/>
              <w:bottom w:w="100" w:type="dxa"/>
              <w:left w:w="120" w:type="dxa"/>
              <w:right w:w="120" w:type="dxa"/>
            </w:tcMar>
          </w:tcPr>
          <w:p>
            <w:pPr>
              <w:jc w:val="left"/>
            </w:pPr>
            <w:r>
              <w:rPr>
                <w:rFonts w:ascii="Calibri" w:hAnsi="Calibri"/>
                <w:b/>
                <w:color w:val="FFFFFF"/>
                <w:sz w:val="19"/>
              </w:rPr>
              <w:t>Governing HSSE Authority</w:t>
            </w:r>
          </w:p>
        </w:tc>
        <w:tc>
          <w:tcPr>
            <w:tcW w:type="dxa" w:w="2340"/>
            <w:shd w:fill="1B365D"/>
            <w:tcMar>
              <w:top w:w="100" w:type="dxa"/>
              <w:bottom w:w="100" w:type="dxa"/>
              <w:left w:w="120" w:type="dxa"/>
              <w:right w:w="120" w:type="dxa"/>
            </w:tcMar>
          </w:tcPr>
          <w:p>
            <w:pPr>
              <w:jc w:val="left"/>
            </w:pPr>
            <w:r>
              <w:rPr>
                <w:rFonts w:ascii="Calibri" w:hAnsi="Calibri"/>
                <w:b/>
                <w:color w:val="FFFFFF"/>
                <w:sz w:val="19"/>
              </w:rPr>
              <w:t>Control of Work System</w:t>
            </w:r>
          </w:p>
        </w:tc>
      </w:tr>
      <w:tr>
        <w:tc>
          <w:tcPr>
            <w:tcW w:type="dxa" w:w="2340"/>
            <w:shd w:fill="F9FAFC"/>
            <w:tcMar>
              <w:top w:w="80" w:type="dxa"/>
              <w:bottom w:w="80" w:type="dxa"/>
              <w:left w:w="120" w:type="dxa"/>
              <w:right w:w="120" w:type="dxa"/>
            </w:tcMar>
          </w:tcPr>
          <w:p>
            <w:r>
              <w:rPr>
                <w:rFonts w:ascii="Calibri" w:hAnsi="Calibri"/>
                <w:color w:val="333333"/>
                <w:sz w:val="18"/>
              </w:rPr>
              <w:t>Phase 1: Construction</w:t>
            </w:r>
          </w:p>
        </w:tc>
        <w:tc>
          <w:tcPr>
            <w:tcW w:type="dxa" w:w="2340"/>
            <w:shd w:fill="F9FAFC"/>
            <w:tcMar>
              <w:top w:w="80" w:type="dxa"/>
              <w:bottom w:w="80" w:type="dxa"/>
              <w:left w:w="120" w:type="dxa"/>
              <w:right w:w="120" w:type="dxa"/>
            </w:tcMar>
          </w:tcPr>
          <w:p>
            <w:r>
              <w:rPr>
                <w:rFonts w:ascii="Calibri" w:hAnsi="Calibri"/>
                <w:color w:val="333333"/>
                <w:sz w:val="18"/>
              </w:rPr>
              <w:t>Civil / Mechanical Installation</w:t>
            </w:r>
          </w:p>
        </w:tc>
        <w:tc>
          <w:tcPr>
            <w:tcW w:type="dxa" w:w="2340"/>
            <w:shd w:fill="F9FAFC"/>
            <w:tcMar>
              <w:top w:w="80" w:type="dxa"/>
              <w:bottom w:w="80" w:type="dxa"/>
              <w:left w:w="120" w:type="dxa"/>
              <w:right w:w="120" w:type="dxa"/>
            </w:tcMar>
          </w:tcPr>
          <w:p>
            <w:r>
              <w:rPr>
                <w:rFonts w:ascii="Calibri" w:hAnsi="Calibri"/>
                <w:color w:val="333333"/>
                <w:sz w:val="18"/>
              </w:rPr>
              <w:t>EPC Contractor (CB&amp;I)</w:t>
            </w:r>
          </w:p>
        </w:tc>
        <w:tc>
          <w:tcPr>
            <w:tcW w:type="dxa" w:w="2340"/>
            <w:shd w:fill="F9FAFC"/>
            <w:tcMar>
              <w:top w:w="80" w:type="dxa"/>
              <w:bottom w:w="80" w:type="dxa"/>
              <w:left w:w="120" w:type="dxa"/>
              <w:right w:w="120" w:type="dxa"/>
            </w:tcMar>
          </w:tcPr>
          <w:p>
            <w:r>
              <w:rPr>
                <w:rFonts w:ascii="Calibri" w:hAnsi="Calibri"/>
                <w:color w:val="333333"/>
                <w:sz w:val="18"/>
              </w:rPr>
              <w:t>EPC Construction PTW &amp; LOTO</w:t>
            </w:r>
          </w:p>
        </w:tc>
      </w:tr>
      <w:tr>
        <w:tc>
          <w:tcPr>
            <w:tcW w:type="dxa" w:w="2340"/>
            <w:shd w:fill="FFFFFF"/>
            <w:tcMar>
              <w:top w:w="80" w:type="dxa"/>
              <w:bottom w:w="80" w:type="dxa"/>
              <w:left w:w="120" w:type="dxa"/>
              <w:right w:w="120" w:type="dxa"/>
            </w:tcMar>
          </w:tcPr>
          <w:p>
            <w:r>
              <w:rPr>
                <w:rFonts w:ascii="Calibri" w:hAnsi="Calibri"/>
                <w:color w:val="333333"/>
                <w:sz w:val="18"/>
              </w:rPr>
              <w:t>Phase 2: Pre-Commissioning</w:t>
            </w:r>
          </w:p>
        </w:tc>
        <w:tc>
          <w:tcPr>
            <w:tcW w:type="dxa" w:w="2340"/>
            <w:shd w:fill="FFFFFF"/>
            <w:tcMar>
              <w:top w:w="80" w:type="dxa"/>
              <w:bottom w:w="80" w:type="dxa"/>
              <w:left w:w="120" w:type="dxa"/>
              <w:right w:w="120" w:type="dxa"/>
            </w:tcMar>
          </w:tcPr>
          <w:p>
            <w:r>
              <w:rPr>
                <w:rFonts w:ascii="Calibri" w:hAnsi="Calibri"/>
                <w:color w:val="333333"/>
                <w:sz w:val="18"/>
              </w:rPr>
              <w:t>Area Handover Cert (AHC) / Static Test</w:t>
            </w:r>
          </w:p>
        </w:tc>
        <w:tc>
          <w:tcPr>
            <w:tcW w:type="dxa" w:w="2340"/>
            <w:shd w:fill="FFFFFF"/>
            <w:tcMar>
              <w:top w:w="80" w:type="dxa"/>
              <w:bottom w:w="80" w:type="dxa"/>
              <w:left w:w="120" w:type="dxa"/>
              <w:right w:w="120" w:type="dxa"/>
            </w:tcMar>
          </w:tcPr>
          <w:p>
            <w:r>
              <w:rPr>
                <w:rFonts w:ascii="Calibri" w:hAnsi="Calibri"/>
                <w:color w:val="333333"/>
                <w:sz w:val="18"/>
              </w:rPr>
              <w:t>Joint EPC &amp; CSU Team</w:t>
            </w:r>
          </w:p>
        </w:tc>
        <w:tc>
          <w:tcPr>
            <w:tcW w:type="dxa" w:w="2340"/>
            <w:shd w:fill="FFFFFF"/>
            <w:tcMar>
              <w:top w:w="80" w:type="dxa"/>
              <w:bottom w:w="80" w:type="dxa"/>
              <w:left w:w="120" w:type="dxa"/>
              <w:right w:w="120" w:type="dxa"/>
            </w:tcMar>
          </w:tcPr>
          <w:p>
            <w:r>
              <w:rPr>
                <w:rFonts w:ascii="Calibri" w:hAnsi="Calibri"/>
                <w:color w:val="333333"/>
                <w:sz w:val="18"/>
              </w:rPr>
              <w:t>Dual-Interface / Early Works PTW</w:t>
            </w:r>
          </w:p>
        </w:tc>
      </w:tr>
      <w:tr>
        <w:tc>
          <w:tcPr>
            <w:tcW w:type="dxa" w:w="2340"/>
            <w:shd w:fill="F9FAFC"/>
            <w:tcMar>
              <w:top w:w="80" w:type="dxa"/>
              <w:bottom w:w="80" w:type="dxa"/>
              <w:left w:w="120" w:type="dxa"/>
              <w:right w:w="120" w:type="dxa"/>
            </w:tcMar>
          </w:tcPr>
          <w:p>
            <w:r>
              <w:rPr>
                <w:rFonts w:ascii="Calibri" w:hAnsi="Calibri"/>
                <w:color w:val="333333"/>
                <w:sz w:val="18"/>
              </w:rPr>
              <w:t>Phase 3: Ready for Commissioning (RFC)</w:t>
            </w:r>
          </w:p>
        </w:tc>
        <w:tc>
          <w:tcPr>
            <w:tcW w:type="dxa" w:w="2340"/>
            <w:shd w:fill="F9FAFC"/>
            <w:tcMar>
              <w:top w:w="80" w:type="dxa"/>
              <w:bottom w:w="80" w:type="dxa"/>
              <w:left w:w="120" w:type="dxa"/>
              <w:right w:w="120" w:type="dxa"/>
            </w:tcMar>
          </w:tcPr>
          <w:p>
            <w:r>
              <w:rPr>
                <w:rFonts w:ascii="Calibri" w:hAnsi="Calibri"/>
                <w:color w:val="333333"/>
                <w:sz w:val="18"/>
              </w:rPr>
              <w:t>RFC Certificate &amp; Boundary Lockout</w:t>
            </w:r>
          </w:p>
        </w:tc>
        <w:tc>
          <w:tcPr>
            <w:tcW w:type="dxa" w:w="2340"/>
            <w:shd w:fill="F9FAFC"/>
            <w:tcMar>
              <w:top w:w="80" w:type="dxa"/>
              <w:bottom w:w="80" w:type="dxa"/>
              <w:left w:w="120" w:type="dxa"/>
              <w:right w:w="120" w:type="dxa"/>
            </w:tcMar>
          </w:tcPr>
          <w:p>
            <w:r>
              <w:rPr>
                <w:rFonts w:ascii="Calibri" w:hAnsi="Calibri"/>
                <w:color w:val="333333"/>
                <w:sz w:val="18"/>
              </w:rPr>
              <w:t>Commissioning Manager (CSU)</w:t>
            </w:r>
          </w:p>
        </w:tc>
        <w:tc>
          <w:tcPr>
            <w:tcW w:type="dxa" w:w="2340"/>
            <w:shd w:fill="F9FAFC"/>
            <w:tcMar>
              <w:top w:w="80" w:type="dxa"/>
              <w:bottom w:w="80" w:type="dxa"/>
              <w:left w:w="120" w:type="dxa"/>
              <w:right w:w="120" w:type="dxa"/>
            </w:tcMar>
          </w:tcPr>
          <w:p>
            <w:r>
              <w:rPr>
                <w:rFonts w:ascii="Calibri" w:hAnsi="Calibri"/>
                <w:color w:val="333333"/>
                <w:sz w:val="18"/>
              </w:rPr>
              <w:t>Commissioning PTW &amp; Boundary LOTO</w:t>
            </w:r>
          </w:p>
        </w:tc>
      </w:tr>
      <w:tr>
        <w:tc>
          <w:tcPr>
            <w:tcW w:type="dxa" w:w="2340"/>
            <w:shd w:fill="FFFFFF"/>
            <w:tcMar>
              <w:top w:w="80" w:type="dxa"/>
              <w:bottom w:w="80" w:type="dxa"/>
              <w:left w:w="120" w:type="dxa"/>
              <w:right w:w="120" w:type="dxa"/>
            </w:tcMar>
          </w:tcPr>
          <w:p>
            <w:r>
              <w:rPr>
                <w:rFonts w:ascii="Calibri" w:hAnsi="Calibri"/>
                <w:color w:val="333333"/>
                <w:sz w:val="18"/>
              </w:rPr>
              <w:t>Phase 4: Ready for Start-Up (RFSU)</w:t>
            </w:r>
          </w:p>
        </w:tc>
        <w:tc>
          <w:tcPr>
            <w:tcW w:type="dxa" w:w="2340"/>
            <w:shd w:fill="FFFFFF"/>
            <w:tcMar>
              <w:top w:w="80" w:type="dxa"/>
              <w:bottom w:w="80" w:type="dxa"/>
              <w:left w:w="120" w:type="dxa"/>
              <w:right w:w="120" w:type="dxa"/>
            </w:tcMar>
          </w:tcPr>
          <w:p>
            <w:r>
              <w:rPr>
                <w:rFonts w:ascii="Calibri" w:hAnsi="Calibri"/>
                <w:color w:val="333333"/>
                <w:sz w:val="18"/>
              </w:rPr>
              <w:t>PSSR Gate Clearance &amp; Hydrocarbon Intro</w:t>
            </w:r>
          </w:p>
        </w:tc>
        <w:tc>
          <w:tcPr>
            <w:tcW w:type="dxa" w:w="2340"/>
            <w:shd w:fill="FFFFFF"/>
            <w:tcMar>
              <w:top w:w="80" w:type="dxa"/>
              <w:bottom w:w="80" w:type="dxa"/>
              <w:left w:w="120" w:type="dxa"/>
              <w:right w:w="120" w:type="dxa"/>
            </w:tcMar>
          </w:tcPr>
          <w:p>
            <w:r>
              <w:rPr>
                <w:rFonts w:ascii="Calibri" w:hAnsi="Calibri"/>
                <w:color w:val="333333"/>
                <w:sz w:val="18"/>
              </w:rPr>
              <w:t>Woodfibre LNG Operations</w:t>
            </w:r>
          </w:p>
        </w:tc>
        <w:tc>
          <w:tcPr>
            <w:tcW w:type="dxa" w:w="2340"/>
            <w:shd w:fill="FFFFFF"/>
            <w:tcMar>
              <w:top w:w="80" w:type="dxa"/>
              <w:bottom w:w="80" w:type="dxa"/>
              <w:left w:w="120" w:type="dxa"/>
              <w:right w:w="120" w:type="dxa"/>
            </w:tcMar>
          </w:tcPr>
          <w:p>
            <w:r>
              <w:rPr>
                <w:rFonts w:ascii="Calibri" w:hAnsi="Calibri"/>
                <w:color w:val="333333"/>
                <w:sz w:val="18"/>
              </w:rPr>
              <w:t>WLNG Operational e-PTW &amp; Process LOTO</w:t>
            </w:r>
          </w:p>
        </w:tc>
      </w:tr>
      <w:tr>
        <w:tc>
          <w:tcPr>
            <w:tcW w:type="dxa" w:w="2340"/>
            <w:shd w:fill="F9FAFC"/>
            <w:tcMar>
              <w:top w:w="80" w:type="dxa"/>
              <w:bottom w:w="80" w:type="dxa"/>
              <w:left w:w="120" w:type="dxa"/>
              <w:right w:w="120" w:type="dxa"/>
            </w:tcMar>
          </w:tcPr>
          <w:p>
            <w:r>
              <w:rPr>
                <w:rFonts w:ascii="Calibri" w:hAnsi="Calibri"/>
                <w:color w:val="333333"/>
                <w:sz w:val="18"/>
              </w:rPr>
              <w:t>Phase 5: Sustained Operations</w:t>
            </w:r>
          </w:p>
        </w:tc>
        <w:tc>
          <w:tcPr>
            <w:tcW w:type="dxa" w:w="2340"/>
            <w:shd w:fill="F9FAFC"/>
            <w:tcMar>
              <w:top w:w="80" w:type="dxa"/>
              <w:bottom w:w="80" w:type="dxa"/>
              <w:left w:w="120" w:type="dxa"/>
              <w:right w:w="120" w:type="dxa"/>
            </w:tcMar>
          </w:tcPr>
          <w:p>
            <w:r>
              <w:rPr>
                <w:rFonts w:ascii="Calibri" w:hAnsi="Calibri"/>
                <w:color w:val="333333"/>
                <w:sz w:val="18"/>
              </w:rPr>
              <w:t>Final Acceptance &amp; Commercial Ops</w:t>
            </w:r>
          </w:p>
        </w:tc>
        <w:tc>
          <w:tcPr>
            <w:tcW w:type="dxa" w:w="2340"/>
            <w:shd w:fill="F9FAFC"/>
            <w:tcMar>
              <w:top w:w="80" w:type="dxa"/>
              <w:bottom w:w="80" w:type="dxa"/>
              <w:left w:w="120" w:type="dxa"/>
              <w:right w:w="120" w:type="dxa"/>
            </w:tcMar>
          </w:tcPr>
          <w:p>
            <w:r>
              <w:rPr>
                <w:rFonts w:ascii="Calibri" w:hAnsi="Calibri"/>
                <w:color w:val="333333"/>
                <w:sz w:val="18"/>
              </w:rPr>
              <w:t>WLNG Operations Director</w:t>
            </w:r>
          </w:p>
        </w:tc>
        <w:tc>
          <w:tcPr>
            <w:tcW w:type="dxa" w:w="2340"/>
            <w:shd w:fill="F9FAFC"/>
            <w:tcMar>
              <w:top w:w="80" w:type="dxa"/>
              <w:bottom w:w="80" w:type="dxa"/>
              <w:left w:w="120" w:type="dxa"/>
              <w:right w:w="120" w:type="dxa"/>
            </w:tcMar>
          </w:tcPr>
          <w:p>
            <w:r>
              <w:rPr>
                <w:rFonts w:ascii="Calibri" w:hAnsi="Calibri"/>
                <w:color w:val="333333"/>
                <w:sz w:val="18"/>
              </w:rPr>
              <w:t>WLNG Integrated OMS (IOMS)</w:t>
            </w:r>
          </w:p>
        </w:tc>
      </w:tr>
    </w:tbl>
    <w:p>
      <w:pPr>
        <w:spacing w:after="160"/>
      </w:pPr>
    </w:p>
    <w:p>
      <w:pPr>
        <w:keepNext/>
        <w:spacing w:before="280" w:after="120"/>
      </w:pPr>
      <w:r>
        <w:rPr>
          <w:rFonts w:ascii="Calibri" w:hAnsi="Calibri"/>
          <w:b/>
          <w:color w:val="1B365D"/>
          <w:sz w:val="32"/>
        </w:rPr>
        <w:t>5.0 FORMAL HSSE BRIDGING STRATEGY &amp; PRECEDENCE</w:t>
      </w:r>
    </w:p>
    <w:p>
      <w:r>
        <w:t>To eliminate procedural gaps and conflicting instructions during phase overlaps, a formal **HSSE Bridging Document (HSSE-BRG-001)** shall be established between the EPC HSSE Management Plan (350106-HS-PL-000001) and the Woodfibre LNG Operations Management System (OMS).</w:t>
      </w:r>
    </w:p>
    <w:tbl>
      <w:tblPr>
        <w:tblW w:type="auto" w:w="0"/>
        <w:jc w:val="center"/>
        <w:tblLayout w:type="fixed"/>
        <w:tblLook w:firstColumn="1" w:firstRow="1" w:lastColumn="0" w:lastRow="0" w:noHBand="0" w:noVBand="1" w:val="04A0"/>
      </w:tblPr>
      <w:tblGrid>
        <w:gridCol w:w="9360"/>
      </w:tblGrid>
      <w:tr>
        <w:tc>
          <w:tcPr>
            <w:tcW w:type="dxa" w:w="9360"/>
            <w:shd w:fill="#FFF8E7"/>
            <w:tcMar>
              <w:top w:w="120" w:type="dxa"/>
              <w:bottom w:w="120" w:type="dxa"/>
              <w:left w:w="180" w:type="dxa"/>
              <w:right w:w="180" w:type="dxa"/>
            </w:tcMar>
            <w:tcBorders>
              <w:left w:val="single" w:sz="36" w:space="0" w:color="D4AF37"/>
              <w:top w:val="none"/>
              <w:right w:val="none"/>
              <w:bottom w:val="none"/>
            </w:tcBorders>
          </w:tcPr>
          <w:p>
            <w:pPr>
              <w:spacing w:before="40" w:after="40"/>
            </w:pPr>
            <w:r>
              <w:rPr>
                <w:rFonts w:ascii="Calibri" w:hAnsi="Calibri"/>
                <w:b/>
                <w:color w:val="856404"/>
                <w:sz w:val="20"/>
              </w:rPr>
              <w:t xml:space="preserve">[REVIEW COMMENT #3 - BRIDGING STRATEGY] </w:t>
            </w:r>
            <w:r>
              <w:rPr>
                <w:rFonts w:ascii="Calibri" w:hAnsi="Calibri"/>
                <w:color w:val="333333"/>
                <w:sz w:val="20"/>
              </w:rPr>
              <w:t>REVIEW RECOMMENDATION: Include a clear precedence framework. During overlap, where procedures conflict, the higher-safety / operational integrity standard shall apply. Post-RFSU, WLNG Operations procedures hold absolute precedence.</w:t>
            </w:r>
          </w:p>
        </w:tc>
      </w:tr>
    </w:tbl>
    <w:p>
      <w:pPr>
        <w:spacing w:after="80"/>
      </w:pPr>
    </w:p>
    <w:p>
      <w:pPr>
        <w:keepNext/>
        <w:spacing w:before="240" w:after="80"/>
      </w:pPr>
      <w:r>
        <w:rPr>
          <w:rFonts w:ascii="Calibri" w:hAnsi="Calibri"/>
          <w:b/>
          <w:color w:val="008080"/>
          <w:sz w:val="26"/>
        </w:rPr>
        <w:t>Figure 2: Woodfibre LNG HSSE Program Bridging Architecture</w:t>
      </w:r>
    </w:p>
    <w:p>
      <w:pPr>
        <w:jc w:val="center"/>
      </w:pPr>
      <w:r>
        <w:drawing>
          <wp:inline xmlns:a="http://schemas.openxmlformats.org/drawingml/2006/main" xmlns:pic="http://schemas.openxmlformats.org/drawingml/2006/picture">
            <wp:extent cx="5943600" cy="2228850"/>
            <wp:docPr id="2" name="Picture 2"/>
            <wp:cNvGraphicFramePr>
              <a:graphicFrameLocks noChangeAspect="1"/>
            </wp:cNvGraphicFramePr>
            <a:graphic>
              <a:graphicData uri="http://schemas.openxmlformats.org/drawingml/2006/picture">
                <pic:pic>
                  <pic:nvPicPr>
                    <pic:cNvPr id="0" name="bridging_architecture_diagram.png"/>
                    <pic:cNvPicPr/>
                  </pic:nvPicPr>
                  <pic:blipFill>
                    <a:blip r:embed="rId11"/>
                    <a:stretch>
                      <a:fillRect/>
                    </a:stretch>
                  </pic:blipFill>
                  <pic:spPr>
                    <a:xfrm>
                      <a:off x="0" y="0"/>
                      <a:ext cx="5943600" cy="2228850"/>
                    </a:xfrm>
                    <a:prstGeom prst="rect"/>
                  </pic:spPr>
                </pic:pic>
              </a:graphicData>
            </a:graphic>
          </wp:inline>
        </w:drawing>
      </w:r>
    </w:p>
    <w:p>
      <w:pPr>
        <w:spacing w:after="200"/>
      </w:pPr>
    </w:p>
    <w:p>
      <w:pPr>
        <w:keepNext/>
        <w:spacing w:before="280" w:after="120"/>
      </w:pPr>
      <w:r>
        <w:rPr>
          <w:rFonts w:ascii="Calibri" w:hAnsi="Calibri"/>
          <w:b/>
          <w:color w:val="1B365D"/>
          <w:sz w:val="32"/>
        </w:rPr>
        <w:t>6.0 KEY PROGRAM BRIDGING MECHANICS</w:t>
      </w:r>
    </w:p>
    <w:p>
      <w:r>
        <w:t>The following key HSE programs require explicit, program-by-program bridging mechanics during the transition:</w:t>
      </w:r>
    </w:p>
    <w:tbl>
      <w:tblPr>
        <w:tblW w:type="auto" w:w="0"/>
        <w:jc w:val="center"/>
        <w:tblLayout w:type="fixed"/>
        <w:tblLook w:firstColumn="1" w:firstRow="1" w:lastColumn="0" w:lastRow="0" w:noHBand="0" w:noVBand="1" w:val="04A0"/>
      </w:tblPr>
      <w:tblGrid>
        <w:gridCol w:w="9360"/>
      </w:tblGrid>
      <w:tr>
        <w:tc>
          <w:tcPr>
            <w:tcW w:type="dxa" w:w="9360"/>
            <w:shd w:fill="#FFF8E7"/>
            <w:tcMar>
              <w:top w:w="120" w:type="dxa"/>
              <w:bottom w:w="120" w:type="dxa"/>
              <w:left w:w="180" w:type="dxa"/>
              <w:right w:w="180" w:type="dxa"/>
            </w:tcMar>
            <w:tcBorders>
              <w:left w:val="single" w:sz="36" w:space="0" w:color="D4AF37"/>
              <w:top w:val="none"/>
              <w:right w:val="none"/>
              <w:bottom w:val="none"/>
            </w:tcBorders>
          </w:tcPr>
          <w:p>
            <w:pPr>
              <w:spacing w:before="40" w:after="40"/>
            </w:pPr>
            <w:r>
              <w:rPr>
                <w:rFonts w:ascii="Calibri" w:hAnsi="Calibri"/>
                <w:b/>
                <w:color w:val="856404"/>
                <w:sz w:val="20"/>
              </w:rPr>
              <w:t xml:space="preserve">[REVIEW COMMENT #4 - PROGRAM BRIDGING] </w:t>
            </w:r>
            <w:r>
              <w:rPr>
                <w:rFonts w:ascii="Calibri" w:hAnsi="Calibri"/>
                <w:color w:val="333333"/>
                <w:sz w:val="20"/>
              </w:rPr>
              <w:t>REVIEW RECOMMENDATION: Detail specific bridging steps for PTW, LOTO, SIMOPS, ERP, MOC, and Environmental compliance. Avoid generic statements; specify exact system transitions.</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jc w:val="left"/>
            </w:pPr>
            <w:r>
              <w:rPr>
                <w:rFonts w:ascii="Calibri" w:hAnsi="Calibri"/>
                <w:b/>
                <w:color w:val="FFFFFF"/>
                <w:sz w:val="19"/>
              </w:rPr>
              <w:t>HSE Program</w:t>
            </w:r>
          </w:p>
        </w:tc>
        <w:tc>
          <w:tcPr>
            <w:tcW w:type="dxa" w:w="2340"/>
            <w:shd w:fill="1B365D"/>
            <w:tcMar>
              <w:top w:w="100" w:type="dxa"/>
              <w:bottom w:w="100" w:type="dxa"/>
              <w:left w:w="120" w:type="dxa"/>
              <w:right w:w="120" w:type="dxa"/>
            </w:tcMar>
          </w:tcPr>
          <w:p>
            <w:pPr>
              <w:jc w:val="left"/>
            </w:pPr>
            <w:r>
              <w:rPr>
                <w:rFonts w:ascii="Calibri" w:hAnsi="Calibri"/>
                <w:b/>
                <w:color w:val="FFFFFF"/>
                <w:sz w:val="19"/>
              </w:rPr>
              <w:t>EPC Construction Basis</w:t>
            </w:r>
          </w:p>
        </w:tc>
        <w:tc>
          <w:tcPr>
            <w:tcW w:type="dxa" w:w="2340"/>
            <w:shd w:fill="1B365D"/>
            <w:tcMar>
              <w:top w:w="100" w:type="dxa"/>
              <w:bottom w:w="100" w:type="dxa"/>
              <w:left w:w="120" w:type="dxa"/>
              <w:right w:w="120" w:type="dxa"/>
            </w:tcMar>
          </w:tcPr>
          <w:p>
            <w:pPr>
              <w:jc w:val="left"/>
            </w:pPr>
            <w:r>
              <w:rPr>
                <w:rFonts w:ascii="Calibri" w:hAnsi="Calibri"/>
                <w:b/>
                <w:color w:val="FFFFFF"/>
                <w:sz w:val="19"/>
              </w:rPr>
              <w:t>Transition / Bridging Protocol</w:t>
            </w:r>
          </w:p>
        </w:tc>
        <w:tc>
          <w:tcPr>
            <w:tcW w:type="dxa" w:w="2340"/>
            <w:shd w:fill="1B365D"/>
            <w:tcMar>
              <w:top w:w="100" w:type="dxa"/>
              <w:bottom w:w="100" w:type="dxa"/>
              <w:left w:w="120" w:type="dxa"/>
              <w:right w:w="120" w:type="dxa"/>
            </w:tcMar>
          </w:tcPr>
          <w:p>
            <w:pPr>
              <w:jc w:val="left"/>
            </w:pPr>
            <w:r>
              <w:rPr>
                <w:rFonts w:ascii="Calibri" w:hAnsi="Calibri"/>
                <w:b/>
                <w:color w:val="FFFFFF"/>
                <w:sz w:val="19"/>
              </w:rPr>
              <w:t>WLNG Operational Ownership</w:t>
            </w:r>
          </w:p>
        </w:tc>
      </w:tr>
      <w:tr>
        <w:tc>
          <w:tcPr>
            <w:tcW w:type="dxa" w:w="2340"/>
            <w:shd w:fill="F9FAFC"/>
            <w:tcMar>
              <w:top w:w="80" w:type="dxa"/>
              <w:bottom w:w="80" w:type="dxa"/>
              <w:left w:w="120" w:type="dxa"/>
              <w:right w:w="120" w:type="dxa"/>
            </w:tcMar>
          </w:tcPr>
          <w:p>
            <w:r>
              <w:rPr>
                <w:rFonts w:ascii="Calibri" w:hAnsi="Calibri"/>
                <w:color w:val="333333"/>
                <w:sz w:val="18"/>
              </w:rPr>
              <w:t>Permit to Work (PTW)</w:t>
            </w:r>
          </w:p>
        </w:tc>
        <w:tc>
          <w:tcPr>
            <w:tcW w:type="dxa" w:w="2340"/>
            <w:shd w:fill="F9FAFC"/>
            <w:tcMar>
              <w:top w:w="80" w:type="dxa"/>
              <w:bottom w:w="80" w:type="dxa"/>
              <w:left w:w="120" w:type="dxa"/>
              <w:right w:w="120" w:type="dxa"/>
            </w:tcMar>
          </w:tcPr>
          <w:p>
            <w:r>
              <w:rPr>
                <w:rFonts w:ascii="Calibri" w:hAnsi="Calibri"/>
                <w:color w:val="333333"/>
                <w:sz w:val="18"/>
              </w:rPr>
              <w:t>EPC Paper PTW (350106-HS-PR-000007)</w:t>
            </w:r>
          </w:p>
        </w:tc>
        <w:tc>
          <w:tcPr>
            <w:tcW w:type="dxa" w:w="2340"/>
            <w:shd w:fill="F9FAFC"/>
            <w:tcMar>
              <w:top w:w="80" w:type="dxa"/>
              <w:bottom w:w="80" w:type="dxa"/>
              <w:left w:w="120" w:type="dxa"/>
              <w:right w:w="120" w:type="dxa"/>
            </w:tcMar>
          </w:tcPr>
          <w:p>
            <w:r>
              <w:rPr>
                <w:rFonts w:ascii="Calibri" w:hAnsi="Calibri"/>
                <w:color w:val="333333"/>
                <w:sz w:val="18"/>
              </w:rPr>
              <w:t>Joint PTW Desk; Dual Sign-Off for SIMOPS</w:t>
            </w:r>
          </w:p>
        </w:tc>
        <w:tc>
          <w:tcPr>
            <w:tcW w:type="dxa" w:w="2340"/>
            <w:shd w:fill="F9FAFC"/>
            <w:tcMar>
              <w:top w:w="80" w:type="dxa"/>
              <w:bottom w:w="80" w:type="dxa"/>
              <w:left w:w="120" w:type="dxa"/>
              <w:right w:w="120" w:type="dxa"/>
            </w:tcMar>
          </w:tcPr>
          <w:p>
            <w:r>
              <w:rPr>
                <w:rFonts w:ascii="Calibri" w:hAnsi="Calibri"/>
                <w:color w:val="333333"/>
                <w:sz w:val="18"/>
              </w:rPr>
              <w:t>WLNG Enterprise e-PTW System</w:t>
            </w:r>
          </w:p>
        </w:tc>
      </w:tr>
      <w:tr>
        <w:tc>
          <w:tcPr>
            <w:tcW w:type="dxa" w:w="2340"/>
            <w:shd w:fill="FFFFFF"/>
            <w:tcMar>
              <w:top w:w="80" w:type="dxa"/>
              <w:bottom w:w="80" w:type="dxa"/>
              <w:left w:w="120" w:type="dxa"/>
              <w:right w:w="120" w:type="dxa"/>
            </w:tcMar>
          </w:tcPr>
          <w:p>
            <w:r>
              <w:rPr>
                <w:rFonts w:ascii="Calibri" w:hAnsi="Calibri"/>
                <w:color w:val="333333"/>
                <w:sz w:val="18"/>
              </w:rPr>
              <w:t>Energy Isolation (LOTO)</w:t>
            </w:r>
          </w:p>
        </w:tc>
        <w:tc>
          <w:tcPr>
            <w:tcW w:type="dxa" w:w="2340"/>
            <w:shd w:fill="FFFFFF"/>
            <w:tcMar>
              <w:top w:w="80" w:type="dxa"/>
              <w:bottom w:w="80" w:type="dxa"/>
              <w:left w:w="120" w:type="dxa"/>
              <w:right w:w="120" w:type="dxa"/>
            </w:tcMar>
          </w:tcPr>
          <w:p>
            <w:r>
              <w:rPr>
                <w:rFonts w:ascii="Calibri" w:hAnsi="Calibri"/>
                <w:color w:val="333333"/>
                <w:sz w:val="18"/>
              </w:rPr>
              <w:t>Construction Lockout Standard</w:t>
            </w:r>
          </w:p>
        </w:tc>
        <w:tc>
          <w:tcPr>
            <w:tcW w:type="dxa" w:w="2340"/>
            <w:shd w:fill="FFFFFF"/>
            <w:tcMar>
              <w:top w:w="80" w:type="dxa"/>
              <w:bottom w:w="80" w:type="dxa"/>
              <w:left w:w="120" w:type="dxa"/>
              <w:right w:w="120" w:type="dxa"/>
            </w:tcMar>
          </w:tcPr>
          <w:p>
            <w:r>
              <w:rPr>
                <w:rFonts w:ascii="Calibri" w:hAnsi="Calibri"/>
                <w:color w:val="333333"/>
                <w:sz w:val="18"/>
              </w:rPr>
              <w:t>Boundary Locks / Key Safe Handover</w:t>
            </w:r>
          </w:p>
        </w:tc>
        <w:tc>
          <w:tcPr>
            <w:tcW w:type="dxa" w:w="2340"/>
            <w:shd w:fill="FFFFFF"/>
            <w:tcMar>
              <w:top w:w="80" w:type="dxa"/>
              <w:bottom w:w="80" w:type="dxa"/>
              <w:left w:w="120" w:type="dxa"/>
              <w:right w:w="120" w:type="dxa"/>
            </w:tcMar>
          </w:tcPr>
          <w:p>
            <w:r>
              <w:rPr>
                <w:rFonts w:ascii="Calibri" w:hAnsi="Calibri"/>
                <w:color w:val="333333"/>
                <w:sz w:val="18"/>
              </w:rPr>
              <w:t>WLNG Process Energy Isolation Standard</w:t>
            </w:r>
          </w:p>
        </w:tc>
      </w:tr>
      <w:tr>
        <w:tc>
          <w:tcPr>
            <w:tcW w:type="dxa" w:w="2340"/>
            <w:shd w:fill="F9FAFC"/>
            <w:tcMar>
              <w:top w:w="80" w:type="dxa"/>
              <w:bottom w:w="80" w:type="dxa"/>
              <w:left w:w="120" w:type="dxa"/>
              <w:right w:w="120" w:type="dxa"/>
            </w:tcMar>
          </w:tcPr>
          <w:p>
            <w:r>
              <w:rPr>
                <w:rFonts w:ascii="Calibri" w:hAnsi="Calibri"/>
                <w:color w:val="333333"/>
                <w:sz w:val="18"/>
              </w:rPr>
              <w:t>SIMOPS Management</w:t>
            </w:r>
          </w:p>
        </w:tc>
        <w:tc>
          <w:tcPr>
            <w:tcW w:type="dxa" w:w="2340"/>
            <w:shd w:fill="F9FAFC"/>
            <w:tcMar>
              <w:top w:w="80" w:type="dxa"/>
              <w:bottom w:w="80" w:type="dxa"/>
              <w:left w:w="120" w:type="dxa"/>
              <w:right w:w="120" w:type="dxa"/>
            </w:tcMar>
          </w:tcPr>
          <w:p>
            <w:r>
              <w:rPr>
                <w:rFonts w:ascii="Calibri" w:hAnsi="Calibri"/>
                <w:color w:val="333333"/>
                <w:sz w:val="18"/>
              </w:rPr>
              <w:t>Construction Work Coordination</w:t>
            </w:r>
          </w:p>
        </w:tc>
        <w:tc>
          <w:tcPr>
            <w:tcW w:type="dxa" w:w="2340"/>
            <w:shd w:fill="F9FAFC"/>
            <w:tcMar>
              <w:top w:w="80" w:type="dxa"/>
              <w:bottom w:w="80" w:type="dxa"/>
              <w:left w:w="120" w:type="dxa"/>
              <w:right w:w="120" w:type="dxa"/>
            </w:tcMar>
          </w:tcPr>
          <w:p>
            <w:r>
              <w:rPr>
                <w:rFonts w:ascii="Calibri" w:hAnsi="Calibri"/>
                <w:color w:val="333333"/>
                <w:sz w:val="18"/>
              </w:rPr>
              <w:t>Daily Interface Meeting &amp; SIMOPS Hazard Matrix</w:t>
            </w:r>
          </w:p>
        </w:tc>
        <w:tc>
          <w:tcPr>
            <w:tcW w:type="dxa" w:w="2340"/>
            <w:shd w:fill="F9FAFC"/>
            <w:tcMar>
              <w:top w:w="80" w:type="dxa"/>
              <w:bottom w:w="80" w:type="dxa"/>
              <w:left w:w="120" w:type="dxa"/>
              <w:right w:w="120" w:type="dxa"/>
            </w:tcMar>
          </w:tcPr>
          <w:p>
            <w:r>
              <w:rPr>
                <w:rFonts w:ascii="Calibri" w:hAnsi="Calibri"/>
                <w:color w:val="333333"/>
                <w:sz w:val="18"/>
              </w:rPr>
              <w:t>WLNG Operational SIMOPS Protocol</w:t>
            </w:r>
          </w:p>
        </w:tc>
      </w:tr>
      <w:tr>
        <w:tc>
          <w:tcPr>
            <w:tcW w:type="dxa" w:w="2340"/>
            <w:shd w:fill="FFFFFF"/>
            <w:tcMar>
              <w:top w:w="80" w:type="dxa"/>
              <w:bottom w:w="80" w:type="dxa"/>
              <w:left w:w="120" w:type="dxa"/>
              <w:right w:w="120" w:type="dxa"/>
            </w:tcMar>
          </w:tcPr>
          <w:p>
            <w:r>
              <w:rPr>
                <w:rFonts w:ascii="Calibri" w:hAnsi="Calibri"/>
                <w:color w:val="333333"/>
                <w:sz w:val="18"/>
              </w:rPr>
              <w:t>Emergency Response (ERP)</w:t>
            </w:r>
          </w:p>
        </w:tc>
        <w:tc>
          <w:tcPr>
            <w:tcW w:type="dxa" w:w="2340"/>
            <w:shd w:fill="FFFFFF"/>
            <w:tcMar>
              <w:top w:w="80" w:type="dxa"/>
              <w:bottom w:w="80" w:type="dxa"/>
              <w:left w:w="120" w:type="dxa"/>
              <w:right w:w="120" w:type="dxa"/>
            </w:tcMar>
          </w:tcPr>
          <w:p>
            <w:r>
              <w:rPr>
                <w:rFonts w:ascii="Calibri" w:hAnsi="Calibri"/>
                <w:color w:val="333333"/>
                <w:sz w:val="18"/>
              </w:rPr>
              <w:t>EPC Site ERP &amp; Medical Clinic</w:t>
            </w:r>
          </w:p>
        </w:tc>
        <w:tc>
          <w:tcPr>
            <w:tcW w:type="dxa" w:w="2340"/>
            <w:shd w:fill="FFFFFF"/>
            <w:tcMar>
              <w:top w:w="80" w:type="dxa"/>
              <w:bottom w:w="80" w:type="dxa"/>
              <w:left w:w="120" w:type="dxa"/>
              <w:right w:w="120" w:type="dxa"/>
            </w:tcMar>
          </w:tcPr>
          <w:p>
            <w:r>
              <w:rPr>
                <w:rFonts w:ascii="Calibri" w:hAnsi="Calibri"/>
                <w:color w:val="333333"/>
                <w:sz w:val="18"/>
              </w:rPr>
              <w:t>Joint Incident Command; Shared Sirens</w:t>
            </w:r>
          </w:p>
        </w:tc>
        <w:tc>
          <w:tcPr>
            <w:tcW w:type="dxa" w:w="2340"/>
            <w:shd w:fill="FFFFFF"/>
            <w:tcMar>
              <w:top w:w="80" w:type="dxa"/>
              <w:bottom w:w="80" w:type="dxa"/>
              <w:left w:w="120" w:type="dxa"/>
              <w:right w:w="120" w:type="dxa"/>
            </w:tcMar>
          </w:tcPr>
          <w:p>
            <w:r>
              <w:rPr>
                <w:rFonts w:ascii="Calibri" w:hAnsi="Calibri"/>
                <w:color w:val="333333"/>
                <w:sz w:val="18"/>
              </w:rPr>
              <w:t>WLNG Facility Incident Command System</w:t>
            </w:r>
          </w:p>
        </w:tc>
      </w:tr>
      <w:tr>
        <w:tc>
          <w:tcPr>
            <w:tcW w:type="dxa" w:w="2340"/>
            <w:shd w:fill="F9FAFC"/>
            <w:tcMar>
              <w:top w:w="80" w:type="dxa"/>
              <w:bottom w:w="80" w:type="dxa"/>
              <w:left w:w="120" w:type="dxa"/>
              <w:right w:w="120" w:type="dxa"/>
            </w:tcMar>
          </w:tcPr>
          <w:p>
            <w:r>
              <w:rPr>
                <w:rFonts w:ascii="Calibri" w:hAnsi="Calibri"/>
                <w:color w:val="333333"/>
                <w:sz w:val="18"/>
              </w:rPr>
              <w:t>Management of Change (MOC)</w:t>
            </w:r>
          </w:p>
        </w:tc>
        <w:tc>
          <w:tcPr>
            <w:tcW w:type="dxa" w:w="2340"/>
            <w:shd w:fill="F9FAFC"/>
            <w:tcMar>
              <w:top w:w="80" w:type="dxa"/>
              <w:bottom w:w="80" w:type="dxa"/>
              <w:left w:w="120" w:type="dxa"/>
              <w:right w:w="120" w:type="dxa"/>
            </w:tcMar>
          </w:tcPr>
          <w:p>
            <w:r>
              <w:rPr>
                <w:rFonts w:ascii="Calibri" w:hAnsi="Calibri"/>
                <w:color w:val="333333"/>
                <w:sz w:val="18"/>
              </w:rPr>
              <w:t>EPC Design / Engineering MOC</w:t>
            </w:r>
          </w:p>
        </w:tc>
        <w:tc>
          <w:tcPr>
            <w:tcW w:type="dxa" w:w="2340"/>
            <w:shd w:fill="F9FAFC"/>
            <w:tcMar>
              <w:top w:w="80" w:type="dxa"/>
              <w:bottom w:w="80" w:type="dxa"/>
              <w:left w:w="120" w:type="dxa"/>
              <w:right w:w="120" w:type="dxa"/>
            </w:tcMar>
          </w:tcPr>
          <w:p>
            <w:r>
              <w:rPr>
                <w:rFonts w:ascii="Calibri" w:hAnsi="Calibri"/>
                <w:color w:val="333333"/>
                <w:sz w:val="18"/>
              </w:rPr>
              <w:t>Commissioning Field Change Request (FCR)</w:t>
            </w:r>
          </w:p>
        </w:tc>
        <w:tc>
          <w:tcPr>
            <w:tcW w:type="dxa" w:w="2340"/>
            <w:shd w:fill="F9FAFC"/>
            <w:tcMar>
              <w:top w:w="80" w:type="dxa"/>
              <w:bottom w:w="80" w:type="dxa"/>
              <w:left w:w="120" w:type="dxa"/>
              <w:right w:w="120" w:type="dxa"/>
            </w:tcMar>
          </w:tcPr>
          <w:p>
            <w:r>
              <w:rPr>
                <w:rFonts w:ascii="Calibri" w:hAnsi="Calibri"/>
                <w:color w:val="333333"/>
                <w:sz w:val="18"/>
              </w:rPr>
              <w:t>WLNG Operational MOC Procedure</w:t>
            </w:r>
          </w:p>
        </w:tc>
      </w:tr>
      <w:tr>
        <w:tc>
          <w:tcPr>
            <w:tcW w:type="dxa" w:w="2340"/>
            <w:shd w:fill="FFFFFF"/>
            <w:tcMar>
              <w:top w:w="80" w:type="dxa"/>
              <w:bottom w:w="80" w:type="dxa"/>
              <w:left w:w="120" w:type="dxa"/>
              <w:right w:w="120" w:type="dxa"/>
            </w:tcMar>
          </w:tcPr>
          <w:p>
            <w:r>
              <w:rPr>
                <w:rFonts w:ascii="Calibri" w:hAnsi="Calibri"/>
                <w:color w:val="333333"/>
                <w:sz w:val="18"/>
              </w:rPr>
              <w:t>Environmental Management</w:t>
            </w:r>
          </w:p>
        </w:tc>
        <w:tc>
          <w:tcPr>
            <w:tcW w:type="dxa" w:w="2340"/>
            <w:shd w:fill="FFFFFF"/>
            <w:tcMar>
              <w:top w:w="80" w:type="dxa"/>
              <w:bottom w:w="80" w:type="dxa"/>
              <w:left w:w="120" w:type="dxa"/>
              <w:right w:w="120" w:type="dxa"/>
            </w:tcMar>
          </w:tcPr>
          <w:p>
            <w:r>
              <w:rPr>
                <w:rFonts w:ascii="Calibri" w:hAnsi="Calibri"/>
                <w:color w:val="333333"/>
                <w:sz w:val="18"/>
              </w:rPr>
              <w:t>Construction Environmental Plan</w:t>
            </w:r>
          </w:p>
        </w:tc>
        <w:tc>
          <w:tcPr>
            <w:tcW w:type="dxa" w:w="2340"/>
            <w:shd w:fill="FFFFFF"/>
            <w:tcMar>
              <w:top w:w="80" w:type="dxa"/>
              <w:bottom w:w="80" w:type="dxa"/>
              <w:left w:w="120" w:type="dxa"/>
              <w:right w:w="120" w:type="dxa"/>
            </w:tcMar>
          </w:tcPr>
          <w:p>
            <w:r>
              <w:rPr>
                <w:rFonts w:ascii="Calibri" w:hAnsi="Calibri"/>
                <w:color w:val="333333"/>
                <w:sz w:val="18"/>
              </w:rPr>
              <w:t>Joint Spill / Effluent Handover Review</w:t>
            </w:r>
          </w:p>
        </w:tc>
        <w:tc>
          <w:tcPr>
            <w:tcW w:type="dxa" w:w="2340"/>
            <w:shd w:fill="FFFFFF"/>
            <w:tcMar>
              <w:top w:w="80" w:type="dxa"/>
              <w:bottom w:w="80" w:type="dxa"/>
              <w:left w:w="120" w:type="dxa"/>
              <w:right w:w="120" w:type="dxa"/>
            </w:tcMar>
          </w:tcPr>
          <w:p>
            <w:r>
              <w:rPr>
                <w:rFonts w:ascii="Calibri" w:hAnsi="Calibri"/>
                <w:color w:val="333333"/>
                <w:sz w:val="18"/>
              </w:rPr>
              <w:t>WLNG Operational EMP &amp; BCER Permits</w:t>
            </w:r>
          </w:p>
        </w:tc>
      </w:tr>
      <w:tr>
        <w:tc>
          <w:tcPr>
            <w:tcW w:type="dxa" w:w="2340"/>
            <w:shd w:fill="F9FAFC"/>
            <w:tcMar>
              <w:top w:w="80" w:type="dxa"/>
              <w:bottom w:w="80" w:type="dxa"/>
              <w:left w:w="120" w:type="dxa"/>
              <w:right w:w="120" w:type="dxa"/>
            </w:tcMar>
          </w:tcPr>
          <w:p>
            <w:r>
              <w:rPr>
                <w:rFonts w:ascii="Calibri" w:hAnsi="Calibri"/>
                <w:color w:val="333333"/>
                <w:sz w:val="18"/>
              </w:rPr>
              <w:t>Incident Reporting</w:t>
            </w:r>
          </w:p>
        </w:tc>
        <w:tc>
          <w:tcPr>
            <w:tcW w:type="dxa" w:w="2340"/>
            <w:shd w:fill="F9FAFC"/>
            <w:tcMar>
              <w:top w:w="80" w:type="dxa"/>
              <w:bottom w:w="80" w:type="dxa"/>
              <w:left w:w="120" w:type="dxa"/>
              <w:right w:w="120" w:type="dxa"/>
            </w:tcMar>
          </w:tcPr>
          <w:p>
            <w:r>
              <w:rPr>
                <w:rFonts w:ascii="Calibri" w:hAnsi="Calibri"/>
                <w:color w:val="333333"/>
                <w:sz w:val="18"/>
              </w:rPr>
              <w:t>Intelex System (CB&amp;I)</w:t>
            </w:r>
          </w:p>
        </w:tc>
        <w:tc>
          <w:tcPr>
            <w:tcW w:type="dxa" w:w="2340"/>
            <w:shd w:fill="F9FAFC"/>
            <w:tcMar>
              <w:top w:w="80" w:type="dxa"/>
              <w:bottom w:w="80" w:type="dxa"/>
              <w:left w:w="120" w:type="dxa"/>
              <w:right w:w="120" w:type="dxa"/>
            </w:tcMar>
          </w:tcPr>
          <w:p>
            <w:r>
              <w:rPr>
                <w:rFonts w:ascii="Calibri" w:hAnsi="Calibri"/>
                <w:color w:val="333333"/>
                <w:sz w:val="18"/>
              </w:rPr>
              <w:t>Cross-Notification within 2 Hours for SIF-p</w:t>
            </w:r>
          </w:p>
        </w:tc>
        <w:tc>
          <w:tcPr>
            <w:tcW w:type="dxa" w:w="2340"/>
            <w:shd w:fill="F9FAFC"/>
            <w:tcMar>
              <w:top w:w="80" w:type="dxa"/>
              <w:bottom w:w="80" w:type="dxa"/>
              <w:left w:w="120" w:type="dxa"/>
              <w:right w:w="120" w:type="dxa"/>
            </w:tcMar>
          </w:tcPr>
          <w:p>
            <w:r>
              <w:rPr>
                <w:rFonts w:ascii="Calibri" w:hAnsi="Calibri"/>
                <w:color w:val="333333"/>
                <w:sz w:val="18"/>
              </w:rPr>
              <w:t>WLNG Enterprise HSE Event System</w:t>
            </w:r>
          </w:p>
        </w:tc>
      </w:tr>
    </w:tbl>
    <w:p>
      <w:pPr>
        <w:spacing w:after="160"/>
      </w:pPr>
    </w:p>
    <w:p>
      <w:pPr>
        <w:keepNext/>
        <w:spacing w:before="280" w:after="120"/>
      </w:pPr>
      <w:r>
        <w:rPr>
          <w:rFonts w:ascii="Calibri" w:hAnsi="Calibri"/>
          <w:b/>
          <w:color w:val="1B365D"/>
          <w:sz w:val="32"/>
        </w:rPr>
        <w:t>7.0 ADDITIONAL REQUIREMENTS FOR OPERATIONAL OWNERSHIP</w:t>
      </w:r>
    </w:p>
    <w:p>
      <w:r>
        <w:t>Transitioning into commissioning, dynamic testing, energization, and hydrocarbon introduction introduces major process safety hazards. The following additional requirements must be fulfilled prior to operational handover:</w:t>
      </w:r>
    </w:p>
    <w:tbl>
      <w:tblPr>
        <w:tblW w:type="auto" w:w="0"/>
        <w:jc w:val="center"/>
        <w:tblLayout w:type="fixed"/>
        <w:tblLook w:firstColumn="1" w:firstRow="1" w:lastColumn="0" w:lastRow="0" w:noHBand="0" w:noVBand="1" w:val="04A0"/>
      </w:tblPr>
      <w:tblGrid>
        <w:gridCol w:w="9360"/>
      </w:tblGrid>
      <w:tr>
        <w:tc>
          <w:tcPr>
            <w:tcW w:type="dxa" w:w="9360"/>
            <w:shd w:fill="#FFF8E7"/>
            <w:tcMar>
              <w:top w:w="120" w:type="dxa"/>
              <w:bottom w:w="120" w:type="dxa"/>
              <w:left w:w="180" w:type="dxa"/>
              <w:right w:w="180" w:type="dxa"/>
            </w:tcMar>
            <w:tcBorders>
              <w:left w:val="single" w:sz="36" w:space="0" w:color="D4AF37"/>
              <w:top w:val="none"/>
              <w:right w:val="none"/>
              <w:bottom w:val="none"/>
            </w:tcBorders>
          </w:tcPr>
          <w:p>
            <w:pPr>
              <w:spacing w:before="40" w:after="40"/>
            </w:pPr>
            <w:r>
              <w:rPr>
                <w:rFonts w:ascii="Calibri" w:hAnsi="Calibri"/>
                <w:b/>
                <w:color w:val="856404"/>
                <w:sz w:val="20"/>
              </w:rPr>
              <w:t xml:space="preserve">[REVIEW COMMENT #5 - OPERATIONAL READINESS &amp; PSSR] </w:t>
            </w:r>
            <w:r>
              <w:rPr>
                <w:rFonts w:ascii="Calibri" w:hAnsi="Calibri"/>
                <w:color w:val="333333"/>
                <w:sz w:val="20"/>
              </w:rPr>
              <w:t>REVIEW RECOMMENDATION: Mandate PSSR clearance of all Category A punch items, Safety Critical Element (SCE) technical integrity sign-offs, and WLNG Operations 24/7 Control Room readiness prior to introducing hydrocarbons.</w:t>
            </w:r>
          </w:p>
        </w:tc>
      </w:tr>
    </w:tbl>
    <w:p>
      <w:pPr>
        <w:spacing w:after="80"/>
      </w:pPr>
    </w:p>
    <w:p>
      <w:pPr>
        <w:keepNext/>
        <w:spacing w:before="240" w:after="80"/>
      </w:pPr>
      <w:r>
        <w:rPr>
          <w:rFonts w:ascii="Calibri" w:hAnsi="Calibri"/>
          <w:b/>
          <w:color w:val="008080"/>
          <w:sz w:val="26"/>
        </w:rPr>
        <w:t>Pre-Startup Safety Review (PSSR)</w:t>
      </w:r>
    </w:p>
    <w:p>
      <w:r>
        <w:t>Mandatory 5-step PSSR verification covering physical alignment, operating procedures, training completion, HAZOP closeouts, and regulatory authorizations before fluid/hydrocarbon introduction.</w:t>
      </w:r>
    </w:p>
    <w:p>
      <w:pPr>
        <w:keepNext/>
        <w:spacing w:before="240" w:after="80"/>
      </w:pPr>
      <w:r>
        <w:rPr>
          <w:rFonts w:ascii="Calibri" w:hAnsi="Calibri"/>
          <w:b/>
          <w:color w:val="008080"/>
          <w:sz w:val="26"/>
        </w:rPr>
        <w:t>Safety Critical Elements (SCE) Integrity</w:t>
      </w:r>
    </w:p>
    <w:p>
      <w:r>
        <w:t>Formal verification and testing of performance standards for ESD valves, pressure relief systems, F&amp;G detection, fire protection, and process containment.</w:t>
      </w:r>
    </w:p>
    <w:p>
      <w:pPr>
        <w:keepNext/>
        <w:spacing w:before="240" w:after="80"/>
      </w:pPr>
      <w:r>
        <w:rPr>
          <w:rFonts w:ascii="Calibri" w:hAnsi="Calibri"/>
          <w:b/>
          <w:color w:val="008080"/>
          <w:sz w:val="26"/>
        </w:rPr>
        <w:t>Process Safety Management (PSM) Baseline</w:t>
      </w:r>
    </w:p>
    <w:p>
      <w:r>
        <w:t>Complete closeout of all pre-commissioning HAZOP/LOPA recommendations, Management of Change (MOC) logs, and Alarm Rationalization reviews.</w:t>
      </w:r>
    </w:p>
    <w:p>
      <w:pPr>
        <w:keepNext/>
        <w:spacing w:before="240" w:after="80"/>
      </w:pPr>
      <w:r>
        <w:rPr>
          <w:rFonts w:ascii="Calibri" w:hAnsi="Calibri"/>
          <w:b/>
          <w:color w:val="008080"/>
          <w:sz w:val="26"/>
        </w:rPr>
        <w:t>Shift Handover &amp; Operational Competency</w:t>
      </w:r>
    </w:p>
    <w:p>
      <w:r>
        <w:t>Verification that WLNG console and field operators possess required BC ticket qualifications, plant walkthrough certification, and formal shift logbook handover protocols.</w:t>
      </w:r>
    </w:p>
    <w:p>
      <w:pPr>
        <w:keepNext/>
        <w:spacing w:before="280" w:after="120"/>
      </w:pPr>
      <w:r>
        <w:rPr>
          <w:rFonts w:ascii="Calibri" w:hAnsi="Calibri"/>
          <w:b/>
          <w:color w:val="1B365D"/>
          <w:sz w:val="32"/>
        </w:rPr>
        <w:t>8.0 TERMS AND DEFINITIONS</w:t>
      </w:r>
    </w:p>
    <w:p>
      <w:pPr>
        <w:spacing w:after="60"/>
      </w:pPr>
      <w:r>
        <w:rPr>
          <w:b/>
          <w:color w:val="1B365D"/>
        </w:rPr>
        <w:t xml:space="preserve">• ALARP: </w:t>
      </w:r>
      <w:r>
        <w:t>As Low As Reasonably Practicable — Risk level achieved when further risk reduction is disproportionate to benefit.</w:t>
      </w:r>
    </w:p>
    <w:p>
      <w:pPr>
        <w:spacing w:after="60"/>
      </w:pPr>
      <w:r>
        <w:rPr>
          <w:b/>
          <w:color w:val="1B365D"/>
        </w:rPr>
        <w:t xml:space="preserve">• Area Handover Certificate (AHC): </w:t>
      </w:r>
      <w:r>
        <w:t>Formal document transferring physical area control from Construction to Commissioning or Operations.</w:t>
      </w:r>
    </w:p>
    <w:p>
      <w:pPr>
        <w:spacing w:after="60"/>
      </w:pPr>
      <w:r>
        <w:rPr>
          <w:b/>
          <w:color w:val="1B365D"/>
        </w:rPr>
        <w:t xml:space="preserve">• Commissioning Authority: </w:t>
      </w:r>
      <w:r>
        <w:t>The designated organization having operational control of a system for commissioning activities.</w:t>
      </w:r>
    </w:p>
    <w:p>
      <w:pPr>
        <w:spacing w:after="60"/>
      </w:pPr>
      <w:r>
        <w:rPr>
          <w:b/>
          <w:color w:val="1B365D"/>
        </w:rPr>
        <w:t xml:space="preserve">• Dynamic Commissioning: </w:t>
      </w:r>
      <w:r>
        <w:t>Commissioning activities performed using live energy, utilities, process fluids, or hydrocarbons.</w:t>
      </w:r>
    </w:p>
    <w:p>
      <w:pPr>
        <w:spacing w:after="60"/>
      </w:pPr>
      <w:r>
        <w:rPr>
          <w:b/>
          <w:color w:val="1B365D"/>
        </w:rPr>
        <w:t xml:space="preserve">• PSSR: </w:t>
      </w:r>
      <w:r>
        <w:t>Pre-Startup Safety Review conducted before introducing hazardous energy or process fluids into a system.</w:t>
      </w:r>
    </w:p>
    <w:p>
      <w:pPr>
        <w:spacing w:after="60"/>
      </w:pPr>
      <w:r>
        <w:rPr>
          <w:b/>
          <w:color w:val="1B365D"/>
        </w:rPr>
        <w:t xml:space="preserve">• SIMOPS: </w:t>
      </w:r>
      <w:r>
        <w:t>Simultaneous Operations involving Construction, Pre-Commissioning, Commissioning, or Operations activities occurring in the same work area requiring coordinated risk management.</w:t>
      </w:r>
    </w:p>
    <w:p>
      <w:pPr>
        <w:keepNext/>
        <w:spacing w:before="280" w:after="120"/>
      </w:pPr>
      <w:r>
        <w:rPr>
          <w:rFonts w:ascii="Calibri" w:hAnsi="Calibri"/>
          <w:b/>
          <w:color w:val="1B365D"/>
          <w:sz w:val="32"/>
        </w:rPr>
        <w:t>9.0 ROLES AND RESPONSIBILITIES</w:t>
      </w:r>
    </w:p>
    <w:p>
      <w:r>
        <w:t>Responsibility for HSSE shall remain continuous throughout the transition. The transfer of system custody, work-area control, or Permit to Work authority shall not create any gap in accountability for personnel safety, process safety, security, environmental protection, or emergency response.</w:t>
      </w:r>
    </w:p>
    <w:p>
      <w:pPr>
        <w:keepNext/>
        <w:spacing w:before="240" w:after="80"/>
      </w:pPr>
      <w:r>
        <w:rPr>
          <w:rFonts w:ascii="Calibri" w:hAnsi="Calibri"/>
          <w:b/>
          <w:color w:val="008080"/>
          <w:sz w:val="26"/>
        </w:rPr>
        <w:t>Project Director</w:t>
      </w:r>
    </w:p>
    <w:p>
      <w:r>
        <w:t>Retains overall accountability for implementation of this HSSE Transition Plan; ensures transition is adequately resourced and schedule/commercial pressures do not override HSSE or process safety requirements.</w:t>
      </w:r>
    </w:p>
    <w:p>
      <w:pPr>
        <w:keepNext/>
        <w:spacing w:before="240" w:after="80"/>
      </w:pPr>
      <w:r>
        <w:rPr>
          <w:rFonts w:ascii="Calibri" w:hAnsi="Calibri"/>
          <w:b/>
          <w:color w:val="008080"/>
          <w:sz w:val="26"/>
        </w:rPr>
        <w:t>Construction Director</w:t>
      </w:r>
    </w:p>
    <w:p>
      <w:r>
        <w:t>Accountable for safe execution of all Construction-controlled activities; ensures systems are not presented for transfer until completion requirements are met; manages residual punch items under receiving control.</w:t>
      </w:r>
    </w:p>
    <w:p>
      <w:pPr>
        <w:keepNext/>
        <w:spacing w:before="240" w:after="80"/>
      </w:pPr>
      <w:r>
        <w:rPr>
          <w:rFonts w:ascii="Calibri" w:hAnsi="Calibri"/>
          <w:b/>
          <w:color w:val="008080"/>
          <w:sz w:val="26"/>
        </w:rPr>
        <w:t>Commissioning Manager</w:t>
      </w:r>
    </w:p>
    <w:p>
      <w:r>
        <w:t>Leads planning and coordination of HSSE arrangements for Pre-Commissioning, Commissioning, and Start-up; defines transition sequence; verifies completion certificates prior to custody acceptance; enforces commissioning boundaries.</w:t>
      </w:r>
    </w:p>
    <w:p>
      <w:pPr>
        <w:keepNext/>
        <w:spacing w:before="240" w:after="80"/>
      </w:pPr>
      <w:r>
        <w:rPr>
          <w:rFonts w:ascii="Calibri" w:hAnsi="Calibri"/>
          <w:b/>
          <w:color w:val="008080"/>
          <w:sz w:val="26"/>
        </w:rPr>
        <w:t>Operations Manager</w:t>
      </w:r>
    </w:p>
    <w:p>
      <w:r>
        <w:t>Defines operational readiness requirements; participates in walkdowns, PSSR, and RFSU acceptance; verifies operating procedures, isolations, and shift routines; accepts operational custody upon formal completion.</w:t>
      </w:r>
    </w:p>
    <w:p>
      <w:pPr>
        <w:keepNext/>
        <w:spacing w:before="240" w:after="80"/>
      </w:pPr>
      <w:r>
        <w:rPr>
          <w:rFonts w:ascii="Calibri" w:hAnsi="Calibri"/>
          <w:b/>
          <w:color w:val="008080"/>
          <w:sz w:val="26"/>
        </w:rPr>
        <w:t>Project HSSE Manager</w:t>
      </w:r>
    </w:p>
    <w:p>
      <w:r>
        <w:t>Provides independent HSSE oversight throughout transition; verifies PTW, isolation, and emergency arrangements as boundaries shift; conducts audits; retains authority to suspend unsafe work.</w:t>
      </w:r>
    </w:p>
    <w:p>
      <w:pPr>
        <w:keepNext/>
        <w:spacing w:before="280" w:after="120"/>
      </w:pPr>
      <w:r>
        <w:rPr>
          <w:rFonts w:ascii="Calibri" w:hAnsi="Calibri"/>
          <w:b/>
          <w:color w:val="1B365D"/>
          <w:sz w:val="32"/>
        </w:rPr>
        <w:t>10.0 TRANSITION RESPONSIBILITY MATRIX (RACI)</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jc w:val="left"/>
            </w:pPr>
            <w:r>
              <w:rPr>
                <w:rFonts w:ascii="Calibri" w:hAnsi="Calibri"/>
                <w:b/>
                <w:color w:val="FFFFFF"/>
                <w:sz w:val="19"/>
              </w:rPr>
              <w:t>Transition Activity / Scope</w:t>
            </w:r>
          </w:p>
        </w:tc>
        <w:tc>
          <w:tcPr>
            <w:tcW w:type="dxa" w:w="2340"/>
            <w:shd w:fill="1B365D"/>
            <w:tcMar>
              <w:top w:w="100" w:type="dxa"/>
              <w:bottom w:w="100" w:type="dxa"/>
              <w:left w:w="120" w:type="dxa"/>
              <w:right w:w="120" w:type="dxa"/>
            </w:tcMar>
          </w:tcPr>
          <w:p>
            <w:pPr>
              <w:jc w:val="left"/>
            </w:pPr>
            <w:r>
              <w:rPr>
                <w:rFonts w:ascii="Calibri" w:hAnsi="Calibri"/>
                <w:b/>
                <w:color w:val="FFFFFF"/>
                <w:sz w:val="19"/>
              </w:rPr>
              <w:t>Construction Phase</w:t>
            </w:r>
          </w:p>
        </w:tc>
        <w:tc>
          <w:tcPr>
            <w:tcW w:type="dxa" w:w="2340"/>
            <w:shd w:fill="1B365D"/>
            <w:tcMar>
              <w:top w:w="100" w:type="dxa"/>
              <w:bottom w:w="100" w:type="dxa"/>
              <w:left w:w="120" w:type="dxa"/>
              <w:right w:w="120" w:type="dxa"/>
            </w:tcMar>
          </w:tcPr>
          <w:p>
            <w:pPr>
              <w:jc w:val="left"/>
            </w:pPr>
            <w:r>
              <w:rPr>
                <w:rFonts w:ascii="Calibri" w:hAnsi="Calibri"/>
                <w:b/>
                <w:color w:val="FFFFFF"/>
                <w:sz w:val="19"/>
              </w:rPr>
              <w:t>Commissioning Phase</w:t>
            </w:r>
          </w:p>
        </w:tc>
        <w:tc>
          <w:tcPr>
            <w:tcW w:type="dxa" w:w="2340"/>
            <w:shd w:fill="1B365D"/>
            <w:tcMar>
              <w:top w:w="100" w:type="dxa"/>
              <w:bottom w:w="100" w:type="dxa"/>
              <w:left w:w="120" w:type="dxa"/>
              <w:right w:w="120" w:type="dxa"/>
            </w:tcMar>
          </w:tcPr>
          <w:p>
            <w:pPr>
              <w:jc w:val="left"/>
            </w:pPr>
            <w:r>
              <w:rPr>
                <w:rFonts w:ascii="Calibri" w:hAnsi="Calibri"/>
                <w:b/>
                <w:color w:val="FFFFFF"/>
                <w:sz w:val="19"/>
              </w:rPr>
              <w:t>Operations Phase</w:t>
            </w:r>
          </w:p>
        </w:tc>
      </w:tr>
      <w:tr>
        <w:tc>
          <w:tcPr>
            <w:tcW w:type="dxa" w:w="2340"/>
            <w:shd w:fill="F9FAFC"/>
            <w:tcMar>
              <w:top w:w="80" w:type="dxa"/>
              <w:bottom w:w="80" w:type="dxa"/>
              <w:left w:w="120" w:type="dxa"/>
              <w:right w:w="120" w:type="dxa"/>
            </w:tcMar>
          </w:tcPr>
          <w:p>
            <w:r>
              <w:rPr>
                <w:rFonts w:ascii="Calibri" w:hAnsi="Calibri"/>
                <w:color w:val="333333"/>
                <w:sz w:val="18"/>
              </w:rPr>
              <w:t>Permit to Work (PTW) Control</w:t>
            </w:r>
          </w:p>
        </w:tc>
        <w:tc>
          <w:tcPr>
            <w:tcW w:type="dxa" w:w="2340"/>
            <w:shd w:fill="F9FAFC"/>
            <w:tcMar>
              <w:top w:w="80" w:type="dxa"/>
              <w:bottom w:w="80" w:type="dxa"/>
              <w:left w:w="120" w:type="dxa"/>
              <w:right w:w="120" w:type="dxa"/>
            </w:tcMar>
          </w:tcPr>
          <w:p>
            <w:r>
              <w:rPr>
                <w:rFonts w:ascii="Calibri" w:hAnsi="Calibri"/>
                <w:color w:val="333333"/>
                <w:sz w:val="18"/>
              </w:rPr>
              <w:t>Responsible (EPC)</w:t>
            </w:r>
          </w:p>
        </w:tc>
        <w:tc>
          <w:tcPr>
            <w:tcW w:type="dxa" w:w="2340"/>
            <w:shd w:fill="F9FAFC"/>
            <w:tcMar>
              <w:top w:w="80" w:type="dxa"/>
              <w:bottom w:w="80" w:type="dxa"/>
              <w:left w:w="120" w:type="dxa"/>
              <w:right w:w="120" w:type="dxa"/>
            </w:tcMar>
          </w:tcPr>
          <w:p>
            <w:r>
              <w:rPr>
                <w:rFonts w:ascii="Calibri" w:hAnsi="Calibri"/>
                <w:color w:val="333333"/>
                <w:sz w:val="18"/>
              </w:rPr>
              <w:t>Accountable / Responsible</w:t>
            </w:r>
          </w:p>
        </w:tc>
        <w:tc>
          <w:tcPr>
            <w:tcW w:type="dxa" w:w="2340"/>
            <w:shd w:fill="F9FAFC"/>
            <w:tcMar>
              <w:top w:w="80" w:type="dxa"/>
              <w:bottom w:w="80" w:type="dxa"/>
              <w:left w:w="120" w:type="dxa"/>
              <w:right w:w="120" w:type="dxa"/>
            </w:tcMar>
          </w:tcPr>
          <w:p>
            <w:r>
              <w:rPr>
                <w:rFonts w:ascii="Calibri" w:hAnsi="Calibri"/>
                <w:color w:val="333333"/>
                <w:sz w:val="18"/>
              </w:rPr>
              <w:t>Accountable (Handover)</w:t>
            </w:r>
          </w:p>
        </w:tc>
      </w:tr>
      <w:tr>
        <w:tc>
          <w:tcPr>
            <w:tcW w:type="dxa" w:w="2340"/>
            <w:shd w:fill="FFFFFF"/>
            <w:tcMar>
              <w:top w:w="80" w:type="dxa"/>
              <w:bottom w:w="80" w:type="dxa"/>
              <w:left w:w="120" w:type="dxa"/>
              <w:right w:w="120" w:type="dxa"/>
            </w:tcMar>
          </w:tcPr>
          <w:p>
            <w:r>
              <w:rPr>
                <w:rFonts w:ascii="Calibri" w:hAnsi="Calibri"/>
                <w:color w:val="333333"/>
                <w:sz w:val="18"/>
              </w:rPr>
              <w:t>SIMOPS Interface Management</w:t>
            </w:r>
          </w:p>
        </w:tc>
        <w:tc>
          <w:tcPr>
            <w:tcW w:type="dxa" w:w="2340"/>
            <w:shd w:fill="FFFFFF"/>
            <w:tcMar>
              <w:top w:w="80" w:type="dxa"/>
              <w:bottom w:w="80" w:type="dxa"/>
              <w:left w:w="120" w:type="dxa"/>
              <w:right w:w="120" w:type="dxa"/>
            </w:tcMar>
          </w:tcPr>
          <w:p>
            <w:r>
              <w:rPr>
                <w:rFonts w:ascii="Calibri" w:hAnsi="Calibri"/>
                <w:color w:val="333333"/>
                <w:sz w:val="18"/>
              </w:rPr>
              <w:t>Responsible</w:t>
            </w:r>
          </w:p>
        </w:tc>
        <w:tc>
          <w:tcPr>
            <w:tcW w:type="dxa" w:w="2340"/>
            <w:shd w:fill="FFFFFF"/>
            <w:tcMar>
              <w:top w:w="80" w:type="dxa"/>
              <w:bottom w:w="80" w:type="dxa"/>
              <w:left w:w="120" w:type="dxa"/>
              <w:right w:w="120" w:type="dxa"/>
            </w:tcMar>
          </w:tcPr>
          <w:p>
            <w:r>
              <w:rPr>
                <w:rFonts w:ascii="Calibri" w:hAnsi="Calibri"/>
                <w:color w:val="333333"/>
                <w:sz w:val="18"/>
              </w:rPr>
              <w:t>Accountable</w:t>
            </w:r>
          </w:p>
        </w:tc>
        <w:tc>
          <w:tcPr>
            <w:tcW w:type="dxa" w:w="2340"/>
            <w:shd w:fill="FFFFFF"/>
            <w:tcMar>
              <w:top w:w="80" w:type="dxa"/>
              <w:bottom w:w="80" w:type="dxa"/>
              <w:left w:w="120" w:type="dxa"/>
              <w:right w:w="120" w:type="dxa"/>
            </w:tcMar>
          </w:tcPr>
          <w:p>
            <w:r>
              <w:rPr>
                <w:rFonts w:ascii="Calibri" w:hAnsi="Calibri"/>
                <w:color w:val="333333"/>
                <w:sz w:val="18"/>
              </w:rPr>
              <w:t>Accountable</w:t>
            </w:r>
          </w:p>
        </w:tc>
      </w:tr>
      <w:tr>
        <w:tc>
          <w:tcPr>
            <w:tcW w:type="dxa" w:w="2340"/>
            <w:shd w:fill="F9FAFC"/>
            <w:tcMar>
              <w:top w:w="80" w:type="dxa"/>
              <w:bottom w:w="80" w:type="dxa"/>
              <w:left w:w="120" w:type="dxa"/>
              <w:right w:w="120" w:type="dxa"/>
            </w:tcMar>
          </w:tcPr>
          <w:p>
            <w:r>
              <w:rPr>
                <w:rFonts w:ascii="Calibri" w:hAnsi="Calibri"/>
                <w:color w:val="333333"/>
                <w:sz w:val="18"/>
              </w:rPr>
              <w:t>Isolation &amp; Energy Control (LOTO)</w:t>
            </w:r>
          </w:p>
        </w:tc>
        <w:tc>
          <w:tcPr>
            <w:tcW w:type="dxa" w:w="2340"/>
            <w:shd w:fill="F9FAFC"/>
            <w:tcMar>
              <w:top w:w="80" w:type="dxa"/>
              <w:bottom w:w="80" w:type="dxa"/>
              <w:left w:w="120" w:type="dxa"/>
              <w:right w:w="120" w:type="dxa"/>
            </w:tcMar>
          </w:tcPr>
          <w:p>
            <w:r>
              <w:rPr>
                <w:rFonts w:ascii="Calibri" w:hAnsi="Calibri"/>
                <w:color w:val="333333"/>
                <w:sz w:val="18"/>
              </w:rPr>
              <w:t>Responsible (EPC)</w:t>
            </w:r>
          </w:p>
        </w:tc>
        <w:tc>
          <w:tcPr>
            <w:tcW w:type="dxa" w:w="2340"/>
            <w:shd w:fill="F9FAFC"/>
            <w:tcMar>
              <w:top w:w="80" w:type="dxa"/>
              <w:bottom w:w="80" w:type="dxa"/>
              <w:left w:w="120" w:type="dxa"/>
              <w:right w:w="120" w:type="dxa"/>
            </w:tcMar>
          </w:tcPr>
          <w:p>
            <w:r>
              <w:rPr>
                <w:rFonts w:ascii="Calibri" w:hAnsi="Calibri"/>
                <w:color w:val="333333"/>
                <w:sz w:val="18"/>
              </w:rPr>
              <w:t>Accountable / Responsible</w:t>
            </w:r>
          </w:p>
        </w:tc>
        <w:tc>
          <w:tcPr>
            <w:tcW w:type="dxa" w:w="2340"/>
            <w:shd w:fill="F9FAFC"/>
            <w:tcMar>
              <w:top w:w="80" w:type="dxa"/>
              <w:bottom w:w="80" w:type="dxa"/>
              <w:left w:w="120" w:type="dxa"/>
              <w:right w:w="120" w:type="dxa"/>
            </w:tcMar>
          </w:tcPr>
          <w:p>
            <w:r>
              <w:rPr>
                <w:rFonts w:ascii="Calibri" w:hAnsi="Calibri"/>
                <w:color w:val="333333"/>
                <w:sz w:val="18"/>
              </w:rPr>
              <w:t>Accountable</w:t>
            </w:r>
          </w:p>
        </w:tc>
      </w:tr>
      <w:tr>
        <w:tc>
          <w:tcPr>
            <w:tcW w:type="dxa" w:w="2340"/>
            <w:shd w:fill="FFFFFF"/>
            <w:tcMar>
              <w:top w:w="80" w:type="dxa"/>
              <w:bottom w:w="80" w:type="dxa"/>
              <w:left w:w="120" w:type="dxa"/>
              <w:right w:w="120" w:type="dxa"/>
            </w:tcMar>
          </w:tcPr>
          <w:p>
            <w:r>
              <w:rPr>
                <w:rFonts w:ascii="Calibri" w:hAnsi="Calibri"/>
                <w:color w:val="333333"/>
                <w:sz w:val="18"/>
              </w:rPr>
              <w:t>Emergency Response Execution</w:t>
            </w:r>
          </w:p>
        </w:tc>
        <w:tc>
          <w:tcPr>
            <w:tcW w:type="dxa" w:w="2340"/>
            <w:shd w:fill="FFFFFF"/>
            <w:tcMar>
              <w:top w:w="80" w:type="dxa"/>
              <w:bottom w:w="80" w:type="dxa"/>
              <w:left w:w="120" w:type="dxa"/>
              <w:right w:w="120" w:type="dxa"/>
            </w:tcMar>
          </w:tcPr>
          <w:p>
            <w:r>
              <w:rPr>
                <w:rFonts w:ascii="Calibri" w:hAnsi="Calibri"/>
                <w:color w:val="333333"/>
                <w:sz w:val="18"/>
              </w:rPr>
              <w:t>Responsible</w:t>
            </w:r>
          </w:p>
        </w:tc>
        <w:tc>
          <w:tcPr>
            <w:tcW w:type="dxa" w:w="2340"/>
            <w:shd w:fill="FFFFFF"/>
            <w:tcMar>
              <w:top w:w="80" w:type="dxa"/>
              <w:bottom w:w="80" w:type="dxa"/>
              <w:left w:w="120" w:type="dxa"/>
              <w:right w:w="120" w:type="dxa"/>
            </w:tcMar>
          </w:tcPr>
          <w:p>
            <w:r>
              <w:rPr>
                <w:rFonts w:ascii="Calibri" w:hAnsi="Calibri"/>
                <w:color w:val="333333"/>
                <w:sz w:val="18"/>
              </w:rPr>
              <w:t>Responsible</w:t>
            </w:r>
          </w:p>
        </w:tc>
        <w:tc>
          <w:tcPr>
            <w:tcW w:type="dxa" w:w="2340"/>
            <w:shd w:fill="FFFFFF"/>
            <w:tcMar>
              <w:top w:w="80" w:type="dxa"/>
              <w:bottom w:w="80" w:type="dxa"/>
              <w:left w:w="120" w:type="dxa"/>
              <w:right w:w="120" w:type="dxa"/>
            </w:tcMar>
          </w:tcPr>
          <w:p>
            <w:r>
              <w:rPr>
                <w:rFonts w:ascii="Calibri" w:hAnsi="Calibri"/>
                <w:color w:val="333333"/>
                <w:sz w:val="18"/>
              </w:rPr>
              <w:t>Accountable</w:t>
            </w:r>
          </w:p>
        </w:tc>
      </w:tr>
      <w:tr>
        <w:tc>
          <w:tcPr>
            <w:tcW w:type="dxa" w:w="2340"/>
            <w:shd w:fill="F9FAFC"/>
            <w:tcMar>
              <w:top w:w="80" w:type="dxa"/>
              <w:bottom w:w="80" w:type="dxa"/>
              <w:left w:w="120" w:type="dxa"/>
              <w:right w:w="120" w:type="dxa"/>
            </w:tcMar>
          </w:tcPr>
          <w:p>
            <w:r>
              <w:rPr>
                <w:rFonts w:ascii="Calibri" w:hAnsi="Calibri"/>
                <w:color w:val="333333"/>
                <w:sz w:val="18"/>
              </w:rPr>
              <w:t>Process Safety &amp; PSSR Management</w:t>
            </w:r>
          </w:p>
        </w:tc>
        <w:tc>
          <w:tcPr>
            <w:tcW w:type="dxa" w:w="2340"/>
            <w:shd w:fill="F9FAFC"/>
            <w:tcMar>
              <w:top w:w="80" w:type="dxa"/>
              <w:bottom w:w="80" w:type="dxa"/>
              <w:left w:w="120" w:type="dxa"/>
              <w:right w:w="120" w:type="dxa"/>
            </w:tcMar>
          </w:tcPr>
          <w:p>
            <w:r>
              <w:rPr>
                <w:rFonts w:ascii="Calibri" w:hAnsi="Calibri"/>
                <w:color w:val="333333"/>
                <w:sz w:val="18"/>
              </w:rPr>
              <w:t>Consulted</w:t>
            </w:r>
          </w:p>
        </w:tc>
        <w:tc>
          <w:tcPr>
            <w:tcW w:type="dxa" w:w="2340"/>
            <w:shd w:fill="F9FAFC"/>
            <w:tcMar>
              <w:top w:w="80" w:type="dxa"/>
              <w:bottom w:w="80" w:type="dxa"/>
              <w:left w:w="120" w:type="dxa"/>
              <w:right w:w="120" w:type="dxa"/>
            </w:tcMar>
          </w:tcPr>
          <w:p>
            <w:r>
              <w:rPr>
                <w:rFonts w:ascii="Calibri" w:hAnsi="Calibri"/>
                <w:color w:val="333333"/>
                <w:sz w:val="18"/>
              </w:rPr>
              <w:t>Accountable</w:t>
            </w:r>
          </w:p>
        </w:tc>
        <w:tc>
          <w:tcPr>
            <w:tcW w:type="dxa" w:w="2340"/>
            <w:shd w:fill="F9FAFC"/>
            <w:tcMar>
              <w:top w:w="80" w:type="dxa"/>
              <w:bottom w:w="80" w:type="dxa"/>
              <w:left w:w="120" w:type="dxa"/>
              <w:right w:w="120" w:type="dxa"/>
            </w:tcMar>
          </w:tcPr>
          <w:p>
            <w:r>
              <w:rPr>
                <w:rFonts w:ascii="Calibri" w:hAnsi="Calibri"/>
                <w:color w:val="333333"/>
                <w:sz w:val="18"/>
              </w:rPr>
              <w:t>Accountable / Informed</w:t>
            </w:r>
          </w:p>
        </w:tc>
      </w:tr>
      <w:tr>
        <w:tc>
          <w:tcPr>
            <w:tcW w:type="dxa" w:w="2340"/>
            <w:shd w:fill="FFFFFF"/>
            <w:tcMar>
              <w:top w:w="80" w:type="dxa"/>
              <w:bottom w:w="80" w:type="dxa"/>
              <w:left w:w="120" w:type="dxa"/>
              <w:right w:w="120" w:type="dxa"/>
            </w:tcMar>
          </w:tcPr>
          <w:p>
            <w:r>
              <w:rPr>
                <w:rFonts w:ascii="Calibri" w:hAnsi="Calibri"/>
                <w:color w:val="333333"/>
                <w:sz w:val="18"/>
              </w:rPr>
              <w:t>System Custody &amp; Area Access</w:t>
            </w:r>
          </w:p>
        </w:tc>
        <w:tc>
          <w:tcPr>
            <w:tcW w:type="dxa" w:w="2340"/>
            <w:shd w:fill="FFFFFF"/>
            <w:tcMar>
              <w:top w:w="80" w:type="dxa"/>
              <w:bottom w:w="80" w:type="dxa"/>
              <w:left w:w="120" w:type="dxa"/>
              <w:right w:w="120" w:type="dxa"/>
            </w:tcMar>
          </w:tcPr>
          <w:p>
            <w:r>
              <w:rPr>
                <w:rFonts w:ascii="Calibri" w:hAnsi="Calibri"/>
                <w:color w:val="333333"/>
                <w:sz w:val="18"/>
              </w:rPr>
              <w:t>Responsible (EPC)</w:t>
            </w:r>
          </w:p>
        </w:tc>
        <w:tc>
          <w:tcPr>
            <w:tcW w:type="dxa" w:w="2340"/>
            <w:shd w:fill="FFFFFF"/>
            <w:tcMar>
              <w:top w:w="80" w:type="dxa"/>
              <w:bottom w:w="80" w:type="dxa"/>
              <w:left w:w="120" w:type="dxa"/>
              <w:right w:w="120" w:type="dxa"/>
            </w:tcMar>
          </w:tcPr>
          <w:p>
            <w:r>
              <w:rPr>
                <w:rFonts w:ascii="Calibri" w:hAnsi="Calibri"/>
                <w:color w:val="333333"/>
                <w:sz w:val="18"/>
              </w:rPr>
              <w:t>Accountable (CSU)</w:t>
            </w:r>
          </w:p>
        </w:tc>
        <w:tc>
          <w:tcPr>
            <w:tcW w:type="dxa" w:w="2340"/>
            <w:shd w:fill="FFFFFF"/>
            <w:tcMar>
              <w:top w:w="80" w:type="dxa"/>
              <w:bottom w:w="80" w:type="dxa"/>
              <w:left w:w="120" w:type="dxa"/>
              <w:right w:w="120" w:type="dxa"/>
            </w:tcMar>
          </w:tcPr>
          <w:p>
            <w:r>
              <w:rPr>
                <w:rFonts w:ascii="Calibri" w:hAnsi="Calibri"/>
                <w:color w:val="333333"/>
                <w:sz w:val="18"/>
              </w:rPr>
              <w:t>Accountable (Ops)</w:t>
            </w:r>
          </w:p>
        </w:tc>
      </w:tr>
    </w:tbl>
    <w:p>
      <w:pPr>
        <w:spacing w:after="1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 w:author="HSE Governance Specialist" w:date="2026-08-10T13:30:00Z" w:initials="HSE">
    <w:p>
      <w:r>
        <w:t>[JOINT GOVERNANCE GAP]: This plan requires formal joint sign-off and co-ownership between EPC Construction, Commissioning, and Woodfibre LNG Operations. Without binding sign-off from the Operations Director and WLNG VP HSSE, control-of-work transitions lack operational authority.</w:t>
      </w:r>
    </w:p>
  </w:comment>
  <w:comment w:id="2" w:author="HSE Governance Specialist" w:date="2026-08-10T13:31:00Z" w:initials="HSE">
    <w:p>
      <w:r>
        <w:t>[TRANSITION MILESTONES]: Explicit phase gate definitions are required for when s.118 Prime Contractor site safety authority and PTW administration shift from EPC to WLNG Operations. Ensure AHC, RFC, RFSU, and Operational Custody transfer criteria are legally binding with WorkSafeBC and BCER.</w:t>
      </w:r>
    </w:p>
  </w:comment>
  <w:comment w:id="3" w:author="HSE Governance Specialist" w:date="2026-08-10T13:32:00Z" w:initials="HSE">
    <w:p>
      <w:r>
        <w:t>[BRIDGING STRATEGY]: A formal HSSE Bridging Document (HSSE-BRG-001) must be established to define precedence rules between EPC procedures (350106-HS-PL-000001) and WLNG Operations procedures during overlapping execution phases.</w:t>
      </w:r>
    </w:p>
  </w:comment>
  <w:comment w:id="4" w:author="HSE Governance Specialist" w:date="2026-08-10T13:33:00Z" w:initials="HSE">
    <w:p>
      <w:r>
        <w:t>[PROGRAM BRIDGING MECHANICS]: Detail exact transition mechanics for PTW, LOTO, SIMOPS, MOC, and Emergency Response. Specify dual-sign-off protocols during SIMOPS and joint incident investigation requirements.</w:t>
      </w:r>
    </w:p>
  </w:comment>
  <w:comment w:id="5" w:author="HSE Governance Specialist" w:date="2026-08-10T13:34:00Z" w:initials="HSE">
    <w:p>
      <w:r>
        <w:t>[OPERATIONAL READINESS &amp; PSSR]: Mandate PSSR closeout of all Category A punch items, Safety Critical Element (SCE) technical integrity verification, HAZOP recommendation closeout, and WLNG Operations 24/7 Control Room readiness before RFSU authorization.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88888"/>
        <w:sz w:val="17"/>
      </w:rPr>
      <w:t>Woodfibre LNG Project | Project HSSE Transition Plan (PLN-HSSE-001)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Comments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