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CBD5E1"/>
        </w:rPr>
        <w:t>―――――――――――――――――――――――――――――――――――――――――――――――――――――――</w:t>
      </w:r>
    </w:p>
    <w:p>
      <w:pPr>
        <w:pStyle w:val="Heading1"/>
        <w:spacing w:before="280" w:after="120"/>
      </w:pPr>
      <w:r>
        <w:rPr>
          <w:rFonts w:ascii="Calibri" w:hAnsi="Calibri"/>
          <w:color w:val="1E3A8A"/>
          <w:sz w:val="32"/>
        </w:rPr>
        <w:t>1. Purpose &amp; Scope</w:t>
      </w:r>
    </w:p>
    <w:p>
      <w:r>
        <w:t>This Standard defines the mandatory technical and procedural controls required to protect workers entering or operating within confined spaces across all facility assets. It fulfills ISO 45001 Clauses 6.1 (Risk Assessment) and 8.1 (Operational Control).</w:t>
      </w:r>
    </w:p>
    <w:p>
      <w:pPr>
        <w:pStyle w:val="Heading1"/>
        <w:spacing w:before="280" w:after="120"/>
      </w:pPr>
      <w:r>
        <w:rPr>
          <w:rFonts w:ascii="Calibri" w:hAnsi="Calibri"/>
          <w:color w:val="1E3A8A"/>
          <w:sz w:val="32"/>
        </w:rPr>
        <w:t>2. Mandatory Requirements &amp; Controls</w:t>
      </w:r>
    </w:p>
    <w:p>
      <w:pPr>
        <w:pStyle w:val="ListBullet"/>
        <w:spacing w:after="120"/>
      </w:pPr>
      <w:r>
        <w:rPr>
          <w:b/>
          <w:sz w:val="20"/>
        </w:rPr>
        <w:t xml:space="preserve">Permit Authorization: </w:t>
      </w:r>
      <w:r>
        <w:rPr>
          <w:sz w:val="20"/>
        </w:rPr>
        <w:t>No personnel shall enter a confined space without an approved, active Confined Space Entry Permit posted at the primary access point.</w:t>
      </w:r>
    </w:p>
    <w:p>
      <w:pPr>
        <w:pStyle w:val="ListBullet"/>
        <w:spacing w:after="120"/>
      </w:pPr>
      <w:r>
        <w:rPr>
          <w:b/>
          <w:sz w:val="20"/>
        </w:rPr>
        <w:t xml:space="preserve">Atmospheric Testing: </w:t>
      </w:r>
      <w:r>
        <w:rPr>
          <w:sz w:val="20"/>
        </w:rPr>
        <w:t>Pre-entry atmospheric testing must occur within 20 minutes of entry using a calibrated 4-gas monitor (O2, LEL, H2S, CO). Continuous atmospheric monitoring is mandatory during occupancy.</w:t>
      </w:r>
    </w:p>
    <w:p>
      <w:pPr>
        <w:pStyle w:val="ListBullet"/>
        <w:spacing w:after="120"/>
      </w:pPr>
      <w:r>
        <w:rPr>
          <w:b/>
          <w:sz w:val="20"/>
        </w:rPr>
        <w:t xml:space="preserve">Dedicated Standby Person: </w:t>
      </w:r>
      <w:r>
        <w:rPr>
          <w:sz w:val="20"/>
        </w:rPr>
        <w:t>A qualified Standby Person must remain stationed outside the entrance at all times during occupancy with no concurrent secondary duties.</w:t>
      </w:r>
    </w:p>
    <w:p>
      <w:pPr>
        <w:pStyle w:val="ListBullet"/>
        <w:spacing w:after="120"/>
      </w:pPr>
      <w:r>
        <w:rPr>
          <w:b/>
          <w:sz w:val="20"/>
        </w:rPr>
        <w:t xml:space="preserve">Staged Rescue Plan: </w:t>
      </w:r>
      <w:r>
        <w:rPr>
          <w:sz w:val="20"/>
        </w:rPr>
        <w:t>A specific rescue plan must be established prior to entry, with extraction equipment (tripod, winch, harness, SCBA) staged and verified operable.</w:t>
      </w:r>
    </w:p>
    <w:tbl>
      <w:tblPr>
        <w:tblW w:type="auto" w:w="0"/>
        <w:jc w:val="center"/>
        <w:tblLook w:firstColumn="1" w:firstRow="1" w:lastColumn="0" w:lastRow="0" w:noHBand="0" w:noVBand="1" w:val="04A0"/>
      </w:tblPr>
      <w:tblGrid>
        <w:gridCol w:w="8640"/>
      </w:tblGrid>
      <w:tr>
        <w:tc>
          <w:tcPr>
            <w:tcW w:type="dxa" w:w="9360"/>
            <w:shd w:fill="FEF3C7"/>
            <w:tcMar>
              <w:top w:w="120" w:type="dxa"/>
              <w:bottom w:w="120" w:type="dxa"/>
              <w:left w:w="160" w:type="dxa"/>
              <w:right w:w="160" w:type="dxa"/>
            </w:tcMar>
          </w:tcPr>
          <w:p>
            <w:pPr>
              <w:spacing w:after="80"/>
            </w:pPr>
            <w:r>
              <w:rPr>
                <w:b/>
                <w:color w:val="B45309"/>
                <w:sz w:val="20"/>
              </w:rPr>
              <w:t>⚠ ATMOSPHERIC STOP WORK THRESHOLD</w:t>
              <w:br/>
            </w:r>
            <w:r>
              <w:rPr>
                <w:color w:val="78350F"/>
                <w:sz w:val="19"/>
              </w:rPr>
              <w:t>If atmospheric testing shows O2 &lt; 19.5% or &gt; 23.0%, LEL &gt; 0%, or toxic gases above occupational exposure limits, STOP WORK immediately and evacuate.</w:t>
            </w:r>
          </w:p>
        </w:tc>
      </w:tr>
    </w:tbl>
    <w:p>
      <w:pPr>
        <w:spacing w:after="120"/>
      </w:pPr>
    </w:p>
    <w:p>
      <w:pPr>
        <w:pStyle w:val="Heading1"/>
        <w:spacing w:before="280" w:after="120"/>
      </w:pPr>
      <w:r>
        <w:rPr>
          <w:rFonts w:ascii="Calibri" w:hAnsi="Calibri"/>
          <w:color w:val="1E3A8A"/>
          <w:sz w:val="32"/>
        </w:rPr>
        <w:t>3. Roles &amp; Accountability Matrix</w:t>
      </w:r>
    </w:p>
    <w:tbl>
      <w:tblPr>
        <w:tblStyle w:val="TableGrid"/>
        <w:tblW w:type="auto" w:w="0"/>
        <w:jc w:val="center"/>
        <w:tblLook w:firstColumn="1" w:firstRow="1" w:lastColumn="0" w:lastRow="0" w:noHBand="0" w:noVBand="1" w:val="04A0"/>
      </w:tblPr>
      <w:tblGrid>
        <w:gridCol w:w="4320"/>
        <w:gridCol w:w="4320"/>
      </w:tblGrid>
      <w:tr>
        <w:tc>
          <w:tcPr>
            <w:tcW w:type="dxa" w:w="4320"/>
            <w:shd w:fill="1E3A8A"/>
            <w:tcMar>
              <w:top w:w="100" w:type="dxa"/>
              <w:bottom w:w="100" w:type="dxa"/>
              <w:left w:w="120" w:type="dxa"/>
              <w:right w:w="120" w:type="dxa"/>
            </w:tcMar>
          </w:tcPr>
          <w:p>
            <w:r>
              <w:rPr>
                <w:b/>
                <w:color w:val="FFFFFF"/>
              </w:rPr>
              <w:t>Role</w:t>
            </w:r>
          </w:p>
        </w:tc>
        <w:tc>
          <w:tcPr>
            <w:tcW w:type="dxa" w:w="4320"/>
            <w:shd w:fill="1E3A8A"/>
            <w:tcMar>
              <w:top w:w="100" w:type="dxa"/>
              <w:bottom w:w="100" w:type="dxa"/>
              <w:left w:w="120" w:type="dxa"/>
              <w:right w:w="120" w:type="dxa"/>
            </w:tcMar>
          </w:tcPr>
          <w:p>
            <w:r>
              <w:rPr>
                <w:b/>
                <w:color w:val="FFFFFF"/>
              </w:rPr>
              <w:t>Mandatory Accountability</w:t>
            </w:r>
          </w:p>
        </w:tc>
      </w:tr>
      <w:tr>
        <w:tc>
          <w:tcPr>
            <w:tcW w:type="dxa" w:w="4320"/>
            <w:tcMar>
              <w:top w:w="100" w:type="dxa"/>
              <w:bottom w:w="100" w:type="dxa"/>
              <w:left w:w="120" w:type="dxa"/>
              <w:right w:w="120" w:type="dxa"/>
            </w:tcMar>
          </w:tcPr>
          <w:p>
            <w:r>
              <w:rPr>
                <w:b/>
              </w:rPr>
              <w:t>Supervisor</w:t>
            </w:r>
          </w:p>
        </w:tc>
        <w:tc>
          <w:tcPr>
            <w:tcW w:type="dxa" w:w="4320"/>
            <w:tcMar>
              <w:top w:w="100" w:type="dxa"/>
              <w:bottom w:w="100" w:type="dxa"/>
              <w:left w:w="120" w:type="dxa"/>
              <w:right w:w="120" w:type="dxa"/>
            </w:tcMar>
          </w:tcPr>
          <w:p>
            <w:r>
              <w:t>Verify physical positive isolations (LOTO), review and authorize entry permit, confirm rescue readiness.</w:t>
            </w:r>
          </w:p>
        </w:tc>
      </w:tr>
      <w:tr>
        <w:tc>
          <w:tcPr>
            <w:tcW w:type="dxa" w:w="4320"/>
            <w:tcMar>
              <w:top w:w="100" w:type="dxa"/>
              <w:bottom w:w="100" w:type="dxa"/>
              <w:left w:w="120" w:type="dxa"/>
              <w:right w:w="120" w:type="dxa"/>
            </w:tcMar>
            <w:shd w:fill="F8FAFC"/>
          </w:tcPr>
          <w:p>
            <w:r>
              <w:rPr>
                <w:b/>
              </w:rPr>
              <w:t>Standby Person</w:t>
            </w:r>
          </w:p>
        </w:tc>
        <w:tc>
          <w:tcPr>
            <w:tcW w:type="dxa" w:w="4320"/>
            <w:tcMar>
              <w:top w:w="100" w:type="dxa"/>
              <w:bottom w:w="100" w:type="dxa"/>
              <w:left w:w="120" w:type="dxa"/>
              <w:right w:w="120" w:type="dxa"/>
            </w:tcMar>
            <w:shd w:fill="F8FAFC"/>
          </w:tcPr>
          <w:p>
            <w:r>
              <w:t>Maintain continuous head count, monitor atmospheric alarm status, initiate emergency rescue protocols if needed.</w:t>
            </w:r>
          </w:p>
        </w:tc>
      </w:tr>
      <w:tr>
        <w:tc>
          <w:tcPr>
            <w:tcW w:type="dxa" w:w="4320"/>
            <w:tcMar>
              <w:top w:w="100" w:type="dxa"/>
              <w:bottom w:w="100" w:type="dxa"/>
              <w:left w:w="120" w:type="dxa"/>
              <w:right w:w="120" w:type="dxa"/>
            </w:tcMar>
          </w:tcPr>
          <w:p>
            <w:r>
              <w:rPr>
                <w:b/>
              </w:rPr>
              <w:t>Entrant</w:t>
            </w:r>
          </w:p>
        </w:tc>
        <w:tc>
          <w:tcPr>
            <w:tcW w:type="dxa" w:w="4320"/>
            <w:tcMar>
              <w:top w:w="100" w:type="dxa"/>
              <w:bottom w:w="100" w:type="dxa"/>
              <w:left w:w="120" w:type="dxa"/>
              <w:right w:w="120" w:type="dxa"/>
            </w:tcMar>
          </w:tcPr>
          <w:p>
            <w:r>
              <w:t>Inspect personal harness/monitor, comply with permit instructions, evacuate immediately upon standby alarm or order.</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80"/>
      <w:gridCol w:w="4680"/>
    </w:tblGrid>
    <w:tr>
      <w:tc>
        <w:tcPr>
          <w:tcW w:type="dxa" w:w="3168"/>
          <w:shd w:fill="F2F4F7"/>
          <w:tcMar>
            <w:top w:w="140" w:type="dxa"/>
            <w:bottom w:w="140" w:type="dxa"/>
            <w:left w:w="140" w:type="dxa"/>
            <w:right w:w="140" w:type="dxa"/>
          </w:tcMar>
        </w:tcPr>
        <w:p>
          <w:pPr>
            <w:jc w:val="center"/>
          </w:pPr>
          <w:r>
            <w:rPr>
              <w:b/>
              <w:color w:val="64748B"/>
              <w:sz w:val="18"/>
            </w:rPr>
            <w:t>[ INSERT COMPANY LOGO HERE ]</w:t>
          </w:r>
        </w:p>
      </w:tc>
      <w:tc>
        <w:tcPr>
          <w:tcW w:type="dxa" w:w="6192"/>
          <w:tcMar>
            <w:top w:w="100" w:type="dxa"/>
            <w:bottom w:w="100" w:type="dxa"/>
            <w:left w:w="140" w:type="dxa"/>
            <w:right w:w="140" w:type="dxa"/>
          </w:tcMar>
        </w:tcPr>
        <w:p>
          <w:pPr>
            <w:jc w:val="right"/>
          </w:pPr>
          <w:r>
            <w:rPr>
              <w:b/>
              <w:color w:val="0F172A"/>
              <w:sz w:val="20"/>
            </w:rPr>
            <w:t>Standard: Confined Space Entry &amp; Atmospheric Monitoring</w:t>
            <w:br/>
          </w:r>
          <w:r>
            <w:rPr>
              <w:color w:val="64748B"/>
              <w:sz w:val="17"/>
            </w:rPr>
            <w:t>Doc ID: STD-CS-001  |  Rev: 0  |  ISO 45001 Aligned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