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Calibri" w:hAnsi="Calibri"/>
          <w:color w:val="1E3A8A"/>
          <w:sz w:val="32"/>
        </w:rPr>
        <w:t>1. Task &amp; Equipment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b/>
              </w:rPr>
              <w:t>Unit / Area: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Gas Pretreatment — Warm End (AGRU)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b/>
              </w:rPr>
              <w:t>Equipment Tag: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Amine Reflux Pump P-101A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b/>
              </w:rPr>
              <w:t>Parent Standards: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STD-CS-001 (Confined Space), STD-EI-002 (LOTO), STD-H2S-001 (H2S Safety)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color w:val="1E3A8A"/>
          <w:sz w:val="32"/>
        </w:rPr>
        <w:t>2. Required Personal Protective Equipment (PPE)</w:t>
      </w:r>
    </w:p>
    <w:p>
      <w:r>
        <w:t>Mandatory PPE: H2S Personal Monitor, Amine-Rated Splash Goggles, Face Shield, Chemical Apron, Butyl/Nitrile Gloves, Steel-Toe Boots, Hard Hat.</w:t>
      </w:r>
    </w:p>
    <w:p>
      <w:pPr>
        <w:pStyle w:val="Heading1"/>
        <w:spacing w:before="280" w:after="120"/>
      </w:pPr>
      <w:r>
        <w:rPr>
          <w:rFonts w:ascii="Calibri" w:hAnsi="Calibri"/>
          <w:color w:val="1E3A8A"/>
          <w:sz w:val="32"/>
        </w:rPr>
        <w:t>3. Step-by-Step Operational Procedure</w:t>
      </w:r>
    </w:p>
    <w:p>
      <w:pPr>
        <w:spacing w:after="120"/>
      </w:pPr>
      <w:r>
        <w:rPr>
          <w:b/>
          <w:color w:val="1E3A8A"/>
        </w:rPr>
        <w:t xml:space="preserve">Step 1. Notify &amp; Coordinate: </w:t>
      </w:r>
      <w:r>
        <w:rPr>
          <w:sz w:val="19"/>
        </w:rPr>
        <w:t>Contact Control Room Operator (CRO) and confirm standby pump P-101B is online, primed, and taking the full amine circulation load without pressure spikes.</w:t>
      </w:r>
    </w:p>
    <w:p>
      <w:pPr>
        <w:spacing w:after="120"/>
      </w:pPr>
      <w:r>
        <w:rPr>
          <w:b/>
          <w:color w:val="1E3A8A"/>
        </w:rPr>
        <w:t xml:space="preserve">Step 2. Isolate Discharge: </w:t>
      </w:r>
      <w:r>
        <w:rPr>
          <w:sz w:val="19"/>
        </w:rPr>
        <w:t>Slowly close discharge block valve XV-101A over a 2-minute duration to prevent water hammer on the column reflux line.</w:t>
      </w:r>
    </w:p>
    <w:p>
      <w:pPr>
        <w:spacing w:after="120"/>
      </w:pPr>
      <w:r>
        <w:rPr>
          <w:b/>
          <w:color w:val="1E3A8A"/>
        </w:rPr>
        <w:t xml:space="preserve">Step 3. Isolate Suction: </w:t>
      </w:r>
      <w:r>
        <w:rPr>
          <w:sz w:val="19"/>
        </w:rPr>
        <w:t>Close suction block valve XV-101A-S firmly. Verify local pressure gauge shows 0 psig differential across suction line.</w:t>
      </w:r>
    </w:p>
    <w:p>
      <w:pPr>
        <w:spacing w:after="120"/>
      </w:pPr>
      <w:r>
        <w:rPr>
          <w:b/>
          <w:color w:val="1E3A8A"/>
        </w:rPr>
        <w:t xml:space="preserve">Step 4. Apply LOTO: </w:t>
      </w:r>
      <w:r>
        <w:rPr>
          <w:sz w:val="19"/>
        </w:rPr>
        <w:t>Perform positive electrical lockout on P-101A motor breaker at MCC Substation 2. Apply multi-lock hasps and tags on both suction and discharge handwheels per STD-EI-002.</w:t>
      </w:r>
    </w:p>
    <w:p>
      <w:pPr>
        <w:spacing w:after="120"/>
      </w:pPr>
      <w:r>
        <w:rPr>
          <w:b/>
          <w:color w:val="1E3A8A"/>
        </w:rPr>
        <w:t xml:space="preserve">Step 5. Depressurize &amp; Drain: </w:t>
      </w:r>
      <w:r>
        <w:rPr>
          <w:sz w:val="19"/>
        </w:rPr>
        <w:t>Connect closed-loop drain hose to pump casing bleed valve. Slowly open bleed valve to drain residual amine into closed hazardous drain header. Verify zero residual liquid.</w:t>
      </w:r>
    </w:p>
    <w:p>
      <w:pPr>
        <w:spacing w:after="120"/>
      </w:pPr>
      <w:r>
        <w:rPr>
          <w:b/>
          <w:color w:val="1E3A8A"/>
        </w:rPr>
        <w:t xml:space="preserve">Step 6. Flush &amp; Clean: </w:t>
      </w:r>
      <w:r>
        <w:rPr>
          <w:sz w:val="19"/>
        </w:rPr>
        <w:t>Connect demineralized utility water flush to casing vent. Flush casing for 15 minutes until effluent is clear and pH tested neutral.</w:t>
      </w:r>
    </w:p>
    <w:p>
      <w:pPr>
        <w:spacing w:after="120"/>
      </w:pPr>
      <w:r>
        <w:rPr>
          <w:b/>
          <w:color w:val="1E3A8A"/>
        </w:rPr>
        <w:t xml:space="preserve">Step 7. Handover to Maintenance: </w:t>
      </w:r>
      <w:r>
        <w:rPr>
          <w:sz w:val="19"/>
        </w:rPr>
        <w:t>Perform joint field walkdown with Maintenance Lead. Sign Permit to Work and authorize mechanical disconnection.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B45309"/>
                <w:sz w:val="20"/>
              </w:rPr>
              <w:t>⚠ HIGH HAZARD WARNING</w:t>
              <w:br/>
            </w:r>
            <w:r>
              <w:rPr>
                <w:color w:val="78350F"/>
                <w:sz w:val="19"/>
              </w:rPr>
              <w:t>Caution: Amine solution under pressure can release H2S pockets during initial bleed. Ensure respiratory protection or SCBA is immediately staged during initial casing bleed.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3168"/>
          <w:shd w:fill="F2F4F7"/>
          <w:tcMar>
            <w:top w:w="140" w:type="dxa"/>
            <w:bottom w:w="140" w:type="dxa"/>
            <w:left w:w="140" w:type="dxa"/>
            <w:right w:w="140" w:type="dxa"/>
          </w:tcMar>
        </w:tcPr>
        <w:p>
          <w:pPr>
            <w:jc w:val="center"/>
          </w:pPr>
          <w:r>
            <w:rPr>
              <w:b/>
              <w:color w:val="64748B"/>
              <w:sz w:val="18"/>
            </w:rPr>
            <w:t>[ INSERT COMPANY LOGO HERE ]</w:t>
          </w:r>
        </w:p>
      </w:tc>
      <w:tc>
        <w:tcPr>
          <w:tcW w:type="dxa" w:w="6192"/>
          <w:tcMar>
            <w:top w:w="100" w:type="dxa"/>
            <w:bottom w:w="100" w:type="dxa"/>
            <w:left w:w="140" w:type="dxa"/>
            <w:right w:w="140" w:type="dxa"/>
          </w:tcMar>
        </w:tcPr>
        <w:p>
          <w:pPr>
            <w:jc w:val="right"/>
          </w:pPr>
          <w:r>
            <w:rPr>
              <w:b/>
              <w:color w:val="0F172A"/>
              <w:sz w:val="20"/>
            </w:rPr>
            <w:t>SWP: Taking Amine Pump P-101A Offline for Seal Replacement</w:t>
            <w:br/>
          </w:r>
          <w:r>
            <w:rPr>
              <w:color w:val="64748B"/>
              <w:sz w:val="17"/>
            </w:rPr>
            <w:t>Doc ID: SWP-AGRU-P101A-001  |  Rev: 0  |  ISO 45001 Aligned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