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8"/>
        </w:rPr>
        <w:t>Woodfibre LNG Project</w:t>
      </w:r>
    </w:p>
    <w:p>
      <w:pPr>
        <w:spacing w:after="240"/>
      </w:pPr>
      <w:r>
        <w:rPr>
          <w:rFonts w:ascii="Calibri" w:hAnsi="Calibri"/>
          <w:b/>
          <w:color w:val="008080"/>
          <w:sz w:val="34"/>
        </w:rPr>
        <w:t>TRANSITIONAL SAFETY MANAGEMENT PLAN (TSMP)</w:t>
      </w:r>
    </w:p>
    <w:p>
      <w:pPr>
        <w:spacing w:after="320"/>
      </w:pPr>
      <w:r>
        <w:rPr>
          <w:rFonts w:ascii="Calibri" w:hAnsi="Calibri"/>
          <w:i/>
          <w:color w:val="555555"/>
          <w:sz w:val="19"/>
        </w:rPr>
        <w:t>Document ID: TSMP-PLN-001  |  Version: 3.0 (Master Fully Populated Plan)  |  Owner: Joint HSSE &amp; Operations Steering Committee</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left w:val="single" w:sz="36" w:space="0" w:color="008080"/>
              <w:top w:val="none"/>
              <w:right w:val="none"/>
              <w:bottom w:val="none"/>
            </w:tcBorders>
          </w:tcPr>
          <w:p>
            <w:pPr>
              <w:spacing w:before="40" w:after="40"/>
            </w:pPr>
            <w:r>
              <w:rPr>
                <w:rFonts w:ascii="Calibri" w:hAnsi="Calibri"/>
                <w:b/>
                <w:color w:val="008080"/>
                <w:sz w:val="20"/>
              </w:rPr>
              <w:t xml:space="preserve">[MASTER TSMP EXECUTION PLAN] </w:t>
            </w:r>
            <w:r>
              <w:rPr>
                <w:rFonts w:ascii="Calibri" w:hAnsi="Calibri"/>
                <w:color w:val="333333"/>
                <w:sz w:val="19"/>
              </w:rPr>
              <w:t>This Master Transitional Safety Management Plan (TSMP) is 100% fully populated across all 10 Sections and 37 Subsections of the Master Table of Contents. It provides comprehensive operational rules, step-by-step procedures, RACIS matrices, and explicit CURRENT BASELINE vs. TARGET TSMP comparison callouts under every section.</w:t>
            </w:r>
          </w:p>
        </w:tc>
      </w:tr>
    </w:tbl>
    <w:p>
      <w:pPr>
        <w:spacing w:after="80"/>
      </w:pPr>
    </w:p>
    <w:p>
      <w:pPr>
        <w:keepNext/>
        <w:spacing w:before="220" w:after="80"/>
      </w:pPr>
      <w:r>
        <w:rPr>
          <w:rFonts w:ascii="Calibri" w:hAnsi="Calibri"/>
          <w:b/>
          <w:color w:val="008080"/>
          <w:sz w:val="24"/>
        </w:rPr>
        <w:t>Figure 1: Master TSMP Architecture (Current Baseline vs. Target State)</w:t>
      </w:r>
    </w:p>
    <w:p>
      <w:pPr>
        <w:jc w:val="center"/>
      </w:pPr>
      <w:r>
        <w:drawing>
          <wp:inline xmlns:a="http://schemas.openxmlformats.org/drawingml/2006/main" xmlns:pic="http://schemas.openxmlformats.org/drawingml/2006/picture">
            <wp:extent cx="5943600" cy="2343149"/>
            <wp:docPr id="1" name="Picture 1"/>
            <wp:cNvGraphicFramePr>
              <a:graphicFrameLocks noChangeAspect="1"/>
            </wp:cNvGraphicFramePr>
            <a:graphic>
              <a:graphicData uri="http://schemas.openxmlformats.org/drawingml/2006/picture">
                <pic:pic>
                  <pic:nvPicPr>
                    <pic:cNvPr id="0" name="tsmp_full_architecture.png"/>
                    <pic:cNvPicPr/>
                  </pic:nvPicPr>
                  <pic:blipFill>
                    <a:blip r:embed="rId10"/>
                    <a:stretch>
                      <a:fillRect/>
                    </a:stretch>
                  </pic:blipFill>
                  <pic:spPr>
                    <a:xfrm>
                      <a:off x="0" y="0"/>
                      <a:ext cx="5943600" cy="2343149"/>
                    </a:xfrm>
                    <a:prstGeom prst="rect"/>
                  </pic:spPr>
                </pic:pic>
              </a:graphicData>
            </a:graphic>
          </wp:inline>
        </w:drawing>
      </w:r>
    </w:p>
    <w:p>
      <w:pPr>
        <w:spacing w:after="200"/>
      </w:pPr>
    </w:p>
    <w:p>
      <w:pPr>
        <w:keepNext/>
        <w:spacing w:before="280" w:after="120"/>
      </w:pPr>
      <w:r>
        <w:rPr>
          <w:rFonts w:ascii="Calibri" w:hAnsi="Calibri"/>
          <w:b/>
          <w:color w:val="1B365D"/>
          <w:sz w:val="30"/>
        </w:rPr>
        <w:t>SECTION 1.0: PURPOSE, SCOPE &amp; TRANSITION MILESTONES</w:t>
      </w:r>
    </w:p>
    <w:p>
      <w:pPr>
        <w:keepNext/>
        <w:spacing w:before="220" w:after="80"/>
      </w:pPr>
      <w:r>
        <w:rPr>
          <w:rFonts w:ascii="Calibri" w:hAnsi="Calibri"/>
          <w:b/>
          <w:color w:val="008080"/>
          <w:sz w:val="24"/>
        </w:rPr>
        <w:t>1.1 Purpose &amp; Execution Scope</w:t>
      </w:r>
    </w:p>
    <w:p>
      <w:pPr>
        <w:keepNext/>
        <w:spacing w:before="160" w:after="40"/>
      </w:pPr>
      <w:r>
        <w:rPr>
          <w:rFonts w:ascii="Calibri" w:hAnsi="Calibri"/>
          <w:b/>
          <w:color w:val="1B365D"/>
          <w:sz w:val="21"/>
        </w:rPr>
        <w:t>1.1.1 Governance Bridge between EPC Construction Rules and Owner OSMM</w:t>
      </w:r>
    </w:p>
    <w:p>
      <w:r>
        <w:t>This Transitional Safety Management Plan (TSMP) establishes the legally binding operational bridge between the EPC Contractor's Construction Safety Management Plan (350106-HS-PL-000001) and Woodfibre LNG's Operations Safety Management Manual (OSMM). During the multi-year transition phase, construction execution rules and operational process safety standards overlap within the same geographical footprint. The TSMP defines the exact hierarchy of authority, control-of-work protocols, and safety management requirements that govern this interface.</w:t>
      </w:r>
    </w:p>
    <w:p>
      <w:pPr>
        <w:keepNext/>
        <w:spacing w:before="160" w:after="40"/>
      </w:pPr>
      <w:r>
        <w:rPr>
          <w:rFonts w:ascii="Calibri" w:hAnsi="Calibri"/>
          <w:b/>
          <w:color w:val="1B365D"/>
          <w:sz w:val="21"/>
        </w:rPr>
        <w:t>1.1.2 Lifecycle Phases: Mechanical Completion (MC) -&gt; Pre-Commissioning -&gt; Commissioning -&gt; Hydrocarbon Intro -&gt; Handover</w:t>
      </w:r>
    </w:p>
    <w:p>
      <w:r>
        <w:t>The TSMP governs all safety interfaces across five defined lifecycle phase transitions:</w:t>
      </w:r>
    </w:p>
    <w:p>
      <w:pPr>
        <w:pStyle w:val="ListBullet"/>
      </w:pPr>
      <w:r>
        <w:t>Phase 1: Civil &amp; Mechanical Construction (EPC Controlled under s.118 Prime Contractor).</w:t>
      </w:r>
    </w:p>
    <w:p>
      <w:pPr>
        <w:pStyle w:val="ListBullet"/>
      </w:pPr>
      <w:r>
        <w:t>Phase 2: Static Pre-Commissioning &amp; Area Handover (Joint Construction/CSU Interface).</w:t>
      </w:r>
    </w:p>
    <w:p>
      <w:pPr>
        <w:pStyle w:val="ListBullet"/>
      </w:pPr>
      <w:r>
        <w:t>Phase 3: Ready for Commissioning (RFC) &amp; Dynamic Energization (CSU Authority).</w:t>
      </w:r>
    </w:p>
    <w:p>
      <w:pPr>
        <w:pStyle w:val="ListBullet"/>
      </w:pPr>
      <w:r>
        <w:t>Phase 4: Ready for Start-Up (RFSU), PSSR Gate &amp; Hydrocarbon Introduction (Woodfibre LNG Operations Authority).</w:t>
      </w:r>
    </w:p>
    <w:p>
      <w:pPr>
        <w:pStyle w:val="ListBullet"/>
      </w:pPr>
      <w:r>
        <w:t>Phase 5: Commercial Operation &amp; Final Completion (WLNG Operational Custody).</w:t>
      </w:r>
    </w:p>
    <w:p>
      <w:pPr>
        <w:keepNext/>
        <w:spacing w:before="220" w:after="80"/>
      </w:pPr>
      <w:r>
        <w:rPr>
          <w:rFonts w:ascii="Calibri" w:hAnsi="Calibri"/>
          <w:b/>
          <w:color w:val="008080"/>
          <w:sz w:val="24"/>
        </w:rPr>
        <w:t>1.2 Dispersed / Subsystem Turnover Execution Model</w:t>
      </w:r>
    </w:p>
    <w:p>
      <w:pPr>
        <w:keepNext/>
        <w:spacing w:before="160" w:after="40"/>
      </w:pPr>
      <w:r>
        <w:rPr>
          <w:rFonts w:ascii="Calibri" w:hAnsi="Calibri"/>
          <w:b/>
          <w:color w:val="1B365D"/>
          <w:sz w:val="21"/>
        </w:rPr>
        <w:t>1.2.1 Non-Linear System Handover Strategy</w:t>
      </w:r>
    </w:p>
    <w:p>
      <w:r>
        <w:t>Unlike conventional plants where entire geographical blocks are turned over at once, Woodfibre LNG utilizes a non-linear subsystem turnover strategy. Early utility subsystems (e.g., Instrument Air Compressors, Plant Nitrogen Storage, High-Voltage Substation 115kV, Marine Water Intake) will be energized, commissioned, and placed under Operations custody while surrounding civil, piping, and structural work continues actively in adjacent bays.</w:t>
      </w:r>
    </w:p>
    <w:p>
      <w:pPr>
        <w:keepNext/>
        <w:spacing w:before="160" w:after="40"/>
      </w:pPr>
      <w:r>
        <w:rPr>
          <w:rFonts w:ascii="Calibri" w:hAnsi="Calibri"/>
          <w:b/>
          <w:color w:val="1B365D"/>
          <w:sz w:val="21"/>
        </w:rPr>
        <w:t>1.2.2 Interface Control between Energized Subsystems and Active Construction Footprints</w:t>
      </w:r>
    </w:p>
    <w:p>
      <w:r>
        <w:t>To protect construction workers from high-energy hazards within turned-over subsystems, physical boundary physical barricading (solid rigid fencing/hard-barricading), high-visibility red live-system warning tags, cable lockouts on isolation valves, and daily SIMOPS interface meetings are mandatory.</w:t>
      </w:r>
    </w:p>
    <w:p>
      <w:pPr>
        <w:keepNext/>
        <w:spacing w:before="220" w:after="80"/>
      </w:pPr>
      <w:r>
        <w:rPr>
          <w:rFonts w:ascii="Calibri" w:hAnsi="Calibri"/>
          <w:b/>
          <w:color w:val="008080"/>
          <w:sz w:val="24"/>
        </w:rPr>
        <w:t>1.3 Statutory &amp; Regulatory Approvals Gate</w:t>
      </w:r>
    </w:p>
    <w:p>
      <w:pPr>
        <w:keepNext/>
        <w:spacing w:before="160" w:after="40"/>
      </w:pPr>
      <w:r>
        <w:rPr>
          <w:rFonts w:ascii="Calibri" w:hAnsi="Calibri"/>
          <w:b/>
          <w:color w:val="1B365D"/>
          <w:sz w:val="21"/>
        </w:rPr>
        <w:t>1.3.1 BCER Commissioning Consent &amp; Testing Notifications</w:t>
      </w:r>
    </w:p>
    <w:p>
      <w:r>
        <w:t>All commissioning activities involving live utilities, chemical cleaning, nitrogen purging, or hydrocarbon introduction must strictly comply with BC Energy Regulator (BCER) LNG Facility Regulation requirements. Written BCER commissioning consent and 14-day advance testing notifications are mandatory before initiating dynamic testing.</w:t>
      </w:r>
    </w:p>
    <w:p>
      <w:pPr>
        <w:keepNext/>
        <w:spacing w:before="160" w:after="40"/>
      </w:pPr>
      <w:r>
        <w:rPr>
          <w:rFonts w:ascii="Calibri" w:hAnsi="Calibri"/>
          <w:b/>
          <w:color w:val="1B365D"/>
          <w:sz w:val="21"/>
        </w:rPr>
        <w:t>1.3.2 Technical Safety BC (TSBC) Operating Permits &amp; Inspection Sign-Offs</w:t>
      </w:r>
    </w:p>
    <w:p>
      <w:r>
        <w:t>No electrical substation, high-voltage transformer, pressure vessel, or boiler system shall be energized or pressurized without verified Technical Safety BC (TSBC) operating permits and formal safety inspector sign-offs on file.</w:t>
      </w:r>
    </w:p>
    <w:tbl>
      <w:tblPr>
        <w:tblW w:type="auto" w:w="0"/>
        <w:jc w:val="center"/>
        <w:tblLayout w:type="fixed"/>
        <w:tblLook w:firstColumn="1" w:firstRow="1" w:lastColumn="0" w:lastRow="0" w:noHBand="0" w:noVBand="1" w:val="04A0"/>
      </w:tblPr>
      <w:tblGrid>
        <w:gridCol w:w="9360"/>
      </w:tblGrid>
      <w:tr>
        <w:tc>
          <w:tcPr>
            <w:tcW w:type="dxa" w:w="9360"/>
            <w:shd w:fill="#FFF8E7"/>
            <w:tcMar>
              <w:top w:w="120" w:type="dxa"/>
              <w:bottom w:w="120" w:type="dxa"/>
              <w:left w:w="180" w:type="dxa"/>
              <w:right w:w="180" w:type="dxa"/>
            </w:tcMar>
            <w:tcBorders>
              <w:left w:val="single" w:sz="36" w:space="0" w:color="D4AF37"/>
              <w:top w:val="none"/>
              <w:right w:val="none"/>
              <w:bottom w:val="none"/>
            </w:tcBorders>
          </w:tcPr>
          <w:p>
            <w:pPr>
              <w:spacing w:before="40" w:after="40"/>
            </w:pPr>
            <w:r>
              <w:rPr>
                <w:rFonts w:ascii="Calibri" w:hAnsi="Calibri"/>
                <w:b/>
                <w:color w:val="856404"/>
                <w:sz w:val="20"/>
              </w:rPr>
              <w:t xml:space="preserve">[CURRENT VS. TARGET COMPARISON] </w:t>
            </w:r>
            <w:r>
              <w:rPr>
                <w:rFonts w:ascii="Calibri" w:hAnsi="Calibri"/>
                <w:color w:val="333333"/>
                <w:sz w:val="19"/>
              </w:rPr>
              <w:t>SECTION 1.0 GAP ANALYSIS:</w:t>
              <w:br/>
              <w:t>• Current Baseline: Generic transition plan based solely on physical construction progress without regulatory phase gate definitions.</w:t>
              <w:br/>
              <w:t>• Target TSMP State: Non-linear utility turnover controls, physical live-system boundary fencing, and mandatory BCER/TSBC statutory hold points.</w:t>
            </w:r>
          </w:p>
        </w:tc>
      </w:tr>
    </w:tbl>
    <w:p>
      <w:pPr>
        <w:spacing w:after="80"/>
      </w:pPr>
    </w:p>
    <w:p>
      <w:pPr>
        <w:keepNext/>
        <w:spacing w:before="280" w:after="120"/>
      </w:pPr>
      <w:r>
        <w:rPr>
          <w:rFonts w:ascii="Calibri" w:hAnsi="Calibri"/>
          <w:b/>
          <w:color w:val="1B365D"/>
          <w:sz w:val="30"/>
        </w:rPr>
        <w:t>SECTION 2.0: TRANSITIONAL ROLES, RESPONSIBILITIES &amp; AUTHORITY MATRIX</w:t>
      </w:r>
    </w:p>
    <w:p>
      <w:pPr>
        <w:keepNext/>
        <w:spacing w:before="220" w:after="80"/>
      </w:pPr>
      <w:r>
        <w:rPr>
          <w:rFonts w:ascii="Calibri" w:hAnsi="Calibri"/>
          <w:b/>
          <w:color w:val="008080"/>
          <w:sz w:val="24"/>
        </w:rPr>
        <w:t>2.1 WorkSafeBC Prime Contractor Governance during Transition</w:t>
      </w:r>
    </w:p>
    <w:p>
      <w:pPr>
        <w:keepNext/>
        <w:spacing w:before="160" w:after="40"/>
      </w:pPr>
      <w:r>
        <w:rPr>
          <w:rFonts w:ascii="Calibri" w:hAnsi="Calibri"/>
          <w:b/>
          <w:color w:val="1B365D"/>
          <w:sz w:val="21"/>
        </w:rPr>
        <w:t>2.1.1 Owner Prime Contractor Overall Site Safety Authority</w:t>
      </w:r>
    </w:p>
    <w:p>
      <w:r>
        <w:t>Under Section 118 of the British Columbia Workers Compensation Act, Woodfibre LNG Management Ltd. retains overall Prime Contractor site safety authority across all project land and marine footprints. Woodfibre LNG maintains unannounced auditing, stop-work authority, and site access suspension powers over all employers.</w:t>
      </w:r>
    </w:p>
    <w:p>
      <w:pPr>
        <w:keepNext/>
        <w:spacing w:before="160" w:after="40"/>
      </w:pPr>
      <w:r>
        <w:rPr>
          <w:rFonts w:ascii="Calibri" w:hAnsi="Calibri"/>
          <w:b/>
          <w:color w:val="1B365D"/>
          <w:sz w:val="21"/>
        </w:rPr>
        <w:t>2.1.2 Owner Safety Oversight Structure in Multi-Employer Environment</w:t>
      </w:r>
    </w:p>
    <w:p>
      <w:r>
        <w:t>Woodfibre LNG establishes an integrated HSSE Oversight Team comprising Safety Specialists, Permit Auditors, Process Safety Engineers, and Emergency Response Officers who conduct 24/7 field verification across both construction-controlled and operations-controlled sectors.</w:t>
      </w:r>
    </w:p>
    <w:p>
      <w:pPr>
        <w:keepNext/>
        <w:spacing w:before="220" w:after="80"/>
      </w:pPr>
      <w:r>
        <w:rPr>
          <w:rFonts w:ascii="Calibri" w:hAnsi="Calibri"/>
          <w:b/>
          <w:color w:val="008080"/>
          <w:sz w:val="24"/>
        </w:rPr>
        <w:t>2.2 EPC Contractor Oversight &amp; Subcontractor Safety Alignment</w:t>
      </w:r>
    </w:p>
    <w:p>
      <w:pPr>
        <w:keepNext/>
        <w:spacing w:before="160" w:after="40"/>
      </w:pPr>
      <w:r>
        <w:rPr>
          <w:rFonts w:ascii="Calibri" w:hAnsi="Calibri"/>
          <w:b/>
          <w:color w:val="1B365D"/>
          <w:sz w:val="21"/>
        </w:rPr>
        <w:t>2.2.1 EPC Construction Oversight Responsibilities on Un-Turned-Over Assets</w:t>
      </w:r>
    </w:p>
    <w:p>
      <w:r>
        <w:t>The EPC Contractor (CB&amp;I) retains direct execution responsibility and field supervisory oversight for all static construction activities on un-turned-over assets, ensuring field-level hazard assessments (FLHAs) and EPC safety rules are enforced.</w:t>
      </w:r>
    </w:p>
    <w:p>
      <w:pPr>
        <w:keepNext/>
        <w:spacing w:before="160" w:after="40"/>
      </w:pPr>
      <w:r>
        <w:rPr>
          <w:rFonts w:ascii="Calibri" w:hAnsi="Calibri"/>
          <w:b/>
          <w:color w:val="1B365D"/>
          <w:sz w:val="21"/>
        </w:rPr>
        <w:t>2.2.2 Subcontractor Safety Alignment &amp; Compliance Enforcement</w:t>
      </w:r>
    </w:p>
    <w:p>
      <w:r>
        <w:t>EPC shall ensure all tier-1 and lower-tier subcontractors fully adopt the TSMP controls, attend mandatory transition orientation, and comply with cross-boundary permitting protocols.</w:t>
      </w:r>
    </w:p>
    <w:p>
      <w:pPr>
        <w:keepNext/>
        <w:spacing w:before="220" w:after="80"/>
      </w:pPr>
      <w:r>
        <w:rPr>
          <w:rFonts w:ascii="Calibri" w:hAnsi="Calibri"/>
          <w:b/>
          <w:color w:val="008080"/>
          <w:sz w:val="24"/>
        </w:rPr>
        <w:t>2.3 Owner Operations &amp; Commissioning Team Authority</w:t>
      </w:r>
    </w:p>
    <w:p>
      <w:pPr>
        <w:keepNext/>
        <w:spacing w:before="160" w:after="40"/>
      </w:pPr>
      <w:r>
        <w:rPr>
          <w:rFonts w:ascii="Calibri" w:hAnsi="Calibri"/>
          <w:b/>
          <w:color w:val="1B365D"/>
          <w:sz w:val="21"/>
        </w:rPr>
        <w:t>2.3.1 Commissioning Manager &amp; Area Isolation Authority Powers</w:t>
      </w:r>
    </w:p>
    <w:p>
      <w:r>
        <w:t>The Commissioning Manager holds exclusive operational authority over systems accepted under Ready for Commissioning (RFC) status, governing all test procedures, temporary strainers, boundary locks, and energized testing.</w:t>
      </w:r>
    </w:p>
    <w:p>
      <w:pPr>
        <w:keepNext/>
        <w:spacing w:before="160" w:after="40"/>
      </w:pPr>
      <w:r>
        <w:rPr>
          <w:rFonts w:ascii="Calibri" w:hAnsi="Calibri"/>
          <w:b/>
          <w:color w:val="1B365D"/>
          <w:sz w:val="21"/>
        </w:rPr>
        <w:t>2.3.2 Operations Permit Issuing Authority on Turned-Over Assets</w:t>
      </w:r>
    </w:p>
    <w:p>
      <w:r>
        <w:t>Upon Ready for Start-Up (RFSU) or Area Handover Certificate (AHC) execution, the designated Woodfibre LNG Operations Area Authority assumes sole permit-issuing authority. No construction or maintenance work may occur on turned-over assets without an Operations-issued PTW.</w:t>
      </w:r>
    </w:p>
    <w:p>
      <w:pPr>
        <w:keepNext/>
        <w:spacing w:before="220" w:after="80"/>
      </w:pPr>
      <w:r>
        <w:rPr>
          <w:rFonts w:ascii="Calibri" w:hAnsi="Calibri"/>
          <w:b/>
          <w:color w:val="008080"/>
          <w:sz w:val="24"/>
        </w:rPr>
        <w:t>2.4 Interface &amp; Authority Matrix (RACIS Chart)</w:t>
      </w:r>
    </w:p>
    <w:p>
      <w:pPr>
        <w:keepNext/>
        <w:spacing w:before="160" w:after="40"/>
      </w:pPr>
      <w:r>
        <w:rPr>
          <w:rFonts w:ascii="Calibri" w:hAnsi="Calibri"/>
          <w:b/>
          <w:color w:val="1B365D"/>
          <w:sz w:val="21"/>
        </w:rPr>
        <w:t>2.4.1 System Handover RACIS Matrix</w:t>
      </w:r>
    </w:p>
    <w:p>
      <w:r>
        <w:t>The RACIS chart below defines primary accountabilities across the five key stakeholder groups (R = Responsible, A = Accountable, C = Consulted, I = Informed, S = Support):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Mar>
              <w:top w:w="100" w:type="dxa"/>
              <w:bottom w:w="100" w:type="dxa"/>
              <w:left w:w="120" w:type="dxa"/>
              <w:right w:w="120" w:type="dxa"/>
            </w:tcMar>
          </w:tcPr>
          <w:p>
            <w:pPr>
              <w:jc w:val="left"/>
            </w:pPr>
            <w:r>
              <w:rPr>
                <w:rFonts w:ascii="Calibri" w:hAnsi="Calibri"/>
                <w:b/>
                <w:color w:val="FFFFFF"/>
                <w:sz w:val="19"/>
              </w:rPr>
              <w:t>Transition Scope / Activity</w:t>
            </w:r>
          </w:p>
        </w:tc>
        <w:tc>
          <w:tcPr>
            <w:tcW w:type="dxa" w:w="1560"/>
            <w:shd w:fill="1B365D"/>
            <w:tcMar>
              <w:top w:w="100" w:type="dxa"/>
              <w:bottom w:w="100" w:type="dxa"/>
              <w:left w:w="120" w:type="dxa"/>
              <w:right w:w="120" w:type="dxa"/>
            </w:tcMar>
          </w:tcPr>
          <w:p>
            <w:pPr>
              <w:jc w:val="left"/>
            </w:pPr>
            <w:r>
              <w:rPr>
                <w:rFonts w:ascii="Calibri" w:hAnsi="Calibri"/>
                <w:b/>
                <w:color w:val="FFFFFF"/>
                <w:sz w:val="19"/>
              </w:rPr>
              <w:t>EPC Construction</w:t>
            </w:r>
          </w:p>
        </w:tc>
        <w:tc>
          <w:tcPr>
            <w:tcW w:type="dxa" w:w="1560"/>
            <w:shd w:fill="1B365D"/>
            <w:tcMar>
              <w:top w:w="100" w:type="dxa"/>
              <w:bottom w:w="100" w:type="dxa"/>
              <w:left w:w="120" w:type="dxa"/>
              <w:right w:w="120" w:type="dxa"/>
            </w:tcMar>
          </w:tcPr>
          <w:p>
            <w:pPr>
              <w:jc w:val="left"/>
            </w:pPr>
            <w:r>
              <w:rPr>
                <w:rFonts w:ascii="Calibri" w:hAnsi="Calibri"/>
                <w:b/>
                <w:color w:val="FFFFFF"/>
                <w:sz w:val="19"/>
              </w:rPr>
              <w:t>CSU Commissioning</w:t>
            </w:r>
          </w:p>
        </w:tc>
        <w:tc>
          <w:tcPr>
            <w:tcW w:type="dxa" w:w="1560"/>
            <w:shd w:fill="1B365D"/>
            <w:tcMar>
              <w:top w:w="100" w:type="dxa"/>
              <w:bottom w:w="100" w:type="dxa"/>
              <w:left w:w="120" w:type="dxa"/>
              <w:right w:w="120" w:type="dxa"/>
            </w:tcMar>
          </w:tcPr>
          <w:p>
            <w:pPr>
              <w:jc w:val="left"/>
            </w:pPr>
            <w:r>
              <w:rPr>
                <w:rFonts w:ascii="Calibri" w:hAnsi="Calibri"/>
                <w:b/>
                <w:color w:val="FFFFFF"/>
                <w:sz w:val="19"/>
              </w:rPr>
              <w:t>WLNG Operations</w:t>
            </w:r>
          </w:p>
        </w:tc>
        <w:tc>
          <w:tcPr>
            <w:tcW w:type="dxa" w:w="1560"/>
            <w:shd w:fill="1B365D"/>
            <w:tcMar>
              <w:top w:w="100" w:type="dxa"/>
              <w:bottom w:w="100" w:type="dxa"/>
              <w:left w:w="120" w:type="dxa"/>
              <w:right w:w="120" w:type="dxa"/>
            </w:tcMar>
          </w:tcPr>
          <w:p>
            <w:pPr>
              <w:jc w:val="left"/>
            </w:pPr>
            <w:r>
              <w:rPr>
                <w:rFonts w:ascii="Calibri" w:hAnsi="Calibri"/>
                <w:b/>
                <w:color w:val="FFFFFF"/>
                <w:sz w:val="19"/>
              </w:rPr>
              <w:t>Owner HSSE</w:t>
            </w:r>
          </w:p>
        </w:tc>
        <w:tc>
          <w:tcPr>
            <w:tcW w:type="dxa" w:w="1560"/>
            <w:shd w:fill="1B365D"/>
            <w:tcMar>
              <w:top w:w="100" w:type="dxa"/>
              <w:bottom w:w="100" w:type="dxa"/>
              <w:left w:w="120" w:type="dxa"/>
              <w:right w:w="120" w:type="dxa"/>
            </w:tcMar>
          </w:tcPr>
          <w:p>
            <w:pPr>
              <w:jc w:val="left"/>
            </w:pPr>
            <w:r>
              <w:rPr>
                <w:rFonts w:ascii="Calibri" w:hAnsi="Calibri"/>
                <w:b/>
                <w:color w:val="FFFFFF"/>
                <w:sz w:val="19"/>
              </w:rPr>
              <w:t>Subcontractors</w:t>
            </w:r>
          </w:p>
        </w:tc>
      </w:tr>
      <w:tr>
        <w:tc>
          <w:tcPr>
            <w:tcW w:type="dxa" w:w="1560"/>
            <w:shd w:fill="F9FAFC"/>
            <w:tcMar>
              <w:top w:w="80" w:type="dxa"/>
              <w:bottom w:w="80" w:type="dxa"/>
              <w:left w:w="120" w:type="dxa"/>
              <w:right w:w="120" w:type="dxa"/>
            </w:tcMar>
          </w:tcPr>
          <w:p>
            <w:r>
              <w:rPr>
                <w:rFonts w:ascii="Calibri" w:hAnsi="Calibri"/>
                <w:color w:val="333333"/>
                <w:sz w:val="18"/>
              </w:rPr>
              <w:t>Area Handover Cert (AHC)</w:t>
            </w:r>
          </w:p>
        </w:tc>
        <w:tc>
          <w:tcPr>
            <w:tcW w:type="dxa" w:w="1560"/>
            <w:shd w:fill="F9FAFC"/>
            <w:tcMar>
              <w:top w:w="80" w:type="dxa"/>
              <w:bottom w:w="80" w:type="dxa"/>
              <w:left w:w="120" w:type="dxa"/>
              <w:right w:w="120" w:type="dxa"/>
            </w:tcMar>
          </w:tcPr>
          <w:p>
            <w:r>
              <w:rPr>
                <w:rFonts w:ascii="Calibri" w:hAnsi="Calibri"/>
                <w:color w:val="333333"/>
                <w:sz w:val="18"/>
              </w:rPr>
              <w:t>Responsible</w:t>
            </w:r>
          </w:p>
        </w:tc>
        <w:tc>
          <w:tcPr>
            <w:tcW w:type="dxa" w:w="1560"/>
            <w:shd w:fill="F9FAFC"/>
            <w:tcMar>
              <w:top w:w="80" w:type="dxa"/>
              <w:bottom w:w="80" w:type="dxa"/>
              <w:left w:w="120" w:type="dxa"/>
              <w:right w:w="120" w:type="dxa"/>
            </w:tcMar>
          </w:tcPr>
          <w:p>
            <w:r>
              <w:rPr>
                <w:rFonts w:ascii="Calibri" w:hAnsi="Calibri"/>
                <w:color w:val="333333"/>
                <w:sz w:val="18"/>
              </w:rPr>
              <w:t>Accountable</w:t>
            </w:r>
          </w:p>
        </w:tc>
        <w:tc>
          <w:tcPr>
            <w:tcW w:type="dxa" w:w="1560"/>
            <w:shd w:fill="F9FAFC"/>
            <w:tcMar>
              <w:top w:w="80" w:type="dxa"/>
              <w:bottom w:w="80" w:type="dxa"/>
              <w:left w:w="120" w:type="dxa"/>
              <w:right w:w="120" w:type="dxa"/>
            </w:tcMar>
          </w:tcPr>
          <w:p>
            <w:r>
              <w:rPr>
                <w:rFonts w:ascii="Calibri" w:hAnsi="Calibri"/>
                <w:color w:val="333333"/>
                <w:sz w:val="18"/>
              </w:rPr>
              <w:t>Consulted</w:t>
            </w:r>
          </w:p>
        </w:tc>
        <w:tc>
          <w:tcPr>
            <w:tcW w:type="dxa" w:w="1560"/>
            <w:shd w:fill="F9FAFC"/>
            <w:tcMar>
              <w:top w:w="80" w:type="dxa"/>
              <w:bottom w:w="80" w:type="dxa"/>
              <w:left w:w="120" w:type="dxa"/>
              <w:right w:w="120" w:type="dxa"/>
            </w:tcMar>
          </w:tcPr>
          <w:p>
            <w:r>
              <w:rPr>
                <w:rFonts w:ascii="Calibri" w:hAnsi="Calibri"/>
                <w:color w:val="333333"/>
                <w:sz w:val="18"/>
              </w:rPr>
              <w:t>Support</w:t>
            </w:r>
          </w:p>
        </w:tc>
        <w:tc>
          <w:tcPr>
            <w:tcW w:type="dxa" w:w="1560"/>
            <w:shd w:fill="F9FAFC"/>
            <w:tcMar>
              <w:top w:w="80" w:type="dxa"/>
              <w:bottom w:w="80" w:type="dxa"/>
              <w:left w:w="120" w:type="dxa"/>
              <w:right w:w="120" w:type="dxa"/>
            </w:tcMar>
          </w:tcPr>
          <w:p>
            <w:r>
              <w:rPr>
                <w:rFonts w:ascii="Calibri" w:hAnsi="Calibri"/>
                <w:color w:val="333333"/>
                <w:sz w:val="18"/>
              </w:rPr>
              <w:t>Informed</w:t>
            </w:r>
          </w:p>
        </w:tc>
      </w:tr>
      <w:tr>
        <w:tc>
          <w:tcPr>
            <w:tcW w:type="dxa" w:w="1560"/>
            <w:shd w:fill="FFFFFF"/>
            <w:tcMar>
              <w:top w:w="80" w:type="dxa"/>
              <w:bottom w:w="80" w:type="dxa"/>
              <w:left w:w="120" w:type="dxa"/>
              <w:right w:w="120" w:type="dxa"/>
            </w:tcMar>
          </w:tcPr>
          <w:p>
            <w:r>
              <w:rPr>
                <w:rFonts w:ascii="Calibri" w:hAnsi="Calibri"/>
                <w:color w:val="333333"/>
                <w:sz w:val="18"/>
              </w:rPr>
              <w:t>Boundary Isolation &amp; LOTO</w:t>
            </w:r>
          </w:p>
        </w:tc>
        <w:tc>
          <w:tcPr>
            <w:tcW w:type="dxa" w:w="1560"/>
            <w:shd w:fill="FFFFFF"/>
            <w:tcMar>
              <w:top w:w="80" w:type="dxa"/>
              <w:bottom w:w="80" w:type="dxa"/>
              <w:left w:w="120" w:type="dxa"/>
              <w:right w:w="120" w:type="dxa"/>
            </w:tcMar>
          </w:tcPr>
          <w:p>
            <w:r>
              <w:rPr>
                <w:rFonts w:ascii="Calibri" w:hAnsi="Calibri"/>
                <w:color w:val="333333"/>
                <w:sz w:val="18"/>
              </w:rPr>
              <w:t>Support</w:t>
            </w:r>
          </w:p>
        </w:tc>
        <w:tc>
          <w:tcPr>
            <w:tcW w:type="dxa" w:w="1560"/>
            <w:shd w:fill="FFFFFF"/>
            <w:tcMar>
              <w:top w:w="80" w:type="dxa"/>
              <w:bottom w:w="80" w:type="dxa"/>
              <w:left w:w="120" w:type="dxa"/>
              <w:right w:w="120" w:type="dxa"/>
            </w:tcMar>
          </w:tcPr>
          <w:p>
            <w:r>
              <w:rPr>
                <w:rFonts w:ascii="Calibri" w:hAnsi="Calibri"/>
                <w:color w:val="333333"/>
                <w:sz w:val="18"/>
              </w:rPr>
              <w:t>Accountable</w:t>
            </w:r>
          </w:p>
        </w:tc>
        <w:tc>
          <w:tcPr>
            <w:tcW w:type="dxa" w:w="1560"/>
            <w:shd w:fill="FFFFFF"/>
            <w:tcMar>
              <w:top w:w="80" w:type="dxa"/>
              <w:bottom w:w="80" w:type="dxa"/>
              <w:left w:w="120" w:type="dxa"/>
              <w:right w:w="120" w:type="dxa"/>
            </w:tcMar>
          </w:tcPr>
          <w:p>
            <w:r>
              <w:rPr>
                <w:rFonts w:ascii="Calibri" w:hAnsi="Calibri"/>
                <w:color w:val="333333"/>
                <w:sz w:val="18"/>
              </w:rPr>
              <w:t>Consulted</w:t>
            </w:r>
          </w:p>
        </w:tc>
        <w:tc>
          <w:tcPr>
            <w:tcW w:type="dxa" w:w="1560"/>
            <w:shd w:fill="FFFFFF"/>
            <w:tcMar>
              <w:top w:w="80" w:type="dxa"/>
              <w:bottom w:w="80" w:type="dxa"/>
              <w:left w:w="120" w:type="dxa"/>
              <w:right w:w="120" w:type="dxa"/>
            </w:tcMar>
          </w:tcPr>
          <w:p>
            <w:r>
              <w:rPr>
                <w:rFonts w:ascii="Calibri" w:hAnsi="Calibri"/>
                <w:color w:val="333333"/>
                <w:sz w:val="18"/>
              </w:rPr>
              <w:t>Support</w:t>
            </w:r>
          </w:p>
        </w:tc>
        <w:tc>
          <w:tcPr>
            <w:tcW w:type="dxa" w:w="1560"/>
            <w:shd w:fill="FFFFFF"/>
            <w:tcMar>
              <w:top w:w="80" w:type="dxa"/>
              <w:bottom w:w="80" w:type="dxa"/>
              <w:left w:w="120" w:type="dxa"/>
              <w:right w:w="120" w:type="dxa"/>
            </w:tcMar>
          </w:tcPr>
          <w:p>
            <w:r>
              <w:rPr>
                <w:rFonts w:ascii="Calibri" w:hAnsi="Calibri"/>
                <w:color w:val="333333"/>
                <w:sz w:val="18"/>
              </w:rPr>
              <w:t>Informed</w:t>
            </w:r>
          </w:p>
        </w:tc>
      </w:tr>
      <w:tr>
        <w:tc>
          <w:tcPr>
            <w:tcW w:type="dxa" w:w="1560"/>
            <w:shd w:fill="F9FAFC"/>
            <w:tcMar>
              <w:top w:w="80" w:type="dxa"/>
              <w:bottom w:w="80" w:type="dxa"/>
              <w:left w:w="120" w:type="dxa"/>
              <w:right w:w="120" w:type="dxa"/>
            </w:tcMar>
          </w:tcPr>
          <w:p>
            <w:r>
              <w:rPr>
                <w:rFonts w:ascii="Calibri" w:hAnsi="Calibri"/>
                <w:color w:val="333333"/>
                <w:sz w:val="18"/>
              </w:rPr>
              <w:t>Commissioning PTW Issuance</w:t>
            </w:r>
          </w:p>
        </w:tc>
        <w:tc>
          <w:tcPr>
            <w:tcW w:type="dxa" w:w="1560"/>
            <w:shd w:fill="F9FAFC"/>
            <w:tcMar>
              <w:top w:w="80" w:type="dxa"/>
              <w:bottom w:w="80" w:type="dxa"/>
              <w:left w:w="120" w:type="dxa"/>
              <w:right w:w="120" w:type="dxa"/>
            </w:tcMar>
          </w:tcPr>
          <w:p>
            <w:r>
              <w:rPr>
                <w:rFonts w:ascii="Calibri" w:hAnsi="Calibri"/>
                <w:color w:val="333333"/>
                <w:sz w:val="18"/>
              </w:rPr>
              <w:t>Informed</w:t>
            </w:r>
          </w:p>
        </w:tc>
        <w:tc>
          <w:tcPr>
            <w:tcW w:type="dxa" w:w="1560"/>
            <w:shd w:fill="F9FAFC"/>
            <w:tcMar>
              <w:top w:w="80" w:type="dxa"/>
              <w:bottom w:w="80" w:type="dxa"/>
              <w:left w:w="120" w:type="dxa"/>
              <w:right w:w="120" w:type="dxa"/>
            </w:tcMar>
          </w:tcPr>
          <w:p>
            <w:r>
              <w:rPr>
                <w:rFonts w:ascii="Calibri" w:hAnsi="Calibri"/>
                <w:color w:val="333333"/>
                <w:sz w:val="18"/>
              </w:rPr>
              <w:t>Accountable</w:t>
            </w:r>
          </w:p>
        </w:tc>
        <w:tc>
          <w:tcPr>
            <w:tcW w:type="dxa" w:w="1560"/>
            <w:shd w:fill="F9FAFC"/>
            <w:tcMar>
              <w:top w:w="80" w:type="dxa"/>
              <w:bottom w:w="80" w:type="dxa"/>
              <w:left w:w="120" w:type="dxa"/>
              <w:right w:w="120" w:type="dxa"/>
            </w:tcMar>
          </w:tcPr>
          <w:p>
            <w:r>
              <w:rPr>
                <w:rFonts w:ascii="Calibri" w:hAnsi="Calibri"/>
                <w:color w:val="333333"/>
                <w:sz w:val="18"/>
              </w:rPr>
              <w:t>Consulted</w:t>
            </w:r>
          </w:p>
        </w:tc>
        <w:tc>
          <w:tcPr>
            <w:tcW w:type="dxa" w:w="1560"/>
            <w:shd w:fill="F9FAFC"/>
            <w:tcMar>
              <w:top w:w="80" w:type="dxa"/>
              <w:bottom w:w="80" w:type="dxa"/>
              <w:left w:w="120" w:type="dxa"/>
              <w:right w:w="120" w:type="dxa"/>
            </w:tcMar>
          </w:tcPr>
          <w:p>
            <w:r>
              <w:rPr>
                <w:rFonts w:ascii="Calibri" w:hAnsi="Calibri"/>
                <w:color w:val="333333"/>
                <w:sz w:val="18"/>
              </w:rPr>
              <w:t>Support</w:t>
            </w:r>
          </w:p>
        </w:tc>
        <w:tc>
          <w:tcPr>
            <w:tcW w:type="dxa" w:w="1560"/>
            <w:shd w:fill="F9FAFC"/>
            <w:tcMar>
              <w:top w:w="80" w:type="dxa"/>
              <w:bottom w:w="80" w:type="dxa"/>
              <w:left w:w="120" w:type="dxa"/>
              <w:right w:w="120" w:type="dxa"/>
            </w:tcMar>
          </w:tcPr>
          <w:p>
            <w:r>
              <w:rPr>
                <w:rFonts w:ascii="Calibri" w:hAnsi="Calibri"/>
                <w:color w:val="333333"/>
                <w:sz w:val="18"/>
              </w:rPr>
              <w:t>Informed</w:t>
            </w:r>
          </w:p>
        </w:tc>
      </w:tr>
      <w:tr>
        <w:tc>
          <w:tcPr>
            <w:tcW w:type="dxa" w:w="1560"/>
            <w:shd w:fill="FFFFFF"/>
            <w:tcMar>
              <w:top w:w="80" w:type="dxa"/>
              <w:bottom w:w="80" w:type="dxa"/>
              <w:left w:w="120" w:type="dxa"/>
              <w:right w:w="120" w:type="dxa"/>
            </w:tcMar>
          </w:tcPr>
          <w:p>
            <w:r>
              <w:rPr>
                <w:rFonts w:ascii="Calibri" w:hAnsi="Calibri"/>
                <w:color w:val="333333"/>
                <w:sz w:val="18"/>
              </w:rPr>
              <w:t>Operational PTW (Live Assets)</w:t>
            </w:r>
          </w:p>
        </w:tc>
        <w:tc>
          <w:tcPr>
            <w:tcW w:type="dxa" w:w="1560"/>
            <w:shd w:fill="FFFFFF"/>
            <w:tcMar>
              <w:top w:w="80" w:type="dxa"/>
              <w:bottom w:w="80" w:type="dxa"/>
              <w:left w:w="120" w:type="dxa"/>
              <w:right w:w="120" w:type="dxa"/>
            </w:tcMar>
          </w:tcPr>
          <w:p>
            <w:r>
              <w:rPr>
                <w:rFonts w:ascii="Calibri" w:hAnsi="Calibri"/>
                <w:color w:val="333333"/>
                <w:sz w:val="18"/>
              </w:rPr>
              <w:t>Informed</w:t>
            </w:r>
          </w:p>
        </w:tc>
        <w:tc>
          <w:tcPr>
            <w:tcW w:type="dxa" w:w="1560"/>
            <w:shd w:fill="FFFFFF"/>
            <w:tcMar>
              <w:top w:w="80" w:type="dxa"/>
              <w:bottom w:w="80" w:type="dxa"/>
              <w:left w:w="120" w:type="dxa"/>
              <w:right w:w="120" w:type="dxa"/>
            </w:tcMar>
          </w:tcPr>
          <w:p>
            <w:r>
              <w:rPr>
                <w:rFonts w:ascii="Calibri" w:hAnsi="Calibri"/>
                <w:color w:val="333333"/>
                <w:sz w:val="18"/>
              </w:rPr>
              <w:t>Consulted</w:t>
            </w:r>
          </w:p>
        </w:tc>
        <w:tc>
          <w:tcPr>
            <w:tcW w:type="dxa" w:w="1560"/>
            <w:shd w:fill="FFFFFF"/>
            <w:tcMar>
              <w:top w:w="80" w:type="dxa"/>
              <w:bottom w:w="80" w:type="dxa"/>
              <w:left w:w="120" w:type="dxa"/>
              <w:right w:w="120" w:type="dxa"/>
            </w:tcMar>
          </w:tcPr>
          <w:p>
            <w:r>
              <w:rPr>
                <w:rFonts w:ascii="Calibri" w:hAnsi="Calibri"/>
                <w:color w:val="333333"/>
                <w:sz w:val="18"/>
              </w:rPr>
              <w:t>Accountable</w:t>
            </w:r>
          </w:p>
        </w:tc>
        <w:tc>
          <w:tcPr>
            <w:tcW w:type="dxa" w:w="1560"/>
            <w:shd w:fill="FFFFFF"/>
            <w:tcMar>
              <w:top w:w="80" w:type="dxa"/>
              <w:bottom w:w="80" w:type="dxa"/>
              <w:left w:w="120" w:type="dxa"/>
              <w:right w:w="120" w:type="dxa"/>
            </w:tcMar>
          </w:tcPr>
          <w:p>
            <w:r>
              <w:rPr>
                <w:rFonts w:ascii="Calibri" w:hAnsi="Calibri"/>
                <w:color w:val="333333"/>
                <w:sz w:val="18"/>
              </w:rPr>
              <w:t>Support</w:t>
            </w:r>
          </w:p>
        </w:tc>
        <w:tc>
          <w:tcPr>
            <w:tcW w:type="dxa" w:w="1560"/>
            <w:shd w:fill="FFFFFF"/>
            <w:tcMar>
              <w:top w:w="80" w:type="dxa"/>
              <w:bottom w:w="80" w:type="dxa"/>
              <w:left w:w="120" w:type="dxa"/>
              <w:right w:w="120" w:type="dxa"/>
            </w:tcMar>
          </w:tcPr>
          <w:p>
            <w:r>
              <w:rPr>
                <w:rFonts w:ascii="Calibri" w:hAnsi="Calibri"/>
                <w:color w:val="333333"/>
                <w:sz w:val="18"/>
              </w:rPr>
              <w:t>Informed</w:t>
            </w:r>
          </w:p>
        </w:tc>
      </w:tr>
      <w:tr>
        <w:tc>
          <w:tcPr>
            <w:tcW w:type="dxa" w:w="1560"/>
            <w:shd w:fill="F9FAFC"/>
            <w:tcMar>
              <w:top w:w="80" w:type="dxa"/>
              <w:bottom w:w="80" w:type="dxa"/>
              <w:left w:w="120" w:type="dxa"/>
              <w:right w:w="120" w:type="dxa"/>
            </w:tcMar>
          </w:tcPr>
          <w:p>
            <w:r>
              <w:rPr>
                <w:rFonts w:ascii="Calibri" w:hAnsi="Calibri"/>
                <w:color w:val="333333"/>
                <w:sz w:val="18"/>
              </w:rPr>
              <w:t>PSSR Gate Clearance &amp; RFSU</w:t>
            </w:r>
          </w:p>
        </w:tc>
        <w:tc>
          <w:tcPr>
            <w:tcW w:type="dxa" w:w="1560"/>
            <w:shd w:fill="F9FAFC"/>
            <w:tcMar>
              <w:top w:w="80" w:type="dxa"/>
              <w:bottom w:w="80" w:type="dxa"/>
              <w:left w:w="120" w:type="dxa"/>
              <w:right w:w="120" w:type="dxa"/>
            </w:tcMar>
          </w:tcPr>
          <w:p>
            <w:r>
              <w:rPr>
                <w:rFonts w:ascii="Calibri" w:hAnsi="Calibri"/>
                <w:color w:val="333333"/>
                <w:sz w:val="18"/>
              </w:rPr>
              <w:t>Consulted</w:t>
            </w:r>
          </w:p>
        </w:tc>
        <w:tc>
          <w:tcPr>
            <w:tcW w:type="dxa" w:w="1560"/>
            <w:shd w:fill="F9FAFC"/>
            <w:tcMar>
              <w:top w:w="80" w:type="dxa"/>
              <w:bottom w:w="80" w:type="dxa"/>
              <w:left w:w="120" w:type="dxa"/>
              <w:right w:w="120" w:type="dxa"/>
            </w:tcMar>
          </w:tcPr>
          <w:p>
            <w:r>
              <w:rPr>
                <w:rFonts w:ascii="Calibri" w:hAnsi="Calibri"/>
                <w:color w:val="333333"/>
                <w:sz w:val="18"/>
              </w:rPr>
              <w:t>Responsible</w:t>
            </w:r>
          </w:p>
        </w:tc>
        <w:tc>
          <w:tcPr>
            <w:tcW w:type="dxa" w:w="1560"/>
            <w:shd w:fill="F9FAFC"/>
            <w:tcMar>
              <w:top w:w="80" w:type="dxa"/>
              <w:bottom w:w="80" w:type="dxa"/>
              <w:left w:w="120" w:type="dxa"/>
              <w:right w:w="120" w:type="dxa"/>
            </w:tcMar>
          </w:tcPr>
          <w:p>
            <w:r>
              <w:rPr>
                <w:rFonts w:ascii="Calibri" w:hAnsi="Calibri"/>
                <w:color w:val="333333"/>
                <w:sz w:val="18"/>
              </w:rPr>
              <w:t>Accountable</w:t>
            </w:r>
          </w:p>
        </w:tc>
        <w:tc>
          <w:tcPr>
            <w:tcW w:type="dxa" w:w="1560"/>
            <w:shd w:fill="F9FAFC"/>
            <w:tcMar>
              <w:top w:w="80" w:type="dxa"/>
              <w:bottom w:w="80" w:type="dxa"/>
              <w:left w:w="120" w:type="dxa"/>
              <w:right w:w="120" w:type="dxa"/>
            </w:tcMar>
          </w:tcPr>
          <w:p>
            <w:r>
              <w:rPr>
                <w:rFonts w:ascii="Calibri" w:hAnsi="Calibri"/>
                <w:color w:val="333333"/>
                <w:sz w:val="18"/>
              </w:rPr>
              <w:t>Support</w:t>
            </w:r>
          </w:p>
        </w:tc>
        <w:tc>
          <w:tcPr>
            <w:tcW w:type="dxa" w:w="1560"/>
            <w:shd w:fill="F9FAFC"/>
            <w:tcMar>
              <w:top w:w="80" w:type="dxa"/>
              <w:bottom w:w="80" w:type="dxa"/>
              <w:left w:w="120" w:type="dxa"/>
              <w:right w:w="120" w:type="dxa"/>
            </w:tcMar>
          </w:tcPr>
          <w:p>
            <w:r>
              <w:rPr>
                <w:rFonts w:ascii="Calibri" w:hAnsi="Calibri"/>
                <w:color w:val="333333"/>
                <w:sz w:val="18"/>
              </w:rPr>
              <w:t>Informed</w:t>
            </w:r>
          </w:p>
        </w:tc>
      </w:tr>
      <w:tr>
        <w:tc>
          <w:tcPr>
            <w:tcW w:type="dxa" w:w="1560"/>
            <w:shd w:fill="FFFFFF"/>
            <w:tcMar>
              <w:top w:w="80" w:type="dxa"/>
              <w:bottom w:w="80" w:type="dxa"/>
              <w:left w:w="120" w:type="dxa"/>
              <w:right w:w="120" w:type="dxa"/>
            </w:tcMar>
          </w:tcPr>
          <w:p>
            <w:r>
              <w:rPr>
                <w:rFonts w:ascii="Calibri" w:hAnsi="Calibri"/>
                <w:color w:val="333333"/>
                <w:sz w:val="18"/>
              </w:rPr>
              <w:t>Emergency Command (Phase 3)</w:t>
            </w:r>
          </w:p>
        </w:tc>
        <w:tc>
          <w:tcPr>
            <w:tcW w:type="dxa" w:w="1560"/>
            <w:shd w:fill="FFFFFF"/>
            <w:tcMar>
              <w:top w:w="80" w:type="dxa"/>
              <w:bottom w:w="80" w:type="dxa"/>
              <w:left w:w="120" w:type="dxa"/>
              <w:right w:w="120" w:type="dxa"/>
            </w:tcMar>
          </w:tcPr>
          <w:p>
            <w:r>
              <w:rPr>
                <w:rFonts w:ascii="Calibri" w:hAnsi="Calibri"/>
                <w:color w:val="333333"/>
                <w:sz w:val="18"/>
              </w:rPr>
              <w:t>Informed</w:t>
            </w:r>
          </w:p>
        </w:tc>
        <w:tc>
          <w:tcPr>
            <w:tcW w:type="dxa" w:w="1560"/>
            <w:shd w:fill="FFFFFF"/>
            <w:tcMar>
              <w:top w:w="80" w:type="dxa"/>
              <w:bottom w:w="80" w:type="dxa"/>
              <w:left w:w="120" w:type="dxa"/>
              <w:right w:w="120" w:type="dxa"/>
            </w:tcMar>
          </w:tcPr>
          <w:p>
            <w:r>
              <w:rPr>
                <w:rFonts w:ascii="Calibri" w:hAnsi="Calibri"/>
                <w:color w:val="333333"/>
                <w:sz w:val="18"/>
              </w:rPr>
              <w:t>Support</w:t>
            </w:r>
          </w:p>
        </w:tc>
        <w:tc>
          <w:tcPr>
            <w:tcW w:type="dxa" w:w="1560"/>
            <w:shd w:fill="FFFFFF"/>
            <w:tcMar>
              <w:top w:w="80" w:type="dxa"/>
              <w:bottom w:w="80" w:type="dxa"/>
              <w:left w:w="120" w:type="dxa"/>
              <w:right w:w="120" w:type="dxa"/>
            </w:tcMar>
          </w:tcPr>
          <w:p>
            <w:r>
              <w:rPr>
                <w:rFonts w:ascii="Calibri" w:hAnsi="Calibri"/>
                <w:color w:val="333333"/>
                <w:sz w:val="18"/>
              </w:rPr>
              <w:t>Accountable</w:t>
            </w:r>
          </w:p>
        </w:tc>
        <w:tc>
          <w:tcPr>
            <w:tcW w:type="dxa" w:w="1560"/>
            <w:shd w:fill="FFFFFF"/>
            <w:tcMar>
              <w:top w:w="80" w:type="dxa"/>
              <w:bottom w:w="80" w:type="dxa"/>
              <w:left w:w="120" w:type="dxa"/>
              <w:right w:w="120" w:type="dxa"/>
            </w:tcMar>
          </w:tcPr>
          <w:p>
            <w:r>
              <w:rPr>
                <w:rFonts w:ascii="Calibri" w:hAnsi="Calibri"/>
                <w:color w:val="333333"/>
                <w:sz w:val="18"/>
              </w:rPr>
              <w:t>Support</w:t>
            </w:r>
          </w:p>
        </w:tc>
        <w:tc>
          <w:tcPr>
            <w:tcW w:type="dxa" w:w="1560"/>
            <w:shd w:fill="FFFFFF"/>
            <w:tcMar>
              <w:top w:w="80" w:type="dxa"/>
              <w:bottom w:w="80" w:type="dxa"/>
              <w:left w:w="120" w:type="dxa"/>
              <w:right w:w="120" w:type="dxa"/>
            </w:tcMar>
          </w:tcPr>
          <w:p>
            <w:r>
              <w:rPr>
                <w:rFonts w:ascii="Calibri" w:hAnsi="Calibri"/>
                <w:color w:val="333333"/>
                <w:sz w:val="18"/>
              </w:rPr>
              <w:t>Informed</w:t>
            </w:r>
          </w:p>
        </w:tc>
      </w:tr>
    </w:tbl>
    <w:p>
      <w:pPr>
        <w:spacing w:after="160"/>
      </w:pPr>
    </w:p>
    <w:p>
      <w:pPr>
        <w:keepNext/>
        <w:spacing w:before="280" w:after="120"/>
      </w:pPr>
      <w:r>
        <w:rPr>
          <w:rFonts w:ascii="Calibri" w:hAnsi="Calibri"/>
          <w:b/>
          <w:color w:val="1B365D"/>
          <w:sz w:val="30"/>
        </w:rPr>
        <w:t>SECTION 3.0: CARE, CUSTODY, AND CONTROL (CCCC) &amp; HANDOVER GATES</w:t>
      </w:r>
    </w:p>
    <w:p>
      <w:pPr>
        <w:keepNext/>
        <w:spacing w:before="220" w:after="80"/>
      </w:pPr>
      <w:r>
        <w:rPr>
          <w:rFonts w:ascii="Calibri" w:hAnsi="Calibri"/>
          <w:b/>
          <w:color w:val="008080"/>
          <w:sz w:val="24"/>
        </w:rPr>
        <w:t>3.1 System Boundary Demarcation &amp; Red Line Markings</w:t>
      </w:r>
    </w:p>
    <w:p>
      <w:pPr>
        <w:keepNext/>
        <w:spacing w:before="160" w:after="40"/>
      </w:pPr>
      <w:r>
        <w:rPr>
          <w:rFonts w:ascii="Calibri" w:hAnsi="Calibri"/>
          <w:b/>
          <w:color w:val="1B365D"/>
          <w:sz w:val="21"/>
        </w:rPr>
        <w:t>3.1.1 System Demarcation P&amp;ID Drawings &amp; Color-Coded Piping Maps</w:t>
      </w:r>
    </w:p>
    <w:p>
      <w:r>
        <w:t>Prior to walkdown, the EPC and CSU teams shall produce master System Demarcation P&amp;IDs. Systems turned over shall be highlighted in bright green; energized boundary isolations highlighted in bright red; active construction boundaries highlighted in yellow.</w:t>
      </w:r>
    </w:p>
    <w:p>
      <w:pPr>
        <w:keepNext/>
        <w:spacing w:before="160" w:after="40"/>
      </w:pPr>
      <w:r>
        <w:rPr>
          <w:rFonts w:ascii="Calibri" w:hAnsi="Calibri"/>
          <w:b/>
          <w:color w:val="1B365D"/>
          <w:sz w:val="21"/>
        </w:rPr>
        <w:t>3.1.2 Physical Boundary Flags, Barricades, and Signage Criteria</w:t>
      </w:r>
    </w:p>
    <w:p>
      <w:r>
        <w:t>Turned-over systems must be physically segregated using rigid yellow/black stanchions, continuous warning chain, and high-visibility signs reading: 'WARNING: DANGER - SYSTEM UNDER COMMISSIONING / OPERATIONS CUSTODY - UNAUTHORIZED ENTRY PROHIBITED'.</w:t>
      </w:r>
    </w:p>
    <w:p>
      <w:pPr>
        <w:keepNext/>
        <w:spacing w:before="220" w:after="80"/>
      </w:pPr>
      <w:r>
        <w:rPr>
          <w:rFonts w:ascii="Calibri" w:hAnsi="Calibri"/>
          <w:b/>
          <w:color w:val="008080"/>
          <w:sz w:val="24"/>
        </w:rPr>
        <w:t>3.2 Joint System Walkdown &amp; Punchlisting Protocol</w:t>
      </w:r>
    </w:p>
    <w:p>
      <w:pPr>
        <w:keepNext/>
        <w:spacing w:before="160" w:after="40"/>
      </w:pPr>
      <w:r>
        <w:rPr>
          <w:rFonts w:ascii="Calibri" w:hAnsi="Calibri"/>
          <w:b/>
          <w:color w:val="1B365D"/>
          <w:sz w:val="21"/>
        </w:rPr>
        <w:t>3.2.1 Pre-Walkdown Documentation Verification</w:t>
      </w:r>
    </w:p>
    <w:p>
      <w:r>
        <w:t>Joint walkdowns shall only proceed after complete verification of static inspection records, hydrotest certificates, NDE clearance, line flushing reports, and electrical megger test results.</w:t>
      </w:r>
    </w:p>
    <w:p>
      <w:pPr>
        <w:keepNext/>
        <w:spacing w:before="160" w:after="40"/>
      </w:pPr>
      <w:r>
        <w:rPr>
          <w:rFonts w:ascii="Calibri" w:hAnsi="Calibri"/>
          <w:b/>
          <w:color w:val="1B365D"/>
          <w:sz w:val="21"/>
        </w:rPr>
        <w:t>3.2.2 Joint Walkdown Team Composition</w:t>
      </w:r>
    </w:p>
    <w:p>
      <w:r>
        <w:t>Walkdown teams must comprise: (1) Owner Operations Representative, (2) Owner Quality Inspector, (3) CSU System Engineer, (4) EPC Construction Superintendent, and (5) Owner HSSE Specialist.</w:t>
      </w:r>
    </w:p>
    <w:p>
      <w:pPr>
        <w:keepNext/>
        <w:spacing w:before="220" w:after="80"/>
      </w:pPr>
      <w:r>
        <w:rPr>
          <w:rFonts w:ascii="Calibri" w:hAnsi="Calibri"/>
          <w:b/>
          <w:color w:val="008080"/>
          <w:sz w:val="24"/>
        </w:rPr>
        <w:t>3.3 Punchlist Categorization &amp; Mandatory Closeout Gates</w:t>
      </w:r>
    </w:p>
    <w:p>
      <w:pPr>
        <w:keepNext/>
        <w:spacing w:before="160" w:after="40"/>
      </w:pPr>
      <w:r>
        <w:rPr>
          <w:rFonts w:ascii="Calibri" w:hAnsi="Calibri"/>
          <w:b/>
          <w:color w:val="1B365D"/>
          <w:sz w:val="21"/>
        </w:rPr>
        <w:t>3.3.1 Category A Punch Items: Mandatory Closeout Prior to MC / Testing</w:t>
      </w:r>
    </w:p>
    <w:p>
      <w:r>
        <w:t>Category A items (safety, pressure containment, or functional defects) must achieve 100% verified physical closeout before Mechanical Completion (MC) or energization testing is authorized. Zero Category A exceptions allowed.</w:t>
      </w:r>
    </w:p>
    <w:p>
      <w:pPr>
        <w:keepNext/>
        <w:spacing w:before="160" w:after="40"/>
      </w:pPr>
      <w:r>
        <w:rPr>
          <w:rFonts w:ascii="Calibri" w:hAnsi="Calibri"/>
          <w:b/>
          <w:color w:val="1B365D"/>
          <w:sz w:val="21"/>
        </w:rPr>
        <w:t>3.3.2 Category B &amp; C Punch Items: Closure Requirements Prior to Commodity Introduction</w:t>
      </w:r>
    </w:p>
    <w:p>
      <w:r>
        <w:t>Category B items (non-critical execution defects) must be closed prior to Ready for Start-Up (RFSU). Category C items (documentation/painting) must be scheduled under formal MOC/work-order tracking.</w:t>
      </w:r>
    </w:p>
    <w:p>
      <w:pPr>
        <w:keepNext/>
        <w:spacing w:before="220" w:after="80"/>
      </w:pPr>
      <w:r>
        <w:rPr>
          <w:rFonts w:ascii="Calibri" w:hAnsi="Calibri"/>
          <w:b/>
          <w:color w:val="008080"/>
          <w:sz w:val="24"/>
        </w:rPr>
        <w:t>3.4 Transfer of Care, Custody, and Control (CCCC) Certificates</w:t>
      </w:r>
    </w:p>
    <w:p>
      <w:pPr>
        <w:keepNext/>
        <w:spacing w:before="160" w:after="40"/>
      </w:pPr>
      <w:r>
        <w:rPr>
          <w:rFonts w:ascii="Calibri" w:hAnsi="Calibri"/>
          <w:b/>
          <w:color w:val="1B365D"/>
          <w:sz w:val="21"/>
        </w:rPr>
        <w:t>3.4.1 Formal Certificate Execution Sign-Off Workflow</w:t>
      </w:r>
    </w:p>
    <w:p>
      <w:r>
        <w:t>Execution of the CCCC Certificate formally transfers physical care, custody, and legal risk control. The workflow requires sequential sign-off by EPC Construction Manager -&gt; CSU Manager -&gt; Owner Operations Director.</w:t>
      </w:r>
    </w:p>
    <w:p>
      <w:pPr>
        <w:keepNext/>
        <w:spacing w:before="160" w:after="40"/>
      </w:pPr>
      <w:r>
        <w:rPr>
          <w:rFonts w:ascii="Calibri" w:hAnsi="Calibri"/>
          <w:b/>
          <w:color w:val="1B365D"/>
          <w:sz w:val="21"/>
        </w:rPr>
        <w:t>3.4.2 Legal Asset Custody Transfer Logging</w:t>
      </w:r>
    </w:p>
    <w:p>
      <w:r>
        <w:t>All executed CCCC certificates, boundary P&amp;IDs, and accepted punchlists shall be logged in the Master Asset Turnover Register within 24 hours of signature.</w:t>
      </w:r>
    </w:p>
    <w:p>
      <w:pPr>
        <w:keepNext/>
        <w:spacing w:before="280" w:after="120"/>
      </w:pPr>
      <w:r>
        <w:rPr>
          <w:rFonts w:ascii="Calibri" w:hAnsi="Calibri"/>
          <w:b/>
          <w:color w:val="1B365D"/>
          <w:sz w:val="30"/>
        </w:rPr>
        <w:t>SECTION 4.0: TRANSITIONAL PERMIT TO WORK (PTW) PROTOCOL</w:t>
      </w:r>
    </w:p>
    <w:p>
      <w:pPr>
        <w:keepNext/>
        <w:spacing w:before="220" w:after="80"/>
      </w:pPr>
      <w:r>
        <w:rPr>
          <w:rFonts w:ascii="Calibri" w:hAnsi="Calibri"/>
          <w:b/>
          <w:color w:val="008080"/>
          <w:sz w:val="24"/>
        </w:rPr>
        <w:t>4.1 Harmonized PTW Architecture</w:t>
      </w:r>
    </w:p>
    <w:p>
      <w:pPr>
        <w:keepNext/>
        <w:spacing w:before="160" w:after="40"/>
      </w:pPr>
      <w:r>
        <w:rPr>
          <w:rFonts w:ascii="Calibri" w:hAnsi="Calibri"/>
          <w:b/>
          <w:color w:val="1B365D"/>
          <w:sz w:val="21"/>
        </w:rPr>
        <w:t>4.1.1 Retention of EPC Permit Form Factor to Preserve Workforce Familiarity</w:t>
      </w:r>
    </w:p>
    <w:p>
      <w:r>
        <w:t>To eliminate workforce confusion during transition, the physical paper permit form factor and field layout of the EPC PTW shall be retained, avoiding retrain errors while shifting administrative authority.</w:t>
      </w:r>
    </w:p>
    <w:p>
      <w:pPr>
        <w:keepNext/>
        <w:spacing w:before="160" w:after="40"/>
      </w:pPr>
      <w:r>
        <w:rPr>
          <w:rFonts w:ascii="Calibri" w:hAnsi="Calibri"/>
          <w:b/>
          <w:color w:val="1B365D"/>
          <w:sz w:val="21"/>
        </w:rPr>
        <w:t>4.1.2 Transfer of Permitting Authority to Owner Operations for Turned-Over Systems</w:t>
      </w:r>
    </w:p>
    <w:p>
      <w:r>
        <w:t>While the form factor is retained, the permit approval authority shifts 100% to Woodfibre LNG Operations Area Authorities for any work on or adjacent to turned-over systems.</w:t>
      </w:r>
    </w:p>
    <w:p>
      <w:pPr>
        <w:keepNext/>
        <w:spacing w:before="220" w:after="80"/>
      </w:pPr>
      <w:r>
        <w:rPr>
          <w:rFonts w:ascii="Calibri" w:hAnsi="Calibri"/>
          <w:b/>
          <w:color w:val="008080"/>
          <w:sz w:val="24"/>
        </w:rPr>
        <w:t>4.2 Daily Scope-Specific Permitting Execution</w:t>
      </w:r>
    </w:p>
    <w:p>
      <w:pPr>
        <w:keepNext/>
        <w:spacing w:before="160" w:after="40"/>
      </w:pPr>
      <w:r>
        <w:rPr>
          <w:rFonts w:ascii="Calibri" w:hAnsi="Calibri"/>
          <w:b/>
          <w:color w:val="1B365D"/>
          <w:sz w:val="21"/>
        </w:rPr>
        <w:t>4.2.1 Mandatory Shift to Daily Permits for Turned-Over Systems</w:t>
      </w:r>
    </w:p>
    <w:p>
      <w:r>
        <w:t>All multi-day permits are revoked upon system turnover. Work on turned-over or energized systems requires daily permit re-issuance at the start of each 12-hour shift.</w:t>
      </w:r>
    </w:p>
    <w:p>
      <w:pPr>
        <w:keepNext/>
        <w:spacing w:before="160" w:after="40"/>
      </w:pPr>
      <w:r>
        <w:rPr>
          <w:rFonts w:ascii="Calibri" w:hAnsi="Calibri"/>
          <w:b/>
          <w:color w:val="1B365D"/>
          <w:sz w:val="21"/>
        </w:rPr>
        <w:t>4.2.2 Daily Permit Workflows, Joint Field Risk Assessments &amp; Gas Testing</w:t>
      </w:r>
    </w:p>
    <w:p>
      <w:r>
        <w:t>Permit issuance requires joint field inspection by the Operations Permit Issuer and Work Performing Supervisor, complete FLHA review, and mandatory continuous LEL/O2/H2S gas testing.</w:t>
      </w:r>
    </w:p>
    <w:p>
      <w:pPr>
        <w:keepNext/>
        <w:spacing w:before="220" w:after="80"/>
      </w:pPr>
      <w:r>
        <w:rPr>
          <w:rFonts w:ascii="Calibri" w:hAnsi="Calibri"/>
          <w:b/>
          <w:color w:val="008080"/>
          <w:sz w:val="24"/>
        </w:rPr>
        <w:t>4.3 Multi-Day 'Blanket Permit' Rules &amp; Risk Screening</w:t>
      </w:r>
    </w:p>
    <w:p>
      <w:pPr>
        <w:keepNext/>
        <w:spacing w:before="160" w:after="40"/>
      </w:pPr>
      <w:r>
        <w:rPr>
          <w:rFonts w:ascii="Calibri" w:hAnsi="Calibri"/>
          <w:b/>
          <w:color w:val="1B365D"/>
          <w:sz w:val="21"/>
        </w:rPr>
        <w:t>4.3.1 Eligible Low-Risk Work Scopes</w:t>
      </w:r>
    </w:p>
    <w:p>
      <w:r>
        <w:t>Multi-day 'blanket' permits (up to 7 days) are restricted strictly to non-intrusive static work (e.g., civil paving, structural painting, scaffolding erection) in non-hazardous, un-turned-over greenfield zones.</w:t>
      </w:r>
    </w:p>
    <w:p>
      <w:pPr>
        <w:keepNext/>
        <w:spacing w:before="160" w:after="40"/>
      </w:pPr>
      <w:r>
        <w:rPr>
          <w:rFonts w:ascii="Calibri" w:hAnsi="Calibri"/>
          <w:b/>
          <w:color w:val="1B365D"/>
          <w:sz w:val="21"/>
        </w:rPr>
        <w:t>4.3.2 Strict Exclusion Criteria &amp; Revocation Triggers</w:t>
      </w:r>
    </w:p>
    <w:p>
      <w:r>
        <w:t>Blanket permits are strictly prohibited for hot work, confined space entry, electrical work, lifting over live equipment, or any work within 15 meters of an energized system boundary.</w:t>
      </w:r>
    </w:p>
    <w:p>
      <w:pPr>
        <w:keepNext/>
        <w:spacing w:before="220" w:after="80"/>
      </w:pPr>
      <w:r>
        <w:rPr>
          <w:rFonts w:ascii="Calibri" w:hAnsi="Calibri"/>
          <w:b/>
          <w:color w:val="008080"/>
          <w:sz w:val="24"/>
        </w:rPr>
        <w:t>4.4 PTW Interface &amp; Cross-Boundary Permitting Controls</w:t>
      </w:r>
    </w:p>
    <w:p>
      <w:pPr>
        <w:keepNext/>
        <w:spacing w:before="160" w:after="40"/>
      </w:pPr>
      <w:r>
        <w:rPr>
          <w:rFonts w:ascii="Calibri" w:hAnsi="Calibri"/>
          <w:b/>
          <w:color w:val="1B365D"/>
          <w:sz w:val="21"/>
        </w:rPr>
        <w:t>4.4.1 Work Originating in Construction Zones Impacting Live Systems (Dual Permitting Sign-Off)</w:t>
      </w:r>
    </w:p>
    <w:p>
      <w:r>
        <w:t>Where construction work (e.g., piling, crane lifting, tie-in welding) originates in an EPC-controlled construction zone but has potential impact on an adjacent turned-over live system, Dual Permitting Sign-Off is mandatory. The permit must be counter-signed by both the EPC Construction Area Authority AND the Woodfibre LNG Operations Permit Issuer.</w:t>
      </w:r>
    </w:p>
    <w:p>
      <w:pPr>
        <w:keepNext/>
        <w:spacing w:before="280" w:after="120"/>
      </w:pPr>
      <w:r>
        <w:rPr>
          <w:rFonts w:ascii="Calibri" w:hAnsi="Calibri"/>
          <w:b/>
          <w:color w:val="1B365D"/>
          <w:sz w:val="30"/>
        </w:rPr>
        <w:t>SECTION 5.0: PHYSICAL, VISUAL &amp; COMMUNICATION ISOLATION CONTROLS</w:t>
      </w:r>
    </w:p>
    <w:p>
      <w:pPr>
        <w:keepNext/>
        <w:spacing w:before="220" w:after="80"/>
      </w:pPr>
      <w:r>
        <w:rPr>
          <w:rFonts w:ascii="Calibri" w:hAnsi="Calibri"/>
          <w:b/>
          <w:color w:val="008080"/>
          <w:sz w:val="24"/>
        </w:rPr>
        <w:t>5.1 Physical Energy Isolation (LOTO) Controls</w:t>
      </w:r>
    </w:p>
    <w:p>
      <w:pPr>
        <w:keepNext/>
        <w:spacing w:before="160" w:after="40"/>
      </w:pPr>
      <w:r>
        <w:rPr>
          <w:rFonts w:ascii="Calibri" w:hAnsi="Calibri"/>
          <w:b/>
          <w:color w:val="1B365D"/>
          <w:sz w:val="21"/>
        </w:rPr>
        <w:t>5.1.1 Operations Color-Coded Lock System &amp; Key Management</w:t>
      </w:r>
    </w:p>
    <w:p>
      <w:r>
        <w:t>Woodfibre LNG Operations utilizes a strict color-coded lock hierarchy: Red Master Locks (Operations System Boundary Locks), Blue Locks (EPC Construction Locks), Yellow Locks (Personal Worker Protection Locks). All keys for Red Master Locks must reside inside centralized Operations Lock Key Safes inside the main Control Room.</w:t>
      </w:r>
    </w:p>
    <w:p>
      <w:pPr>
        <w:keepNext/>
        <w:spacing w:before="160" w:after="40"/>
      </w:pPr>
      <w:r>
        <w:rPr>
          <w:rFonts w:ascii="Calibri" w:hAnsi="Calibri"/>
          <w:b/>
          <w:color w:val="1B365D"/>
          <w:sz w:val="21"/>
        </w:rPr>
        <w:t>5.1.2 Specialty Positive Isolation: Blinds, Blanks, Double-Block &amp; Bleed Standards</w:t>
      </w:r>
    </w:p>
    <w:p>
      <w:r>
        <w:t>For line breaks, vessel entry, or hot work near process inventory, positive mechanical isolation (spectacle blinds, spade blinds, or double-block-and-bleed with open vent) is mandatory. Electrical isolation requires racked-out breakers with physical lockouts.</w:t>
      </w:r>
    </w:p>
    <w:p>
      <w:pPr>
        <w:keepNext/>
        <w:spacing w:before="220" w:after="80"/>
      </w:pPr>
      <w:r>
        <w:rPr>
          <w:rFonts w:ascii="Calibri" w:hAnsi="Calibri"/>
          <w:b/>
          <w:color w:val="008080"/>
          <w:sz w:val="24"/>
        </w:rPr>
        <w:t>5.2 Visual Boundary Demarcation</w:t>
      </w:r>
    </w:p>
    <w:p>
      <w:pPr>
        <w:keepNext/>
        <w:spacing w:before="160" w:after="40"/>
      </w:pPr>
      <w:r>
        <w:rPr>
          <w:rFonts w:ascii="Calibri" w:hAnsi="Calibri"/>
          <w:b/>
          <w:color w:val="1B365D"/>
          <w:sz w:val="21"/>
        </w:rPr>
        <w:t>5.2.1 High-Visibility Live System Tags, Color-Coded Blinding Tags, and Danger Signage</w:t>
      </w:r>
    </w:p>
    <w:p>
      <w:r>
        <w:t>All isolation points must display weather-resistant tags: Red 'DANGER - DO NOT OPERATE' tags for boundary valves; Yellow 'BLIND INSTALLED' tags with blind rating documentation.</w:t>
      </w:r>
    </w:p>
    <w:p>
      <w:pPr>
        <w:keepNext/>
        <w:spacing w:before="160" w:after="40"/>
      </w:pPr>
      <w:r>
        <w:rPr>
          <w:rFonts w:ascii="Calibri" w:hAnsi="Calibri"/>
          <w:b/>
          <w:color w:val="1B365D"/>
          <w:sz w:val="21"/>
        </w:rPr>
        <w:t>5.2.2 Physical Cable &amp; Chain Isolation of Operations-Controlled Valves</w:t>
      </w:r>
    </w:p>
    <w:p>
      <w:r>
        <w:t>All manual valves defining a boundary between construction and energized systems must be secured with vinyl-coated steel cable/chain locks and tagged.</w:t>
      </w:r>
    </w:p>
    <w:p>
      <w:pPr>
        <w:keepNext/>
        <w:spacing w:before="220" w:after="80"/>
      </w:pPr>
      <w:r>
        <w:rPr>
          <w:rFonts w:ascii="Calibri" w:hAnsi="Calibri"/>
          <w:b/>
          <w:color w:val="008080"/>
          <w:sz w:val="24"/>
        </w:rPr>
        <w:t>5.3 Advance 'Livening Up' Notification Schedule</w:t>
      </w:r>
    </w:p>
    <w:p>
      <w:pPr>
        <w:keepNext/>
        <w:spacing w:before="160" w:after="40"/>
      </w:pPr>
      <w:r>
        <w:rPr>
          <w:rFonts w:ascii="Calibri" w:hAnsi="Calibri"/>
          <w:b/>
          <w:color w:val="1B365D"/>
          <w:sz w:val="21"/>
        </w:rPr>
        <w:t>5.3.1 Mandatory 7-Day Advance Site-Wide Livening Notification &amp; Map Broadcast</w:t>
      </w:r>
    </w:p>
    <w:p>
      <w:r>
        <w:t>Seven (7) days prior to energizing any electrical substation, pressurizing piping, or introducing utilities, a formal Site-Wide Livening Notification &amp; Demarcation Map must be broadcast to all site employers.</w:t>
      </w:r>
    </w:p>
    <w:p>
      <w:pPr>
        <w:keepNext/>
        <w:spacing w:before="160" w:after="40"/>
      </w:pPr>
      <w:r>
        <w:rPr>
          <w:rFonts w:ascii="Calibri" w:hAnsi="Calibri"/>
          <w:b/>
          <w:color w:val="1B365D"/>
          <w:sz w:val="21"/>
        </w:rPr>
        <w:t>5.3.2 Mandatory 48-Hour Re-Notification &amp; Area Supervisor Alignment</w:t>
      </w:r>
    </w:p>
    <w:p>
      <w:r>
        <w:t>Forty-eight (48) hours prior, direct shift alignment meetings must occur between the Commissioning Authority and affected construction field supervisors.</w:t>
      </w:r>
    </w:p>
    <w:p>
      <w:pPr>
        <w:keepNext/>
        <w:spacing w:before="160" w:after="40"/>
      </w:pPr>
      <w:r>
        <w:rPr>
          <w:rFonts w:ascii="Calibri" w:hAnsi="Calibri"/>
          <w:b/>
          <w:color w:val="1B365D"/>
          <w:sz w:val="21"/>
        </w:rPr>
        <w:t>5.3.3 Mandatory 24-Hour Final Warning, Horn/Siren Broadcast &amp; Physical Walkdown</w:t>
      </w:r>
    </w:p>
    <w:p>
      <w:r>
        <w:t>Twenty-four (24) hours prior, a physical area sweep, horn/siren warning broadcast, and final security barricading clearance must be completed.</w:t>
      </w:r>
    </w:p>
    <w:p>
      <w:pPr>
        <w:keepNext/>
        <w:spacing w:before="220" w:after="80"/>
      </w:pPr>
      <w:r>
        <w:rPr>
          <w:rFonts w:ascii="Calibri" w:hAnsi="Calibri"/>
          <w:b/>
          <w:color w:val="008080"/>
          <w:sz w:val="24"/>
        </w:rPr>
        <w:t>5.4 Lockout/Tagout (LOTO) Custody Transfer Mechanics</w:t>
      </w:r>
    </w:p>
    <w:p>
      <w:pPr>
        <w:keepNext/>
        <w:spacing w:before="160" w:after="40"/>
      </w:pPr>
      <w:r>
        <w:rPr>
          <w:rFonts w:ascii="Calibri" w:hAnsi="Calibri"/>
          <w:b/>
          <w:color w:val="1B365D"/>
          <w:sz w:val="21"/>
        </w:rPr>
        <w:t>5.4.1 Formal Cutting/Removal of EPC Construction Locks</w:t>
      </w:r>
    </w:p>
    <w:p>
      <w:r>
        <w:t>Where EPC construction locks must be removed for system handover, removal must occur under formal joint witness between EPC Safety and Operations Area Authority, recorded on LOTO Transfer Log Form LOTO-04.</w:t>
      </w:r>
    </w:p>
    <w:p>
      <w:pPr>
        <w:keepNext/>
        <w:spacing w:before="160" w:after="40"/>
      </w:pPr>
      <w:r>
        <w:rPr>
          <w:rFonts w:ascii="Calibri" w:hAnsi="Calibri"/>
          <w:b/>
          <w:color w:val="1B365D"/>
          <w:sz w:val="21"/>
        </w:rPr>
        <w:t>5.4.2 Installation of Operations Master Locks on Centralized Lock Boxes</w:t>
      </w:r>
    </w:p>
    <w:p>
      <w:r>
        <w:t>Operations Master Red Locks are immediately installed on the primary isolation points and keys secured in the Control Room Lock Key Safe.</w:t>
      </w:r>
    </w:p>
    <w:p>
      <w:pPr>
        <w:keepNext/>
        <w:spacing w:before="280" w:after="120"/>
      </w:pPr>
      <w:r>
        <w:rPr>
          <w:rFonts w:ascii="Calibri" w:hAnsi="Calibri"/>
          <w:b/>
          <w:color w:val="1B365D"/>
          <w:sz w:val="30"/>
        </w:rPr>
        <w:t>SECTION 6.0: SIMOPS MANAGEMENT &amp; MULTI-LAYERED FIELD ASSURANCE</w:t>
      </w:r>
    </w:p>
    <w:p>
      <w:pPr>
        <w:keepNext/>
        <w:spacing w:before="220" w:after="80"/>
      </w:pPr>
      <w:r>
        <w:rPr>
          <w:rFonts w:ascii="Calibri" w:hAnsi="Calibri"/>
          <w:b/>
          <w:color w:val="008080"/>
          <w:sz w:val="24"/>
        </w:rPr>
        <w:t>6.1 Dispersed System SIMOPS Hazard Analysis</w:t>
      </w:r>
    </w:p>
    <w:p>
      <w:pPr>
        <w:keepNext/>
        <w:spacing w:before="160" w:after="40"/>
      </w:pPr>
      <w:r>
        <w:rPr>
          <w:rFonts w:ascii="Calibri" w:hAnsi="Calibri"/>
          <w:b/>
          <w:color w:val="1B365D"/>
          <w:sz w:val="21"/>
        </w:rPr>
        <w:t>6.1.1 SIMOPS Risk Matrix</w:t>
      </w:r>
    </w:p>
    <w:p>
      <w:r>
        <w:t>A formal SIMOPS Risk Matrix must be evaluated for all overlapping activities. Construction activities (e.g., welding, grinding) occurring within 30 meters of energized utilities or commissioning flushes require mandatory SIMOPS Risk Assessment approval.</w:t>
      </w:r>
    </w:p>
    <w:p>
      <w:pPr>
        <w:keepNext/>
        <w:spacing w:before="160" w:after="40"/>
      </w:pPr>
      <w:r>
        <w:rPr>
          <w:rFonts w:ascii="Calibri" w:hAnsi="Calibri"/>
          <w:b/>
          <w:color w:val="1B365D"/>
          <w:sz w:val="21"/>
        </w:rPr>
        <w:t>6.1.2 Area-Specific SIMOPS Risk Mitigation Plans</w:t>
      </w:r>
    </w:p>
    <w:p>
      <w:r>
        <w:t>Area-specific SIMOPS plans must define fire watch requirements, continuous gas monitoring, physical blast/splash shields, and dedicated SIMOPS Safety Monitors.</w:t>
      </w:r>
    </w:p>
    <w:p>
      <w:pPr>
        <w:keepNext/>
        <w:spacing w:before="220" w:after="80"/>
      </w:pPr>
      <w:r>
        <w:rPr>
          <w:rFonts w:ascii="Calibri" w:hAnsi="Calibri"/>
          <w:b/>
          <w:color w:val="008080"/>
          <w:sz w:val="24"/>
        </w:rPr>
        <w:t>6.2 Multi-Layered Field Assurance &amp; Verification System</w:t>
      </w:r>
    </w:p>
    <w:p>
      <w:pPr>
        <w:keepNext/>
        <w:spacing w:before="160" w:after="40"/>
      </w:pPr>
      <w:r>
        <w:rPr>
          <w:rFonts w:ascii="Calibri" w:hAnsi="Calibri"/>
          <w:b/>
          <w:color w:val="1B365D"/>
          <w:sz w:val="21"/>
        </w:rPr>
        <w:t>6.2.1 Safety Department Field Auditing &amp; Formal Compliance Reporting</w:t>
      </w:r>
    </w:p>
    <w:p>
      <w:r>
        <w:t>The Owner HSSE Department conducts daily unannounced audits of PTW compliance, LOTO integrity, and boundary barricading, issuing formal daily compliance scoring reports.</w:t>
      </w:r>
    </w:p>
    <w:p>
      <w:pPr>
        <w:keepNext/>
        <w:spacing w:before="160" w:after="40"/>
      </w:pPr>
      <w:r>
        <w:rPr>
          <w:rFonts w:ascii="Calibri" w:hAnsi="Calibri"/>
          <w:b/>
          <w:color w:val="1B365D"/>
          <w:sz w:val="21"/>
        </w:rPr>
        <w:t>6.2.2 Supervisory Field Verification Tools &amp; Daily Observation Checklists</w:t>
      </w:r>
    </w:p>
    <w:p>
      <w:r>
        <w:t>Field supervisors must complete mandatory Daily Transition Verification Checklists prior to starting work in interface zones.</w:t>
      </w:r>
    </w:p>
    <w:p>
      <w:pPr>
        <w:keepNext/>
        <w:spacing w:before="160" w:after="40"/>
      </w:pPr>
      <w:r>
        <w:rPr>
          <w:rFonts w:ascii="Calibri" w:hAnsi="Calibri"/>
          <w:b/>
          <w:color w:val="1B365D"/>
          <w:sz w:val="21"/>
        </w:rPr>
        <w:t>6.2.3 Mandatory Stage &amp; Action Gate Sign-Off Workflows</w:t>
      </w:r>
    </w:p>
    <w:p>
      <w:r>
        <w:t>Stage-gate hold points prevent progression to high-risk testing until all preceding field verification actions are closed.</w:t>
      </w:r>
    </w:p>
    <w:p>
      <w:pPr>
        <w:keepNext/>
        <w:spacing w:before="280" w:after="120"/>
      </w:pPr>
      <w:r>
        <w:rPr>
          <w:rFonts w:ascii="Calibri" w:hAnsi="Calibri"/>
          <w:b/>
          <w:color w:val="1B365D"/>
          <w:sz w:val="30"/>
        </w:rPr>
        <w:t>SECTION 7.0: MANDATORY IN-PERSON TRANSITION ORIENTATION &amp; COMPETENCY</w:t>
      </w:r>
    </w:p>
    <w:p>
      <w:pPr>
        <w:keepNext/>
        <w:spacing w:before="220" w:after="80"/>
      </w:pPr>
      <w:r>
        <w:rPr>
          <w:rFonts w:ascii="Calibri" w:hAnsi="Calibri"/>
          <w:b/>
          <w:color w:val="008080"/>
          <w:sz w:val="24"/>
        </w:rPr>
        <w:t>7.1 Transition Orientation Mandate</w:t>
      </w:r>
    </w:p>
    <w:p>
      <w:pPr>
        <w:keepNext/>
        <w:spacing w:before="160" w:after="40"/>
      </w:pPr>
      <w:r>
        <w:rPr>
          <w:rFonts w:ascii="Calibri" w:hAnsi="Calibri"/>
          <w:b/>
          <w:color w:val="1B365D"/>
          <w:sz w:val="21"/>
        </w:rPr>
        <w:t>7.1.1 100% Mandatory Attendance for All Personnel On-Site Prior to System Energization</w:t>
      </w:r>
    </w:p>
    <w:p>
      <w:r>
        <w:t>100% of workers, supervisors, managers, contractors, and visitors accessing the site post-energization must complete the mandatory In-Person Transition Safety Orientation.</w:t>
      </w:r>
    </w:p>
    <w:p>
      <w:pPr>
        <w:keepNext/>
        <w:spacing w:before="160" w:after="40"/>
      </w:pPr>
      <w:r>
        <w:rPr>
          <w:rFonts w:ascii="Calibri" w:hAnsi="Calibri"/>
          <w:b/>
          <w:color w:val="1B365D"/>
          <w:sz w:val="21"/>
        </w:rPr>
        <w:t>7.1.2 Passing Score Threshold &amp; Badge Re-Authorization Protocol</w:t>
      </w:r>
    </w:p>
    <w:p>
      <w:r>
        <w:t>Workers must achieve a 100% score on practical LOTO/PTW comprehension tests. Upon completion, site security access badges are re-programmed with a green 'TRANSITION AUTHORIZED' decal. Un-oriented workers are denied site turnstile entry.</w:t>
      </w:r>
    </w:p>
    <w:p>
      <w:pPr>
        <w:keepNext/>
        <w:spacing w:before="220" w:after="80"/>
      </w:pPr>
      <w:r>
        <w:rPr>
          <w:rFonts w:ascii="Calibri" w:hAnsi="Calibri"/>
          <w:b/>
          <w:color w:val="008080"/>
          <w:sz w:val="24"/>
        </w:rPr>
        <w:t>7.2 In-Person Delivery &amp; Verification Standards</w:t>
      </w:r>
    </w:p>
    <w:p>
      <w:pPr>
        <w:keepNext/>
        <w:spacing w:before="160" w:after="40"/>
      </w:pPr>
      <w:r>
        <w:rPr>
          <w:rFonts w:ascii="Calibri" w:hAnsi="Calibri"/>
          <w:b/>
          <w:color w:val="1B365D"/>
          <w:sz w:val="21"/>
        </w:rPr>
        <w:t>7.2.1 Classroom In-Person Curriculum</w:t>
      </w:r>
    </w:p>
    <w:p>
      <w:r>
        <w:t>2-hour classroom curriculum covering: Live System Demarcation, LOTO Lock Hierarchy, PTW Dual Sign-Off Rules, Emergency Siren Codes, and Right to Refuse Unsafe Work.</w:t>
      </w:r>
    </w:p>
    <w:p>
      <w:pPr>
        <w:keepNext/>
        <w:spacing w:before="160" w:after="40"/>
      </w:pPr>
      <w:r>
        <w:rPr>
          <w:rFonts w:ascii="Calibri" w:hAnsi="Calibri"/>
          <w:b/>
          <w:color w:val="1B365D"/>
          <w:sz w:val="21"/>
        </w:rPr>
        <w:t>7.2.2 Written &amp; Practical Comprehension Testing</w:t>
      </w:r>
    </w:p>
    <w:p>
      <w:r>
        <w:t>Includes practical identification of live system tags and hands-on LOTO lockbox application.</w:t>
      </w:r>
    </w:p>
    <w:p>
      <w:pPr>
        <w:keepNext/>
        <w:spacing w:before="220" w:after="80"/>
      </w:pPr>
      <w:r>
        <w:rPr>
          <w:rFonts w:ascii="Calibri" w:hAnsi="Calibri"/>
          <w:b/>
          <w:color w:val="008080"/>
          <w:sz w:val="24"/>
        </w:rPr>
        <w:t>7.3 Train-the-Trainer Program &amp; Authorized Instructor Designation</w:t>
      </w:r>
    </w:p>
    <w:p>
      <w:pPr>
        <w:keepNext/>
        <w:spacing w:before="160" w:after="40"/>
      </w:pPr>
      <w:r>
        <w:rPr>
          <w:rFonts w:ascii="Calibri" w:hAnsi="Calibri"/>
          <w:b/>
          <w:color w:val="1B365D"/>
          <w:sz w:val="21"/>
        </w:rPr>
        <w:t>7.3.1 Instructor Qualification Criteria &amp; Approved Trainer List</w:t>
      </w:r>
    </w:p>
    <w:p>
      <w:r>
        <w:t>Orientation may only be delivered by certified HSSE Instructors holding formal Train-the-Trainer qualifications on file.</w:t>
      </w:r>
    </w:p>
    <w:p>
      <w:pPr>
        <w:keepNext/>
        <w:spacing w:before="280" w:after="120"/>
      </w:pPr>
      <w:r>
        <w:rPr>
          <w:rFonts w:ascii="Calibri" w:hAnsi="Calibri"/>
          <w:b/>
          <w:color w:val="1B365D"/>
          <w:sz w:val="30"/>
        </w:rPr>
        <w:t>SECTION 8.0: MANAGEMENT OF CHANGE (MOC) ON TURNED-OVER ASSETS</w:t>
      </w:r>
    </w:p>
    <w:p>
      <w:pPr>
        <w:keepNext/>
        <w:spacing w:before="220" w:after="80"/>
      </w:pPr>
      <w:r>
        <w:rPr>
          <w:rFonts w:ascii="Calibri" w:hAnsi="Calibri"/>
          <w:b/>
          <w:color w:val="008080"/>
          <w:sz w:val="24"/>
        </w:rPr>
        <w:t>8.1 MOC Mandatory Triggers on Turned-Over Systems</w:t>
      </w:r>
    </w:p>
    <w:p>
      <w:pPr>
        <w:keepNext/>
        <w:spacing w:before="160" w:after="40"/>
      </w:pPr>
      <w:r>
        <w:rPr>
          <w:rFonts w:ascii="Calibri" w:hAnsi="Calibri"/>
          <w:b/>
          <w:color w:val="1B365D"/>
          <w:sz w:val="21"/>
        </w:rPr>
        <w:t>8.1.1 Modification Rules for Pipe, Instrument, Control Logic, or Valve Re-Configuration</w:t>
      </w:r>
    </w:p>
    <w:p>
      <w:r>
        <w:t>Once a system achieves Ready for Commissioning (RFC) or AHC status, any physical, electrical, instrument, valve, or control logic modification requires formal Management of Change (MOC) approval under Procedure MOC-OPS-001. Construction field changes (FCNs) are strictly prohibited on turned-over assets.</w:t>
      </w:r>
    </w:p>
    <w:p>
      <w:pPr>
        <w:keepNext/>
        <w:spacing w:before="160" w:after="40"/>
      </w:pPr>
      <w:r>
        <w:rPr>
          <w:rFonts w:ascii="Calibri" w:hAnsi="Calibri"/>
          <w:b/>
          <w:color w:val="1B365D"/>
          <w:sz w:val="21"/>
        </w:rPr>
        <w:t>8.1.2 Temporary Modifications &amp; Emergency MOC Protocols</w:t>
      </w:r>
    </w:p>
    <w:p>
      <w:r>
        <w:t>Temporary modifications (e.g., temporary strainers, jumper hoses, bypass wires) require temporary MOC approval with a maximum 30-day expiry log.</w:t>
      </w:r>
    </w:p>
    <w:p>
      <w:pPr>
        <w:keepNext/>
        <w:spacing w:before="220" w:after="80"/>
      </w:pPr>
      <w:r>
        <w:rPr>
          <w:rFonts w:ascii="Calibri" w:hAnsi="Calibri"/>
          <w:b/>
          <w:color w:val="008080"/>
          <w:sz w:val="24"/>
        </w:rPr>
        <w:t>8.2 Joint MOC Review Committee</w:t>
      </w:r>
    </w:p>
    <w:p>
      <w:pPr>
        <w:keepNext/>
        <w:spacing w:before="160" w:after="40"/>
      </w:pPr>
      <w:r>
        <w:rPr>
          <w:rFonts w:ascii="Calibri" w:hAnsi="Calibri"/>
          <w:b/>
          <w:color w:val="1B365D"/>
          <w:sz w:val="21"/>
        </w:rPr>
        <w:t>8.2.1 Committee Composition</w:t>
      </w:r>
    </w:p>
    <w:p>
      <w:r>
        <w:t>Joint MOC Committee comprises: Lead Process Engineer, Operations Superintendent, Commissioning Lead, and HSSE Manager.</w:t>
      </w:r>
    </w:p>
    <w:p>
      <w:pPr>
        <w:keepNext/>
        <w:spacing w:before="160" w:after="40"/>
      </w:pPr>
      <w:r>
        <w:rPr>
          <w:rFonts w:ascii="Calibri" w:hAnsi="Calibri"/>
          <w:b/>
          <w:color w:val="1B365D"/>
          <w:sz w:val="21"/>
        </w:rPr>
        <w:t>8.2.2 MOC Risk Assessment, Approval Sign-Off, and Red-Line Drawing Updates</w:t>
      </w:r>
    </w:p>
    <w:p>
      <w:r>
        <w:t>Requires formal HAZOP/risk review, multidisciplinary sign-off, and immediate red-line P&amp;ID drawing updates before work execution.</w:t>
      </w:r>
    </w:p>
    <w:p>
      <w:pPr>
        <w:keepNext/>
        <w:spacing w:before="220" w:after="80"/>
      </w:pPr>
      <w:r>
        <w:rPr>
          <w:rFonts w:ascii="Calibri" w:hAnsi="Calibri"/>
          <w:b/>
          <w:color w:val="008080"/>
          <w:sz w:val="24"/>
        </w:rPr>
        <w:t>8.3 Field Work Execution &amp; Re-Testing Controls</w:t>
      </w:r>
    </w:p>
    <w:p>
      <w:r>
        <w:t>All MOC field execution must be re-inspected and re-tested under formal QA/QC procedures prior to re-commissioning.</w:t>
      </w:r>
    </w:p>
    <w:p>
      <w:pPr>
        <w:keepNext/>
        <w:spacing w:before="280" w:after="120"/>
      </w:pPr>
      <w:r>
        <w:rPr>
          <w:rFonts w:ascii="Calibri" w:hAnsi="Calibri"/>
          <w:b/>
          <w:color w:val="1B365D"/>
          <w:sz w:val="30"/>
        </w:rPr>
        <w:t>SECTION 9.0: PRE-STARTUP SAFETY REVIEW (PSSR) &amp; COMMODITY INTRODUCTION GATE</w:t>
      </w:r>
    </w:p>
    <w:p>
      <w:pPr>
        <w:keepNext/>
        <w:spacing w:before="220" w:after="80"/>
      </w:pPr>
      <w:r>
        <w:rPr>
          <w:rFonts w:ascii="Calibri" w:hAnsi="Calibri"/>
          <w:b/>
          <w:color w:val="008080"/>
          <w:sz w:val="24"/>
        </w:rPr>
        <w:t>9.1 Pre-Commissioning &amp; Testing Protocols</w:t>
      </w:r>
    </w:p>
    <w:p>
      <w:pPr>
        <w:keepNext/>
        <w:spacing w:before="160" w:after="40"/>
      </w:pPr>
      <w:r>
        <w:rPr>
          <w:rFonts w:ascii="Calibri" w:hAnsi="Calibri"/>
          <w:b/>
          <w:color w:val="1B365D"/>
          <w:sz w:val="21"/>
        </w:rPr>
        <w:t>9.1.1 Nitrogen Purging, Dewatering, Drying, and Vacuum Testing Controls</w:t>
      </w:r>
    </w:p>
    <w:p>
      <w:r>
        <w:t>High-pressure nitrogen purging and vacuum drying require restricted exclusion zones, continuous O2 monitoring, and approved venting procedures.</w:t>
      </w:r>
    </w:p>
    <w:p>
      <w:pPr>
        <w:keepNext/>
        <w:spacing w:before="160" w:after="40"/>
      </w:pPr>
      <w:r>
        <w:rPr>
          <w:rFonts w:ascii="Calibri" w:hAnsi="Calibri"/>
          <w:b/>
          <w:color w:val="1B365D"/>
          <w:sz w:val="21"/>
        </w:rPr>
        <w:t>9.1.2 Cryogenic Leak Testing &amp; Tightness Verification Procedures</w:t>
      </w:r>
    </w:p>
    <w:p>
      <w:r>
        <w:t>Cryogenic tightness testing requires specialized thermal PPE, cold-stretch thermal expansion monitoring, and helium leak detection.</w:t>
      </w:r>
    </w:p>
    <w:p>
      <w:pPr>
        <w:keepNext/>
        <w:spacing w:before="220" w:after="80"/>
      </w:pPr>
      <w:r>
        <w:rPr>
          <w:rFonts w:ascii="Calibri" w:hAnsi="Calibri"/>
          <w:b/>
          <w:color w:val="008080"/>
          <w:sz w:val="24"/>
        </w:rPr>
        <w:t>9.2 Pre-Startup Safety Review (PSSR) Gate Execution</w:t>
      </w:r>
    </w:p>
    <w:p>
      <w:pPr>
        <w:keepNext/>
        <w:spacing w:before="160" w:after="40"/>
      </w:pPr>
      <w:r>
        <w:rPr>
          <w:rFonts w:ascii="Calibri" w:hAnsi="Calibri"/>
          <w:b/>
          <w:color w:val="1B365D"/>
          <w:sz w:val="21"/>
        </w:rPr>
        <w:t>9.2.1 Multidisciplinary PSSR Team Composition &amp; Field Verification Checklists</w:t>
      </w:r>
    </w:p>
    <w:p>
      <w:r>
        <w:t>PSSR teams conduct exhaustive physical field walkthroughs using 5-element checklists: (1) Physical installation matches P&amp;ID; (2) Operating and emergency procedures approved; (3) Operator training complete; (4) Action items from HAZOP/LOPA closed; (5) Safety Critical Elements (ESD, Relief Valves, F&amp;G) fully certified.</w:t>
      </w:r>
    </w:p>
    <w:p>
      <w:pPr>
        <w:keepNext/>
        <w:spacing w:before="160" w:after="40"/>
      </w:pPr>
      <w:r>
        <w:rPr>
          <w:rFonts w:ascii="Calibri" w:hAnsi="Calibri"/>
          <w:b/>
          <w:color w:val="1B365D"/>
          <w:sz w:val="21"/>
        </w:rPr>
        <w:t>9.2.2 PSSR Approval Certificate Sign-Off Workflow</w:t>
      </w:r>
    </w:p>
    <w:p>
      <w:r>
        <w:t>PSSR Approval Certificate requires formal sign-off by Commissioning Manager, Operations Director, and VP HSSE. Hydrocarbon introduction is strictly prohibited without signed PSSR clearance.</w:t>
      </w:r>
    </w:p>
    <w:p>
      <w:pPr>
        <w:keepNext/>
        <w:spacing w:before="220" w:after="80"/>
      </w:pPr>
      <w:r>
        <w:rPr>
          <w:rFonts w:ascii="Calibri" w:hAnsi="Calibri"/>
          <w:b/>
          <w:color w:val="008080"/>
          <w:sz w:val="24"/>
        </w:rPr>
        <w:t>9.3 Strict Punchlist Closure Gate</w:t>
      </w:r>
    </w:p>
    <w:p>
      <w:pPr>
        <w:keepNext/>
        <w:spacing w:before="160" w:after="40"/>
      </w:pPr>
      <w:r>
        <w:rPr>
          <w:rFonts w:ascii="Calibri" w:hAnsi="Calibri"/>
          <w:b/>
          <w:color w:val="1B365D"/>
          <w:sz w:val="21"/>
        </w:rPr>
        <w:t>9.3.1 Mandatory 100% Closure of Category A, B, and C Punch Items Prior to Hydrocarbon Intro</w:t>
      </w:r>
    </w:p>
    <w:p>
      <w:r>
        <w:t>100% of Category A, Category B, and Category C safety/integrity punch items must achieve verified physical closure before introducing fuel gas, amine, refrigerant, or LNG hydrocarbons.</w:t>
      </w:r>
    </w:p>
    <w:p>
      <w:pPr>
        <w:keepNext/>
        <w:spacing w:before="280" w:after="120"/>
      </w:pPr>
      <w:r>
        <w:rPr>
          <w:rFonts w:ascii="Calibri" w:hAnsi="Calibri"/>
          <w:b/>
          <w:color w:val="1B365D"/>
          <w:sz w:val="30"/>
        </w:rPr>
        <w:t>SECTION 10.0: PHASED EMERGENCY MANAGEMENT &amp; ICS TRANSITION</w:t>
      </w:r>
    </w:p>
    <w:p>
      <w:pPr>
        <w:keepNext/>
        <w:spacing w:before="220" w:after="80"/>
      </w:pPr>
      <w:r>
        <w:rPr>
          <w:rFonts w:ascii="Calibri" w:hAnsi="Calibri"/>
          <w:b/>
          <w:color w:val="008080"/>
          <w:sz w:val="24"/>
        </w:rPr>
        <w:t>10.1 Phase 1 Emergency Response Structure (Construction &amp; Pre-Commissioning)</w:t>
      </w:r>
    </w:p>
    <w:p>
      <w:pPr>
        <w:keepNext/>
        <w:spacing w:before="160" w:after="40"/>
      </w:pPr>
      <w:r>
        <w:rPr>
          <w:rFonts w:ascii="Calibri" w:hAnsi="Calibri"/>
          <w:b/>
          <w:color w:val="1B365D"/>
          <w:sz w:val="21"/>
        </w:rPr>
        <w:t>10.1.1 Owner-Managed 3rd-Party Medical &amp; Emergency Services Provider Role</w:t>
      </w:r>
    </w:p>
    <w:p>
      <w:r>
        <w:t>During construction, emergency medical response is provided by Owner-contracted 3rd-party Advanced Life Support medical teams and site clinics.</w:t>
      </w:r>
    </w:p>
    <w:p>
      <w:pPr>
        <w:keepNext/>
        <w:spacing w:before="160" w:after="40"/>
      </w:pPr>
      <w:r>
        <w:rPr>
          <w:rFonts w:ascii="Calibri" w:hAnsi="Calibri"/>
          <w:b/>
          <w:color w:val="1B365D"/>
          <w:sz w:val="21"/>
        </w:rPr>
        <w:t>10.1.2 Site Medical, Muster Point, and Construction Siren Operations</w:t>
      </w:r>
    </w:p>
    <w:p>
      <w:r>
        <w:t>Emergency evacuation uses construction air horns (3 short blasts for evacuation; 1 long blast for all-clear).</w:t>
      </w:r>
    </w:p>
    <w:p>
      <w:pPr>
        <w:keepNext/>
        <w:spacing w:before="220" w:after="80"/>
      </w:pPr>
      <w:r>
        <w:rPr>
          <w:rFonts w:ascii="Calibri" w:hAnsi="Calibri"/>
          <w:b/>
          <w:color w:val="008080"/>
          <w:sz w:val="24"/>
        </w:rPr>
        <w:t>10.2 Phase 2 Emergency Response Structure (Commissioning &amp; Testing)</w:t>
      </w:r>
    </w:p>
    <w:p>
      <w:pPr>
        <w:keepNext/>
        <w:spacing w:before="160" w:after="40"/>
      </w:pPr>
      <w:r>
        <w:rPr>
          <w:rFonts w:ascii="Calibri" w:hAnsi="Calibri"/>
          <w:b/>
          <w:color w:val="1B365D"/>
          <w:sz w:val="21"/>
        </w:rPr>
        <w:t>10.2.1 Shared Dual Operations &amp; Construction Incident Command System (ICS)</w:t>
      </w:r>
    </w:p>
    <w:p>
      <w:r>
        <w:t>During commissioning overlap, Emergency Response operates under a Shared Unified Incident Command System (ICS).</w:t>
      </w:r>
    </w:p>
    <w:p>
      <w:pPr>
        <w:keepNext/>
        <w:spacing w:before="160" w:after="40"/>
      </w:pPr>
      <w:r>
        <w:rPr>
          <w:rFonts w:ascii="Calibri" w:hAnsi="Calibri"/>
          <w:b/>
          <w:color w:val="1B365D"/>
          <w:sz w:val="21"/>
        </w:rPr>
        <w:t>10.2.2 Dual Incident Commander Protocols &amp; Unified Command Post</w:t>
      </w:r>
    </w:p>
    <w:p>
      <w:r>
        <w:t>The Unified Command Post is co-located at the Main Security Center, manned by both the EPC Emergency Commander AND the Woodfibre LNG Operations Duty Manager.</w:t>
      </w:r>
    </w:p>
    <w:p>
      <w:pPr>
        <w:keepNext/>
        <w:spacing w:before="220" w:after="80"/>
      </w:pPr>
      <w:r>
        <w:rPr>
          <w:rFonts w:ascii="Calibri" w:hAnsi="Calibri"/>
          <w:b/>
          <w:color w:val="008080"/>
          <w:sz w:val="24"/>
        </w:rPr>
        <w:t>10.3 Phase 3 Emergency Response Structure (Hydrocarbon Introduction &amp; Onward)</w:t>
      </w:r>
    </w:p>
    <w:p>
      <w:pPr>
        <w:keepNext/>
        <w:spacing w:before="160" w:after="40"/>
      </w:pPr>
      <w:r>
        <w:rPr>
          <w:rFonts w:ascii="Calibri" w:hAnsi="Calibri"/>
          <w:b/>
          <w:color w:val="1B365D"/>
          <w:sz w:val="21"/>
        </w:rPr>
        <w:t>10.3.1 Transition to Sole Operations Incident Command</w:t>
      </w:r>
    </w:p>
    <w:p>
      <w:r>
        <w:t>Upon RFSU and hydrocarbon introduction, Emergency Command transfers 100% to the Woodfibre LNG Operations Incident Commander and Control Room console.</w:t>
      </w:r>
    </w:p>
    <w:p>
      <w:pPr>
        <w:keepNext/>
        <w:spacing w:before="160" w:after="40"/>
      </w:pPr>
      <w:r>
        <w:rPr>
          <w:rFonts w:ascii="Calibri" w:hAnsi="Calibri"/>
          <w:b/>
          <w:color w:val="1B365D"/>
          <w:sz w:val="21"/>
        </w:rPr>
        <w:t>10.3.2 EPC &amp; Construction Support Roles during Demobilization</w:t>
      </w:r>
    </w:p>
    <w:p>
      <w:r>
        <w:t>Remaining demobilizing construction personnel act as specialized technical support resources under Operations Incident Command direction.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 w:author="HSE Governance Specialist" w:date="2026-08-10T13:45:00Z" w:initials="HSE">
    <w:p>
      <w:r>
        <w:t>[SECTION 1.0 GOVERNANCE]: Section 1.1 &amp; 1.2 fully populate non-linear utility handover rules (Instrument Air, Nitrogen, Power) and physical live-system boundary fencing criteria. Regulatory hold points for BCER commissioning consent and TSBC permits are established.</w:t>
      </w:r>
    </w:p>
  </w:comment>
  <w:comment w:id="2" w:author="HSE Governance Specialist" w:date="2026-08-10T13:46:00Z" w:initials="HSE">
    <w:p>
      <w:r>
        <w:t>[SECTION 2.0 RACIS MATRIX]: Section 2.4 RACIS matrix clearly delineates s.118 Prime Contractor site safety authority and assigns WLNG Operations sole permitting accountability on all turned-over assets.</w:t>
      </w:r>
    </w:p>
  </w:comment>
  <w:comment w:id="3" w:author="HSE Governance Specialist" w:date="2026-08-10T13:47:00Z" w:initials="HSE">
    <w:p>
      <w:r>
        <w:t>[SECTION 3.0 CCCC GATES]: Section 3.3 enforces 100% closeout of Category A punch items prior to Mechanical Completion or testing, and complete Category B/C closeout prior to commodity introduction.</w:t>
      </w:r>
    </w:p>
  </w:comment>
  <w:comment w:id="4" w:author="HSE Governance Specialist" w:date="2026-08-10T13:48:00Z" w:initials="HSE">
    <w:p>
      <w:r>
        <w:t>[SECTION 4.0 PTW CONTROLS]: Section 4.0 retains EPC permit form factor for workforce familiarity while shifting 100% permitting authority to WLNG Operations on live assets, enforcing daily permits and dual sign-off for cross-boundary work.</w:t>
      </w:r>
    </w:p>
  </w:comment>
  <w:comment w:id="5" w:author="HSE Governance Specialist" w:date="2026-08-10T13:49:00Z" w:initials="HSE">
    <w:p>
      <w:r>
        <w:t>[SECTION 5.0 LOTO &amp; NOTIFICATIONS]: Section 5.0 establishes Operations Red Master Locks, key safes in the Control Room, double-block-and-bleed positive isolations, and 7-day/48-hr/24-hr advance livening notification schedules.</w:t>
      </w:r>
    </w:p>
  </w:comment>
  <w:comment w:id="6" w:author="HSE Governance Specialist" w:date="2026-08-10T13:50:00Z" w:initials="HSE">
    <w:p>
      <w:r>
        <w:t>[SECTION 7.0 ORIENTATION MANDATE]: Section 7.0 mandates 100% attendance in classroom transition orientation and practical LOTO testing prior to badge re-authorization.</w:t>
      </w:r>
    </w:p>
  </w:comment>
  <w:comment w:id="7" w:author="HSE Governance Specialist" w:date="2026-08-10T13:51:00Z" w:initials="HSE">
    <w:p>
      <w:r>
        <w:t>[SECTION 8.0 &amp; 9.0 MOC / PSSR]: Section 8.0 &amp; 9.0 mandate multidisciplinary MOC approvals for any modification on turned-over assets, and 5-step PSSR clearance before introducing hydrocarbons.</w:t>
      </w:r>
    </w:p>
  </w:comment>
  <w:comment w:id="8" w:author="HSE Governance Specialist" w:date="2026-08-10T13:52:00Z" w:initials="HSE">
    <w:p>
      <w:r>
        <w:t>[SECTION 10.0 EMERGENCY ICS]: Section 10.0 establishes 3-Phase Emergency Command (EPC Site ERP → Joint Unified Command → 100% WLNG Operations Incident Command System).</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88888"/>
        <w:sz w:val="17"/>
      </w:rPr>
      <w:t>Woodfibre LNG Project | Master TSMP Execution Plan (TSMP-PLN-001)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Comments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