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Calibri" w:hAnsi="Calibri"/>
          <w:b/>
          <w:color w:val="1B365D"/>
          <w:sz w:val="44"/>
        </w:rPr>
        <w:t>TRANSITIONAL SAFETY MANAGEMENT PLAN (TSMP)</w:t>
      </w:r>
    </w:p>
    <w:p>
      <w:pPr>
        <w:spacing w:after="320"/>
      </w:pPr>
      <w:r>
        <w:rPr>
          <w:rFonts w:ascii="Calibri" w:hAnsi="Calibri"/>
          <w:i/>
          <w:color w:val="005A9C"/>
          <w:sz w:val="26"/>
        </w:rPr>
        <w:t>Master Table of Contents &amp; Commissioning / Handover Execution Plan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Document Number:</w:t>
            </w:r>
          </w:p>
        </w:tc>
        <w:tc>
          <w:tcPr>
            <w:tcW w:type="dxa" w:w="619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9"/>
              </w:rPr>
              <w:t>TSMP-PLN-001</w:t>
            </w:r>
          </w:p>
        </w:tc>
      </w:tr>
      <w:tr>
        <w:tc>
          <w:tcPr>
            <w:tcW w:type="dxa" w:w="3168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Document Title:</w:t>
            </w:r>
          </w:p>
        </w:tc>
        <w:tc>
          <w:tcPr>
            <w:tcW w:type="dxa" w:w="619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9"/>
              </w:rPr>
              <w:t>Transitional Safety Management Plan</w:t>
            </w:r>
          </w:p>
        </w:tc>
      </w:tr>
      <w:tr>
        <w:tc>
          <w:tcPr>
            <w:tcW w:type="dxa" w:w="3168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Version &amp; Status:</w:t>
            </w:r>
          </w:p>
        </w:tc>
        <w:tc>
          <w:tcPr>
            <w:tcW w:type="dxa" w:w="619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9"/>
              </w:rPr>
              <w:t>1.0 (Master Architecture - Work In Progress)</w:t>
            </w:r>
          </w:p>
        </w:tc>
      </w:tr>
      <w:tr>
        <w:tc>
          <w:tcPr>
            <w:tcW w:type="dxa" w:w="3168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Jurisdiction &amp; Governing Codes:</w:t>
            </w:r>
          </w:p>
        </w:tc>
        <w:tc>
          <w:tcPr>
            <w:tcW w:type="dxa" w:w="619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9"/>
              </w:rPr>
              <w:t>BC Energy Regulator (BCER), WorkSafeBC OHSR, TSBC, CSA Z276, ISO 45001</w:t>
            </w:r>
          </w:p>
        </w:tc>
      </w:tr>
      <w:tr>
        <w:tc>
          <w:tcPr>
            <w:tcW w:type="dxa" w:w="3168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Target Audience:</w:t>
            </w:r>
          </w:p>
        </w:tc>
        <w:tc>
          <w:tcPr>
            <w:tcW w:type="dxa" w:w="619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9"/>
              </w:rPr>
              <w:t>Owner Leadership, Operations &amp; Commissioning, EPC Contractor, Regulators</w:t>
            </w:r>
          </w:p>
        </w:tc>
      </w:tr>
    </w:tbl>
    <w:p>
      <w:pPr>
        <w:spacing w:after="240"/>
      </w:pPr>
    </w:p>
    <w:p>
      <w:pPr>
        <w:keepNext/>
        <w:spacing w:before="280" w:after="80"/>
      </w:pPr>
      <w:r>
        <w:rPr>
          <w:rFonts w:ascii="Calibri" w:hAnsi="Calibri"/>
          <w:b/>
          <w:color w:val="1B365D"/>
          <w:sz w:val="25"/>
        </w:rPr>
        <w:t>SECTION 1.0: PURPOSE, SCOPE &amp; TRANSITION MILESTONES</w:t>
      </w:r>
    </w:p>
    <w:p>
      <w:pPr>
        <w:keepNext/>
        <w:spacing w:before="80" w:after="40"/>
        <w:ind w:left="288"/>
      </w:pPr>
      <w:r>
        <w:rPr>
          <w:rFonts w:ascii="Calibri" w:hAnsi="Calibri"/>
          <w:b/>
          <w:color w:val="005A9C"/>
          <w:sz w:val="22"/>
        </w:rPr>
        <w:t>1.1 Purpose &amp; Execution Scope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1.1.1 Governance Bridge between EPC Construction Rules and Owner OSMM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1.1.2 Lifecycle Phases: Mechanical Completion (MC) -&gt; Pre-Commissioning -&gt; Commissioning -&gt; Hydrocarbon Intro -&gt; Handover</w:t>
      </w:r>
    </w:p>
    <w:p>
      <w:pPr>
        <w:keepNext/>
        <w:spacing w:before="80" w:after="40"/>
        <w:ind w:left="288"/>
      </w:pPr>
      <w:r>
        <w:rPr>
          <w:rFonts w:ascii="Calibri" w:hAnsi="Calibri"/>
          <w:b/>
          <w:color w:val="005A9C"/>
          <w:sz w:val="22"/>
        </w:rPr>
        <w:t>1.2 Dispersed / Subsystem Turnover Execution Model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1.2.1 Non-Linear System Handover Strategy (Early Utility Systems e.g., Instrument Air, Nitrogen, Power)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1.2.2 Interface Control between Energized Subsystems and Adjacent Active Construction Footprints</w:t>
      </w:r>
    </w:p>
    <w:p>
      <w:pPr>
        <w:keepNext/>
        <w:spacing w:before="80" w:after="40"/>
        <w:ind w:left="288"/>
      </w:pPr>
      <w:r>
        <w:rPr>
          <w:rFonts w:ascii="Calibri" w:hAnsi="Calibri"/>
          <w:b/>
          <w:color w:val="005A9C"/>
          <w:sz w:val="22"/>
        </w:rPr>
        <w:t>1.3 Statutory &amp; Regulatory Approvals Gate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1.3.1 BCER Commissioning Consent &amp; Testing Notifications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1.3.2 Technical Safety BC (TSBC) Operating Permits &amp; Inspection Sign-Offs</w:t>
      </w:r>
    </w:p>
    <w:p>
      <w:pPr>
        <w:keepNext/>
        <w:spacing w:before="280" w:after="80"/>
      </w:pPr>
      <w:r>
        <w:rPr>
          <w:rFonts w:ascii="Calibri" w:hAnsi="Calibri"/>
          <w:b/>
          <w:color w:val="1B365D"/>
          <w:sz w:val="25"/>
        </w:rPr>
        <w:t>SECTION 2.0: TRANSITIONAL ROLES, RESPONSIBILITIES &amp; AUTHORITY MATRIX</w:t>
      </w:r>
    </w:p>
    <w:p>
      <w:pPr>
        <w:keepNext/>
        <w:spacing w:before="80" w:after="40"/>
        <w:ind w:left="288"/>
      </w:pPr>
      <w:r>
        <w:rPr>
          <w:rFonts w:ascii="Calibri" w:hAnsi="Calibri"/>
          <w:b/>
          <w:color w:val="005A9C"/>
          <w:sz w:val="22"/>
        </w:rPr>
        <w:t>2.1 WorkSafeBC Prime Contractor Governance during Transition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2.1.1 Owner Prime Contractor Overall Site Safety Authority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2.1.2 Owner Safety Oversight Structure in Multi-Employer Environment</w:t>
      </w:r>
    </w:p>
    <w:p>
      <w:pPr>
        <w:keepNext/>
        <w:spacing w:before="80" w:after="40"/>
        <w:ind w:left="288"/>
      </w:pPr>
      <w:r>
        <w:rPr>
          <w:rFonts w:ascii="Calibri" w:hAnsi="Calibri"/>
          <w:b/>
          <w:color w:val="005A9C"/>
          <w:sz w:val="22"/>
        </w:rPr>
        <w:t>2.2 EPC Contractor Oversight &amp; Subcontractor Safety Alignment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2.2.1 EPC Construction Oversight Responsibilities on Un-Turned-Over Assets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2.2.2 Subcontractor Safety Alignment &amp; Compliance Enforcement</w:t>
      </w:r>
    </w:p>
    <w:p>
      <w:pPr>
        <w:keepNext/>
        <w:spacing w:before="80" w:after="40"/>
        <w:ind w:left="288"/>
      </w:pPr>
      <w:r>
        <w:rPr>
          <w:rFonts w:ascii="Calibri" w:hAnsi="Calibri"/>
          <w:b/>
          <w:color w:val="005A9C"/>
          <w:sz w:val="22"/>
        </w:rPr>
        <w:t>2.3 Owner Operations &amp; Commissioning Team Authority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2.3.1 Commissioning Manager &amp; Area Isolation Authority Powers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2.3.2 Operations Permit Issuing Authority on Turned-Over Assets</w:t>
      </w:r>
    </w:p>
    <w:p>
      <w:pPr>
        <w:keepNext/>
        <w:spacing w:before="80" w:after="40"/>
        <w:ind w:left="288"/>
      </w:pPr>
      <w:r>
        <w:rPr>
          <w:rFonts w:ascii="Calibri" w:hAnsi="Calibri"/>
          <w:b/>
          <w:color w:val="005A9C"/>
          <w:sz w:val="22"/>
        </w:rPr>
        <w:t>2.4 Interface &amp; Authority Matrix (RACIS Chart)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2.4.1 System Handover RACIS Matrix (Construction vs. Operations vs. Safety vs. EPC)</w:t>
      </w:r>
    </w:p>
    <w:p>
      <w:pPr>
        <w:keepNext/>
        <w:spacing w:before="280" w:after="80"/>
      </w:pPr>
      <w:r>
        <w:rPr>
          <w:rFonts w:ascii="Calibri" w:hAnsi="Calibri"/>
          <w:b/>
          <w:color w:val="1B365D"/>
          <w:sz w:val="25"/>
        </w:rPr>
        <w:t>SECTION 3.0: CARE, CUSTODY, AND CONTROL (CCCC) &amp; HANDOVER GATES</w:t>
      </w:r>
    </w:p>
    <w:p>
      <w:pPr>
        <w:keepNext/>
        <w:spacing w:before="80" w:after="40"/>
        <w:ind w:left="288"/>
      </w:pPr>
      <w:r>
        <w:rPr>
          <w:rFonts w:ascii="Calibri" w:hAnsi="Calibri"/>
          <w:b/>
          <w:color w:val="005A9C"/>
          <w:sz w:val="22"/>
        </w:rPr>
        <w:t>3.1 System Boundary Demarcation &amp; Red Line Markings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3.1.1 System Demarcation P&amp;ID Drawings &amp; Color-Coded Piping Maps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3.1.2 Physical Boundary Flags, Barricades, and Signage Criteria</w:t>
      </w:r>
    </w:p>
    <w:p>
      <w:pPr>
        <w:keepNext/>
        <w:spacing w:before="80" w:after="40"/>
        <w:ind w:left="288"/>
      </w:pPr>
      <w:r>
        <w:rPr>
          <w:rFonts w:ascii="Calibri" w:hAnsi="Calibri"/>
          <w:b/>
          <w:color w:val="005A9C"/>
          <w:sz w:val="22"/>
        </w:rPr>
        <w:t>3.2 Joint System Walkdown &amp; Punchlisting Protocol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3.2.1 Pre-Walkdown Documentation Verification (Hydrotest, NDE, Flush/Dry Records)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3.2.2 Joint Walkdown Team Composition (Owner Engineering, Operations, EPC, Quality)</w:t>
      </w:r>
    </w:p>
    <w:p>
      <w:pPr>
        <w:keepNext/>
        <w:spacing w:before="80" w:after="40"/>
        <w:ind w:left="288"/>
      </w:pPr>
      <w:r>
        <w:rPr>
          <w:rFonts w:ascii="Calibri" w:hAnsi="Calibri"/>
          <w:b/>
          <w:color w:val="005A9C"/>
          <w:sz w:val="22"/>
        </w:rPr>
        <w:t>3.3 Punchlist Categorization &amp; Mandatory Closeout Gates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3.3.1 Category A Punch Items: Mandatory Closeout Prior to Mechanical Completion / Testing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3.3.2 Category B &amp; C Punch Items: Closure Requirements Prior to Commodity Introduction</w:t>
      </w:r>
    </w:p>
    <w:p>
      <w:pPr>
        <w:keepNext/>
        <w:spacing w:before="80" w:after="40"/>
        <w:ind w:left="288"/>
      </w:pPr>
      <w:r>
        <w:rPr>
          <w:rFonts w:ascii="Calibri" w:hAnsi="Calibri"/>
          <w:b/>
          <w:color w:val="005A9C"/>
          <w:sz w:val="22"/>
        </w:rPr>
        <w:t>3.4 Transfer of Care, Custody, and Control (CCCC) Certificates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3.4.1 Formal Certificate Execution Sign-Off Workflow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3.4.2 Legal Asset Custody Transfer Logging</w:t>
      </w:r>
    </w:p>
    <w:p>
      <w:pPr>
        <w:keepNext/>
        <w:spacing w:before="280" w:after="80"/>
      </w:pPr>
      <w:r>
        <w:rPr>
          <w:rFonts w:ascii="Calibri" w:hAnsi="Calibri"/>
          <w:b/>
          <w:color w:val="1B365D"/>
          <w:sz w:val="25"/>
        </w:rPr>
        <w:t>SECTION 4.0: TRANSITIONAL PERMIT TO WORK (PTW) PROTOCOL</w:t>
      </w:r>
    </w:p>
    <w:p>
      <w:pPr>
        <w:keepNext/>
        <w:spacing w:before="80" w:after="40"/>
        <w:ind w:left="288"/>
      </w:pPr>
      <w:r>
        <w:rPr>
          <w:rFonts w:ascii="Calibri" w:hAnsi="Calibri"/>
          <w:b/>
          <w:color w:val="005A9C"/>
          <w:sz w:val="22"/>
        </w:rPr>
        <w:t>4.1 Harmonized PTW Architecture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4.1.1 Retention of EPC Permit Form Factor to Preserve Workforce Familiarity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4.1.2 Transfer of Permitting Authority to Owner Operations for Turned-Over Systems</w:t>
      </w:r>
    </w:p>
    <w:p>
      <w:pPr>
        <w:keepNext/>
        <w:spacing w:before="80" w:after="40"/>
        <w:ind w:left="288"/>
      </w:pPr>
      <w:r>
        <w:rPr>
          <w:rFonts w:ascii="Calibri" w:hAnsi="Calibri"/>
          <w:b/>
          <w:color w:val="005A9C"/>
          <w:sz w:val="22"/>
        </w:rPr>
        <w:t>4.2 Daily Scope-Specific Permitting Execution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4.2.1 Mandatory Shift to Daily Permits for Turned-Over Systems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4.2.2 Daily Permit Issuance Workflows, Joint Field Risk Assessments &amp; Gas Testing</w:t>
      </w:r>
    </w:p>
    <w:p>
      <w:pPr>
        <w:keepNext/>
        <w:spacing w:before="80" w:after="40"/>
        <w:ind w:left="288"/>
      </w:pPr>
      <w:r>
        <w:rPr>
          <w:rFonts w:ascii="Calibri" w:hAnsi="Calibri"/>
          <w:b/>
          <w:color w:val="005A9C"/>
          <w:sz w:val="22"/>
        </w:rPr>
        <w:t>4.3 Multi-Day 'Blanket Permit' Rules &amp; Risk Screening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4.3.1 Eligible Low-Risk Work Scopes (Static Inspections, Non-Intrusive Civil/Painting)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4.3.2 Strict Exclusion Criteria &amp; Revocation Triggers</w:t>
      </w:r>
    </w:p>
    <w:p>
      <w:pPr>
        <w:keepNext/>
        <w:spacing w:before="80" w:after="40"/>
        <w:ind w:left="288"/>
      </w:pPr>
      <w:r>
        <w:rPr>
          <w:rFonts w:ascii="Calibri" w:hAnsi="Calibri"/>
          <w:b/>
          <w:color w:val="005A9C"/>
          <w:sz w:val="22"/>
        </w:rPr>
        <w:t>4.4 PTW Interface &amp; Cross-Boundary Permitting Controls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4.4.1 Work Originating in Construction Zones Impacting Live Systems (Dual Permitting Sign-Off)</w:t>
      </w:r>
    </w:p>
    <w:p>
      <w:pPr>
        <w:keepNext/>
        <w:spacing w:before="280" w:after="80"/>
      </w:pPr>
      <w:r>
        <w:rPr>
          <w:rFonts w:ascii="Calibri" w:hAnsi="Calibri"/>
          <w:b/>
          <w:color w:val="1B365D"/>
          <w:sz w:val="25"/>
        </w:rPr>
        <w:t>SECTION 5.0: PHYSICAL, VISUAL &amp; COMMUNICATION ISOLATION CONTROLS</w:t>
      </w:r>
    </w:p>
    <w:p>
      <w:pPr>
        <w:keepNext/>
        <w:spacing w:before="80" w:after="40"/>
        <w:ind w:left="288"/>
      </w:pPr>
      <w:r>
        <w:rPr>
          <w:rFonts w:ascii="Calibri" w:hAnsi="Calibri"/>
          <w:b/>
          <w:color w:val="005A9C"/>
          <w:sz w:val="22"/>
        </w:rPr>
        <w:t>5.1 Physical Energy Isolation (LOTO) Controls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5.1.1 Operations Color-Coded Lock System &amp; Key Management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5.1.2 Specialty Positive Isolation: Blinds, Blanks, Double-Block &amp; Bleed Standards</w:t>
      </w:r>
    </w:p>
    <w:p>
      <w:pPr>
        <w:keepNext/>
        <w:spacing w:before="80" w:after="40"/>
        <w:ind w:left="288"/>
      </w:pPr>
      <w:r>
        <w:rPr>
          <w:rFonts w:ascii="Calibri" w:hAnsi="Calibri"/>
          <w:b/>
          <w:color w:val="005A9C"/>
          <w:sz w:val="22"/>
        </w:rPr>
        <w:t>5.2 Visual Boundary Demarcation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5.2.1 High-Visibility Live System Tags, Color-Coded Blinding Tags, and Danger Signage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5.2.2 Physical Cable &amp; Chain Isolation of Operations-Controlled Valves</w:t>
      </w:r>
    </w:p>
    <w:p>
      <w:pPr>
        <w:keepNext/>
        <w:spacing w:before="80" w:after="40"/>
        <w:ind w:left="288"/>
      </w:pPr>
      <w:r>
        <w:rPr>
          <w:rFonts w:ascii="Calibri" w:hAnsi="Calibri"/>
          <w:b/>
          <w:color w:val="005A9C"/>
          <w:sz w:val="22"/>
        </w:rPr>
        <w:t>5.3 Advance 'Livening Up' Notification Schedule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5.3.1 Mandatory 7-Day Advance Site-Wide Livening Notification &amp; Map Broadcast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5.3.2 Mandatory 48-Hour Re-Notification &amp; Area Supervisor Alignment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5.3.3 Mandatory 24-Hour Final Warning, Horn/Siren Broadcast &amp; Physical Walkdown</w:t>
      </w:r>
    </w:p>
    <w:p>
      <w:pPr>
        <w:keepNext/>
        <w:spacing w:before="80" w:after="40"/>
        <w:ind w:left="288"/>
      </w:pPr>
      <w:r>
        <w:rPr>
          <w:rFonts w:ascii="Calibri" w:hAnsi="Calibri"/>
          <w:b/>
          <w:color w:val="005A9C"/>
          <w:sz w:val="22"/>
        </w:rPr>
        <w:t>5.4 Lockout/Tagout (LOTO) Custody Transfer Mechanics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5.4.1 Formal Cutting/Removal of EPC Construction Locks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5.4.2 Installation of Operations Master Locks on Centralized Lock Boxes</w:t>
      </w:r>
    </w:p>
    <w:p>
      <w:pPr>
        <w:keepNext/>
        <w:spacing w:before="280" w:after="80"/>
      </w:pPr>
      <w:r>
        <w:rPr>
          <w:rFonts w:ascii="Calibri" w:hAnsi="Calibri"/>
          <w:b/>
          <w:color w:val="1B365D"/>
          <w:sz w:val="25"/>
        </w:rPr>
        <w:t>SECTION 6.0: SIMOPS MANAGEMENT &amp; MULTI-LAYERED FIELD ASSURANCE</w:t>
      </w:r>
    </w:p>
    <w:p>
      <w:pPr>
        <w:keepNext/>
        <w:spacing w:before="80" w:after="40"/>
        <w:ind w:left="288"/>
      </w:pPr>
      <w:r>
        <w:rPr>
          <w:rFonts w:ascii="Calibri" w:hAnsi="Calibri"/>
          <w:b/>
          <w:color w:val="005A9C"/>
          <w:sz w:val="22"/>
        </w:rPr>
        <w:t>6.1 Dispersed System SIMOPS Hazard Analysis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6.1.1 SIMOPS Risk Matrix (Construction vs. Energized Utilities vs. Hydrocarbons)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6.1.2 Area-Specific SIMOPS Risk Mitigation Plans</w:t>
      </w:r>
    </w:p>
    <w:p>
      <w:pPr>
        <w:keepNext/>
        <w:spacing w:before="80" w:after="40"/>
        <w:ind w:left="288"/>
      </w:pPr>
      <w:r>
        <w:rPr>
          <w:rFonts w:ascii="Calibri" w:hAnsi="Calibri"/>
          <w:b/>
          <w:color w:val="005A9C"/>
          <w:sz w:val="22"/>
        </w:rPr>
        <w:t>6.2 Multi-Layered Field Assurance &amp; Verification System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6.2.1 Safety Department Field Auditing &amp; Formal Compliance Reporting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6.2.2 Supervisory Field Verification Tools &amp; Daily Observation Checklists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6.2.3 Mandatory Stage &amp; Action Gate Sign-Off Workflows</w:t>
      </w:r>
    </w:p>
    <w:p>
      <w:pPr>
        <w:keepNext/>
        <w:spacing w:before="280" w:after="80"/>
      </w:pPr>
      <w:r>
        <w:rPr>
          <w:rFonts w:ascii="Calibri" w:hAnsi="Calibri"/>
          <w:b/>
          <w:color w:val="1B365D"/>
          <w:sz w:val="25"/>
        </w:rPr>
        <w:t>SECTION 7.0: MANDATORY IN-PERSON TRANSITION ORIENTATION &amp; COMPETENCY</w:t>
      </w:r>
    </w:p>
    <w:p>
      <w:pPr>
        <w:keepNext/>
        <w:spacing w:before="80" w:after="40"/>
        <w:ind w:left="288"/>
      </w:pPr>
      <w:r>
        <w:rPr>
          <w:rFonts w:ascii="Calibri" w:hAnsi="Calibri"/>
          <w:b/>
          <w:color w:val="005A9C"/>
          <w:sz w:val="22"/>
        </w:rPr>
        <w:t>7.1 Transition Orientation Mandate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7.1.1 100% Mandatory Attendance for All Personnel On-Site Prior to System Energization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7.1.2 Passing Score Threshold &amp; Badge Re-Authorization Protocol</w:t>
      </w:r>
    </w:p>
    <w:p>
      <w:pPr>
        <w:keepNext/>
        <w:spacing w:before="80" w:after="40"/>
        <w:ind w:left="288"/>
      </w:pPr>
      <w:r>
        <w:rPr>
          <w:rFonts w:ascii="Calibri" w:hAnsi="Calibri"/>
          <w:b/>
          <w:color w:val="005A9C"/>
          <w:sz w:val="22"/>
        </w:rPr>
        <w:t>7.2 In-Person Delivery &amp; Verification Standards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7.2.1 Classroom In-Person Curriculum (Live System Identification, LOTO Rules, PTW Interface)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7.2.2 Written &amp; Practical Comprehension Testing</w:t>
      </w:r>
    </w:p>
    <w:p>
      <w:pPr>
        <w:keepNext/>
        <w:spacing w:before="80" w:after="40"/>
        <w:ind w:left="288"/>
      </w:pPr>
      <w:r>
        <w:rPr>
          <w:rFonts w:ascii="Calibri" w:hAnsi="Calibri"/>
          <w:b/>
          <w:color w:val="005A9C"/>
          <w:sz w:val="22"/>
        </w:rPr>
        <w:t>7.3 Train-the-Trainer Program &amp; Authorized Instructor Designation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7.3.1 Instructor Qualification Criteria &amp; Approved Trainer List</w:t>
      </w:r>
    </w:p>
    <w:p>
      <w:pPr>
        <w:keepNext/>
        <w:spacing w:before="280" w:after="80"/>
      </w:pPr>
      <w:r>
        <w:rPr>
          <w:rFonts w:ascii="Calibri" w:hAnsi="Calibri"/>
          <w:b/>
          <w:color w:val="1B365D"/>
          <w:sz w:val="25"/>
        </w:rPr>
        <w:t>SECTION 8.0: MANAGEMENT OF CHANGE (MOC) ON TURNED-OVER ASSETS</w:t>
      </w:r>
    </w:p>
    <w:p>
      <w:pPr>
        <w:keepNext/>
        <w:spacing w:before="80" w:after="40"/>
        <w:ind w:left="288"/>
      </w:pPr>
      <w:r>
        <w:rPr>
          <w:rFonts w:ascii="Calibri" w:hAnsi="Calibri"/>
          <w:b/>
          <w:color w:val="005A9C"/>
          <w:sz w:val="22"/>
        </w:rPr>
        <w:t>8.1 MOC Mandatory Triggers on Turned-Over Systems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8.1.1 Modification Rules for Pipe, Instrument, Control Logic, or Valve Re-Configuration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8.1.2 Temporary Modifications &amp; Emergency MOC Protocols</w:t>
      </w:r>
    </w:p>
    <w:p>
      <w:pPr>
        <w:keepNext/>
        <w:spacing w:before="80" w:after="40"/>
        <w:ind w:left="288"/>
      </w:pPr>
      <w:r>
        <w:rPr>
          <w:rFonts w:ascii="Calibri" w:hAnsi="Calibri"/>
          <w:b/>
          <w:color w:val="005A9C"/>
          <w:sz w:val="22"/>
        </w:rPr>
        <w:t>8.2 Joint MOC Review Committee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8.2.1 Committee Composition (Engineering, Operations, Commissioning, Safety)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8.2.2 MOC Risk Assessment, Approval Sign-Off, and Red-Line Drawing Updates</w:t>
      </w:r>
    </w:p>
    <w:p>
      <w:pPr>
        <w:keepNext/>
        <w:spacing w:before="80" w:after="40"/>
        <w:ind w:left="288"/>
      </w:pPr>
      <w:r>
        <w:rPr>
          <w:rFonts w:ascii="Calibri" w:hAnsi="Calibri"/>
          <w:b/>
          <w:color w:val="005A9C"/>
          <w:sz w:val="22"/>
        </w:rPr>
        <w:t>8.3 Field Work Execution &amp; Re-Testing Controls</w:t>
      </w:r>
    </w:p>
    <w:p>
      <w:pPr>
        <w:keepNext/>
        <w:spacing w:before="280" w:after="80"/>
      </w:pPr>
      <w:r>
        <w:rPr>
          <w:rFonts w:ascii="Calibri" w:hAnsi="Calibri"/>
          <w:b/>
          <w:color w:val="1B365D"/>
          <w:sz w:val="25"/>
        </w:rPr>
        <w:t>SECTION 9.0: PRE-STARTUP SAFETY REVIEW (PSSR) &amp; COMMODITY INTRODUCTION GATE</w:t>
      </w:r>
    </w:p>
    <w:p>
      <w:pPr>
        <w:keepNext/>
        <w:spacing w:before="80" w:after="40"/>
        <w:ind w:left="288"/>
      </w:pPr>
      <w:r>
        <w:rPr>
          <w:rFonts w:ascii="Calibri" w:hAnsi="Calibri"/>
          <w:b/>
          <w:color w:val="005A9C"/>
          <w:sz w:val="22"/>
        </w:rPr>
        <w:t>9.1 Pre-Commissioning &amp; Testing Protocols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9.1.1 Nitrogen Purging, Dewatering, Drying, and Vacuum Testing Controls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9.1.2 Cryogenic Leak Testing &amp; Tightness Verification Procedures</w:t>
      </w:r>
    </w:p>
    <w:p>
      <w:pPr>
        <w:keepNext/>
        <w:spacing w:before="80" w:after="40"/>
        <w:ind w:left="288"/>
      </w:pPr>
      <w:r>
        <w:rPr>
          <w:rFonts w:ascii="Calibri" w:hAnsi="Calibri"/>
          <w:b/>
          <w:color w:val="005A9C"/>
          <w:sz w:val="22"/>
        </w:rPr>
        <w:t>9.2 Pre-Startup Safety Review (PSSR) Gate Execution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9.2.1 Multidisciplinary PSSR Team Composition &amp; Field Verification Checklists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9.2.2 PSSR Approval Certificate Sign-Off Workflow</w:t>
      </w:r>
    </w:p>
    <w:p>
      <w:pPr>
        <w:keepNext/>
        <w:spacing w:before="80" w:after="40"/>
        <w:ind w:left="288"/>
      </w:pPr>
      <w:r>
        <w:rPr>
          <w:rFonts w:ascii="Calibri" w:hAnsi="Calibri"/>
          <w:b/>
          <w:color w:val="005A9C"/>
          <w:sz w:val="22"/>
        </w:rPr>
        <w:t>9.3 Strict Punchlist Closure Gate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9.3.1 Mandatory 100% Closure of Category A, B, and C Punch Items Prior to Hydrocarbon Intro</w:t>
      </w:r>
    </w:p>
    <w:p>
      <w:pPr>
        <w:keepNext/>
        <w:spacing w:before="280" w:after="80"/>
      </w:pPr>
      <w:r>
        <w:rPr>
          <w:rFonts w:ascii="Calibri" w:hAnsi="Calibri"/>
          <w:b/>
          <w:color w:val="1B365D"/>
          <w:sz w:val="25"/>
        </w:rPr>
        <w:t>SECTION 10.0: PHASED EMERGENCY MANAGEMENT &amp; ICS TRANSITION</w:t>
      </w:r>
    </w:p>
    <w:p>
      <w:pPr>
        <w:keepNext/>
        <w:spacing w:before="80" w:after="40"/>
        <w:ind w:left="288"/>
      </w:pPr>
      <w:r>
        <w:rPr>
          <w:rFonts w:ascii="Calibri" w:hAnsi="Calibri"/>
          <w:b/>
          <w:color w:val="005A9C"/>
          <w:sz w:val="22"/>
        </w:rPr>
        <w:t>10.1 Phase 1 Emergency Response Structure (Construction &amp; Pre-Commissioning)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10.1.1 Owner-Managed 3rd-Party Medical &amp; Emergency Services Provider Role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10.1.2 Site Medical, Muster Point, and Construction Siren Operations</w:t>
      </w:r>
    </w:p>
    <w:p>
      <w:pPr>
        <w:keepNext/>
        <w:spacing w:before="80" w:after="40"/>
        <w:ind w:left="288"/>
      </w:pPr>
      <w:r>
        <w:rPr>
          <w:rFonts w:ascii="Calibri" w:hAnsi="Calibri"/>
          <w:b/>
          <w:color w:val="005A9C"/>
          <w:sz w:val="22"/>
        </w:rPr>
        <w:t>10.2 Phase 2 Emergency Response Structure (Commissioning &amp; Testing)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10.2.1 Shared Dual Operations &amp; Construction Incident Command System (ICS)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10.2.2 Dual Incident Commander Protocols &amp; Unified Command Post</w:t>
      </w:r>
    </w:p>
    <w:p>
      <w:pPr>
        <w:keepNext/>
        <w:spacing w:before="80" w:after="40"/>
        <w:ind w:left="288"/>
      </w:pPr>
      <w:r>
        <w:rPr>
          <w:rFonts w:ascii="Calibri" w:hAnsi="Calibri"/>
          <w:b/>
          <w:color w:val="005A9C"/>
          <w:sz w:val="22"/>
        </w:rPr>
        <w:t>10.3 Phase 3 Emergency Response Structure (Hydrocarbon Introduction &amp; Onward)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10.3.1 Transition to Sole Operations Incident Command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10.3.2 EPC &amp; Construction Support Roles during Demobilization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808080"/>
        <w:sz w:val="17"/>
      </w:rPr>
      <w:t>CONTROLLED DOCUMENT - UNCONTROLLED WHEN PRINTED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808080"/>
        <w:sz w:val="17"/>
      </w:rPr>
      <w:t>BC LNG Facility | Transitional Safety Management Plan (TSMP) TOC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