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OCTitle"/>
      </w:pPr>
      <w:r>
        <w:t>Self-service synthetic study synopsis</w:t>
      </w:r>
    </w:p>
    <w:p>
      <w:pPr>
        <w:pStyle w:val="POCDisclaimer"/>
      </w:pPr>
      <w:r>
        <w:t>Synthetic-only evaluation fixture; not for clinical, regulatory, or submission use.</w:t>
      </w:r>
    </w:p>
    <w:p>
      <w:pPr>
        <w:pStyle w:val="Heading1"/>
      </w:pPr>
      <w:r>
        <w:t>Study identity</w:t>
      </w:r>
    </w:p>
    <w:p>
      <w:r>
        <w:t>Short title: SELF-24</w:t>
      </w:r>
    </w:p>
    <w:p>
      <w:pPr>
        <w:pStyle w:val="Heading1"/>
      </w:pPr>
      <w:r>
        <w:t>Objectives</w:t>
      </w:r>
    </w:p>
    <w:p>
      <w:r>
        <w:t>Objective: Evaluate synthetic symptom-score change</w:t>
      </w:r>
    </w:p>
    <w:p>
      <w:pPr>
        <w:pStyle w:val="Heading1"/>
      </w:pPr>
      <w:r>
        <w:t>Endpoints</w:t>
      </w:r>
    </w:p>
    <w:p>
      <w:r>
        <w:t>Endpoint: Change from baseline at Week 24</w:t>
      </w:r>
    </w:p>
    <w:p>
      <w:pPr>
        <w:pStyle w:val="Heading1"/>
      </w:pPr>
      <w:r>
        <w:t>Arms and interventions</w:t>
      </w:r>
    </w:p>
    <w:p>
      <w:r>
        <w:t>Arm: Treatment; Intervention: Synthetic Compound 10 mg once daily</w:t>
      </w:r>
    </w:p>
    <w:p>
      <w:pPr>
        <w:pStyle w:val="Heading1"/>
      </w:pPr>
      <w:r>
        <w:t>Population</w:t>
      </w:r>
    </w:p>
    <w:p>
      <w:r>
        <w:t>Population: Adults with synthetic condition X</w:t>
      </w:r>
    </w:p>
    <w:p>
      <w:pPr>
        <w:pStyle w:val="Heading1"/>
      </w:pPr>
      <w:r>
        <w:t>Eligibility</w:t>
      </w:r>
    </w:p>
    <w:p>
      <w:r>
        <w:t>Eligibility: Adults aged 18 through 75 years</w:t>
      </w:r>
    </w:p>
    <w:p>
      <w:r>
        <w:t>Duration: 24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