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Study Identity</w:t>
      </w:r>
    </w:p>
    <w:p>
      <w:r>
        <w:t>Short title: REL-COR-04</w:t>
      </w:r>
    </w:p>
    <w:p>
      <w:pPr>
        <w:pStyle w:val="Heading1"/>
      </w:pPr>
      <w:r>
        <w:t>Objectives</w:t>
      </w:r>
    </w:p>
    <w:p>
      <w:r>
        <w:t>Objective: Evaluate synthetic correction response</w:t>
      </w:r>
    </w:p>
    <w:p>
      <w:pPr>
        <w:pStyle w:val="Heading1"/>
      </w:pPr>
      <w:r>
        <w:t>Endpoints</w:t>
      </w:r>
    </w:p>
    <w:p>
      <w:r>
        <w:t>Endpoint: Correction response at Week 16</w:t>
      </w:r>
    </w:p>
    <w:p>
      <w:pPr>
        <w:pStyle w:val="Heading1"/>
      </w:pPr>
      <w:r>
        <w:t>Arms and Interventions</w:t>
      </w:r>
    </w:p>
    <w:p>
      <w:r>
        <w:t>Arm: Correction arm; Intervention: Synthetic Compound Delta 12 mg once daily</w:t>
      </w:r>
    </w:p>
    <w:p>
      <w:pPr>
        <w:pStyle w:val="Heading1"/>
      </w:pPr>
      <w:r>
        <w:t>Population</w:t>
      </w:r>
    </w:p>
    <w:p>
      <w:r>
        <w:t>Population: Adults with synthetic condition Delta</w:t>
      </w:r>
    </w:p>
    <w:p>
      <w:pPr>
        <w:pStyle w:val="Heading1"/>
      </w:pPr>
      <w:r>
        <w:t>Eligibility</w:t>
      </w:r>
    </w:p>
    <w:p>
      <w:r>
        <w:t>Eligibility: Adults aged 25 through 68 years with synthetic condition Delta</w:t>
      </w:r>
    </w:p>
    <w:p>
      <w:r>
        <w:t>Duration: 16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