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Study Identity</w:t>
      </w:r>
    </w:p>
    <w:p>
      <w:r>
        <w:t>Short title: REL-STD-01</w:t>
      </w:r>
    </w:p>
    <w:p>
      <w:pPr>
        <w:pStyle w:val="Heading1"/>
      </w:pPr>
      <w:r>
        <w:t>Objectives</w:t>
      </w:r>
    </w:p>
    <w:p>
      <w:r>
        <w:t>Objective: Evaluate synthetic symptom score change</w:t>
      </w:r>
    </w:p>
    <w:p>
      <w:pPr>
        <w:pStyle w:val="Heading1"/>
      </w:pPr>
      <w:r>
        <w:t>Endpoints</w:t>
      </w:r>
    </w:p>
    <w:p>
      <w:r>
        <w:t>Endpoint: Change from baseline at Week 24</w:t>
      </w:r>
    </w:p>
    <w:p>
      <w:pPr>
        <w:pStyle w:val="Heading1"/>
      </w:pPr>
      <w:r>
        <w:t>Arms and Interventions</w:t>
      </w:r>
    </w:p>
    <w:p>
      <w:r>
        <w:t>Arm: Reference arm; Intervention: Synthetic Compound Alpha 10 mg once daily</w:t>
      </w:r>
    </w:p>
    <w:p>
      <w:pPr>
        <w:pStyle w:val="Heading1"/>
      </w:pPr>
      <w:r>
        <w:t>Population</w:t>
      </w:r>
    </w:p>
    <w:p>
      <w:r>
        <w:t>Population: Adults with synthetic condition Alpha</w:t>
      </w:r>
    </w:p>
    <w:p>
      <w:pPr>
        <w:pStyle w:val="Heading1"/>
      </w:pPr>
      <w:r>
        <w:t>Eligibility</w:t>
      </w:r>
    </w:p>
    <w:p>
      <w:r>
        <w:t>Eligibility: Adults aged 18 through 75 years with synthetic condition Alpha</w:t>
      </w:r>
    </w:p>
    <w:p>
      <w:r>
        <w:t>Duration: 24 weeks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